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July 31, 2012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899" w:gutter="0" w:footer="0" w:header="0"/>
        </w:sectPr>
      </w:pPr>
    </w:p>
    <w:p>
      <w:pPr>
        <w:spacing w:after="0" w:line="28" w:lineRule="exact"/>
        <w:rPr>
          <w:sz w:val="24"/>
          <w:szCs w:val="24"/>
          <w:color w:val="auto"/>
        </w:rPr>
      </w:pPr>
    </w:p>
    <w:p>
      <w:pPr>
        <w:ind w:left="460"/>
        <w:spacing w:after="0"/>
        <w:tabs>
          <w:tab w:leader="none" w:pos="43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230" w:right="239" w:bottom="899"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899"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192"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6"/>
              </w:rPr>
              <w:t>Wisconsin</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39-0178960</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7"/>
              </w:rPr>
              <w:t>6555 West Good Hope Road,</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
              <w:spacing w:after="0"/>
              <w:rPr>
                <w:sz w:val="20"/>
                <w:szCs w:val="20"/>
                <w:color w:val="auto"/>
              </w:rPr>
            </w:pPr>
            <w:r>
              <w:rPr>
                <w:rFonts w:ascii="Arial" w:cs="Arial" w:eastAsia="Arial" w:hAnsi="Arial"/>
                <w:sz w:val="18"/>
                <w:szCs w:val="18"/>
                <w:b w:val="1"/>
                <w:bCs w:val="1"/>
                <w:color w:val="auto"/>
                <w:w w:val="95"/>
              </w:rPr>
              <w:t>Milwaukee, WI</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53223</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(414) 358-6600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0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80" w:type="dxa"/>
            <w:vAlign w:val="bottom"/>
            <w:gridSpan w:val="2"/>
          </w:tcPr>
          <w:p>
            <w:pPr>
              <w:ind w:left="960"/>
              <w:spacing w:after="0" w:line="195" w:lineRule="exact"/>
              <w:rPr>
                <w:sz w:val="20"/>
                <w:szCs w:val="20"/>
                <w:color w:val="auto"/>
              </w:rPr>
            </w:pPr>
            <w:r>
              <w:rPr>
                <w:rFonts w:ascii="Arial" w:cs="Arial" w:eastAsia="Arial" w:hAnsi="Arial"/>
                <w:sz w:val="18"/>
                <w:szCs w:val="18"/>
                <w:b w:val="1"/>
                <w:bCs w:val="1"/>
                <w:color w:val="auto"/>
                <w:w w:val="82"/>
              </w:rPr>
              <w:t>Class A Nonvoting Common</w:t>
            </w:r>
          </w:p>
        </w:tc>
        <w:tc>
          <w:tcPr>
            <w:tcW w:w="108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Stock, Par</w:t>
            </w: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60" w:type="dxa"/>
            <w:vAlign w:val="bottom"/>
            <w:gridSpan w:val="4"/>
          </w:tcPr>
          <w:p>
            <w:pPr>
              <w:jc w:val="center"/>
              <w:ind w:right="200"/>
              <w:spacing w:after="0" w:line="195" w:lineRule="exact"/>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228"/>
        </w:trPr>
        <w:tc>
          <w:tcPr>
            <w:tcW w:w="4060" w:type="dxa"/>
            <w:vAlign w:val="bottom"/>
            <w:gridSpan w:val="3"/>
          </w:tcPr>
          <w:p>
            <w:pPr>
              <w:jc w:val="center"/>
              <w:ind w:left="732"/>
              <w:spacing w:after="0"/>
              <w:rPr>
                <w:sz w:val="20"/>
                <w:szCs w:val="20"/>
                <w:color w:val="auto"/>
              </w:rPr>
            </w:pPr>
            <w:r>
              <w:rPr>
                <w:rFonts w:ascii="Arial" w:cs="Arial" w:eastAsia="Arial" w:hAnsi="Arial"/>
                <w:sz w:val="18"/>
                <w:szCs w:val="18"/>
                <w:b w:val="1"/>
                <w:bCs w:val="1"/>
                <w:color w:val="auto"/>
                <w:w w:val="87"/>
              </w:rPr>
              <w:t>Value $.01 per share</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20" w:type="dxa"/>
            <w:vAlign w:val="bottom"/>
            <w:gridSpan w:val="4"/>
          </w:tcPr>
          <w:p>
            <w:pPr>
              <w:ind w:left="140"/>
              <w:spacing w:after="0"/>
              <w:rPr>
                <w:sz w:val="20"/>
                <w:szCs w:val="20"/>
                <w:color w:val="auto"/>
              </w:rPr>
            </w:pPr>
            <w:r>
              <w:rPr>
                <w:rFonts w:ascii="Arial" w:cs="Arial" w:eastAsia="Arial" w:hAnsi="Arial"/>
                <w:sz w:val="18"/>
                <w:szCs w:val="18"/>
                <w:b w:val="1"/>
                <w:bCs w:val="1"/>
                <w:color w:val="auto"/>
              </w:rPr>
              <w:t>Securities registered pursuant to Section 12(g) of the Act:</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340" w:type="dxa"/>
            <w:vAlign w:val="bottom"/>
            <w:gridSpan w:val="3"/>
          </w:tcPr>
          <w:p>
            <w:pPr>
              <w:ind w:left="1000"/>
              <w:spacing w:after="0"/>
              <w:rPr>
                <w:sz w:val="20"/>
                <w:szCs w:val="20"/>
                <w:color w:val="auto"/>
              </w:rPr>
            </w:pPr>
            <w:r>
              <w:rPr>
                <w:rFonts w:ascii="Arial" w:cs="Arial" w:eastAsia="Arial" w:hAnsi="Arial"/>
                <w:sz w:val="18"/>
                <w:szCs w:val="18"/>
                <w:b w:val="1"/>
                <w:bCs w:val="1"/>
                <w:color w:val="auto"/>
              </w:rPr>
              <w:t>None</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960" w:type="dxa"/>
            <w:vAlign w:val="bottom"/>
            <w:gridSpan w:val="2"/>
          </w:tcPr>
          <w:p>
            <w:pPr>
              <w:spacing w:after="0"/>
              <w:rPr>
                <w:sz w:val="14"/>
                <w:szCs w:val="1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230" w:right="239" w:bottom="899"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899"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899"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80"/>
            <w:col w:w="240" w:space="100"/>
            <w:col w:w="160" w:space="180"/>
            <w:col w:w="200" w:space="100"/>
            <w:col w:w="2560"/>
          </w:cols>
          <w:pgMar w:left="240" w:top="230" w:right="239" w:bottom="899" w:gutter="0" w:footer="0" w:header="0"/>
          <w:type w:val="continuous"/>
        </w:sectPr>
      </w:pPr>
    </w:p>
    <w:p>
      <w:pPr>
        <w:jc w:val="both"/>
        <w:ind w:firstLine="456"/>
        <w:spacing w:after="0" w:line="298" w:lineRule="auto"/>
        <w:rPr>
          <w:sz w:val="20"/>
          <w:szCs w:val="20"/>
          <w:color w:val="auto"/>
        </w:rPr>
      </w:pPr>
      <w:r>
        <w:rPr>
          <w:rFonts w:ascii="Arial" w:cs="Arial" w:eastAsia="Arial" w:hAnsi="Arial"/>
          <w:sz w:val="16"/>
          <w:szCs w:val="16"/>
          <w:color w:val="auto"/>
        </w:rPr>
        <w:t>The aggregate market value of the non-voting common stock held by non-affiliates of the registrant as of January 31, 2012, was approximately $1,441,914,982 based on closing sale price of $32.37 per share on that date as reported for the New York Stock Exchange. As of September 20, 2012, there were 47,406,559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899"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960" w:type="dxa"/>
            <w:vAlign w:val="bottom"/>
            <w:gridSpan w:val="11"/>
          </w:tcPr>
          <w:p>
            <w:pPr>
              <w:jc w:val="center"/>
              <w:ind w:right="468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12"/>
            <w:vMerge w:val="restart"/>
          </w:tcPr>
          <w:p>
            <w:pPr>
              <w:jc w:val="center"/>
              <w:ind w:right="536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Business</w:t>
              </w:r>
            </w:hyperlink>
          </w:p>
        </w:tc>
        <w:tc>
          <w:tcPr>
            <w:tcW w:w="3900" w:type="dxa"/>
            <w:vAlign w:val="bottom"/>
            <w:gridSpan w:val="35"/>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4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General Development of 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38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Information About Industry Segments</w:t>
              </w:r>
            </w:hyperlink>
          </w:p>
        </w:tc>
        <w:tc>
          <w:tcPr>
            <w:tcW w:w="722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Narrative Description of 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Overview</w:t>
              </w:r>
            </w:hyperlink>
          </w:p>
        </w:tc>
        <w:tc>
          <w:tcPr>
            <w:tcW w:w="1260" w:type="dxa"/>
            <w:vAlign w:val="bottom"/>
            <w:tcBorders>
              <w:top w:val="single" w:sz="8" w:color="0000EE"/>
            </w:tcBorders>
            <w:gridSpan w:val="15"/>
          </w:tcPr>
          <w:p>
            <w:pPr>
              <w:spacing w:after="0"/>
              <w:rPr>
                <w:sz w:val="17"/>
                <w:szCs w:val="17"/>
                <w:color w:val="auto"/>
              </w:rPr>
            </w:pPr>
          </w:p>
        </w:tc>
        <w:tc>
          <w:tcPr>
            <w:tcW w:w="820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Research and Development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Operations</w:t>
              </w:r>
            </w:hyperlink>
          </w:p>
        </w:tc>
        <w:tc>
          <w:tcPr>
            <w:tcW w:w="824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gridSpan w:val="4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Environment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Employees</w:t>
              </w:r>
            </w:hyperlink>
          </w:p>
        </w:tc>
        <w:tc>
          <w:tcPr>
            <w:tcW w:w="120" w:type="dxa"/>
            <w:vAlign w:val="bottom"/>
            <w:tcBorders>
              <w:top w:val="single" w:sz="8" w:color="0000EE"/>
            </w:tcBorders>
          </w:tcPr>
          <w:p>
            <w:pPr>
              <w:spacing w:after="0"/>
              <w:rPr>
                <w:sz w:val="17"/>
                <w:szCs w:val="17"/>
                <w:color w:val="auto"/>
              </w:rPr>
            </w:pPr>
          </w:p>
        </w:tc>
        <w:tc>
          <w:tcPr>
            <w:tcW w:w="9260" w:type="dxa"/>
            <w:vAlign w:val="bottom"/>
            <w:gridSpan w:val="4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680" w:type="dxa"/>
            <w:vAlign w:val="bottom"/>
            <w:tcBorders>
              <w:bottom w:val="single" w:sz="8" w:color="0000EE"/>
            </w:tcBorders>
            <w:gridSpan w:val="4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Information About Foreign and Domestic Operations and Export Sales</w:t>
              </w:r>
            </w:hyperlink>
          </w:p>
        </w:tc>
        <w:tc>
          <w:tcPr>
            <w:tcW w:w="49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Information Available on the Internet</w:t>
              </w:r>
            </w:hyperlink>
          </w:p>
        </w:tc>
        <w:tc>
          <w:tcPr>
            <w:tcW w:w="798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Item 1A. Risk Factors</w:t>
              </w:r>
            </w:hyperlink>
          </w:p>
        </w:tc>
        <w:tc>
          <w:tcPr>
            <w:tcW w:w="9480" w:type="dxa"/>
            <w:vAlign w:val="bottom"/>
            <w:gridSpan w:val="4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1B. 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2. Properties</w:t>
              </w:r>
            </w:hyperlink>
          </w:p>
        </w:tc>
        <w:tc>
          <w:tcPr>
            <w:tcW w:w="838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Item 3. Legal Proceedings</w:t>
              </w:r>
            </w:hyperlink>
          </w:p>
        </w:tc>
        <w:tc>
          <w:tcPr>
            <w:tcW w:w="918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4. 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64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PART II</w:t>
              </w:r>
            </w:hyperlink>
          </w:p>
        </w:tc>
        <w:tc>
          <w:tcPr>
            <w:tcW w:w="536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0000EE"/>
            </w:tcBorders>
            <w:gridSpan w:val="49"/>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Item 5. Market for Registrant’s Common Equity, Related Stockholder Matters and Issuer Purchases of Equity Securities</w:t>
              </w:r>
            </w:hyperlink>
          </w:p>
        </w:tc>
        <w:tc>
          <w:tcPr>
            <w:tcW w:w="2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Item 6. Selected Financial Data</w:t>
              </w:r>
            </w:hyperlink>
          </w:p>
        </w:tc>
        <w:tc>
          <w:tcPr>
            <w:tcW w:w="8820" w:type="dxa"/>
            <w:vAlign w:val="bottom"/>
            <w:gridSpan w:val="3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0000EE"/>
            </w:tcBorders>
            <w:gridSpan w:val="45"/>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Item 7. Management’s Discussion and Analysis of Financial Condition and Results of Operations</w:t>
              </w:r>
            </w:hyperlink>
          </w:p>
        </w:tc>
        <w:tc>
          <w:tcPr>
            <w:tcW w:w="4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7A. 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8. Financial Statements and Supplementary Data</w:t>
              </w:r>
            </w:hyperlink>
          </w:p>
        </w:tc>
        <w:tc>
          <w:tcPr>
            <w:tcW w:w="1120" w:type="dxa"/>
            <w:vAlign w:val="bottom"/>
            <w:tcBorders>
              <w:top w:val="single" w:sz="8" w:color="0000EE"/>
            </w:tcBorders>
            <w:gridSpan w:val="6"/>
          </w:tcPr>
          <w:p>
            <w:pPr>
              <w:spacing w:after="0"/>
              <w:rPr>
                <w:sz w:val="17"/>
                <w:szCs w:val="17"/>
                <w:color w:val="auto"/>
              </w:rPr>
            </w:pPr>
          </w:p>
        </w:tc>
        <w:tc>
          <w:tcPr>
            <w:tcW w:w="61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9. 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Item 9A. Controls and Procedures</w:t>
              </w:r>
            </w:hyperlink>
          </w:p>
        </w:tc>
        <w:tc>
          <w:tcPr>
            <w:tcW w:w="4520" w:type="dxa"/>
            <w:vAlign w:val="bottom"/>
            <w:tcBorders>
              <w:top w:val="single" w:sz="8" w:color="0000EE"/>
            </w:tcBorders>
            <w:gridSpan w:val="29"/>
          </w:tcPr>
          <w:p>
            <w:pPr>
              <w:spacing w:after="0"/>
              <w:rPr>
                <w:sz w:val="17"/>
                <w:szCs w:val="17"/>
                <w:color w:val="auto"/>
              </w:rPr>
            </w:pPr>
          </w:p>
        </w:tc>
        <w:tc>
          <w:tcPr>
            <w:tcW w:w="41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9B. 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0000EE"/>
            </w:tcBorders>
            <w:gridSpan w:val="7"/>
          </w:tcPr>
          <w:p>
            <w:pPr>
              <w:jc w:val="center"/>
              <w:ind w:right="20"/>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III</w:t>
              </w:r>
            </w:hyperlink>
          </w:p>
        </w:tc>
        <w:tc>
          <w:tcPr>
            <w:tcW w:w="532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10. Directors and Executive Officers of the Registrant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4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Item 11. Executive Compensation</w:t>
              </w:r>
            </w:hyperlink>
          </w:p>
        </w:tc>
        <w:tc>
          <w:tcPr>
            <w:tcW w:w="1760" w:type="dxa"/>
            <w:vAlign w:val="bottom"/>
            <w:tcBorders>
              <w:top w:val="single" w:sz="8" w:color="0000EE"/>
            </w:tcBorders>
            <w:gridSpan w:val="16"/>
          </w:tcPr>
          <w:p>
            <w:pPr>
              <w:spacing w:after="0"/>
              <w:rPr>
                <w:sz w:val="17"/>
                <w:szCs w:val="17"/>
                <w:color w:val="auto"/>
              </w:rPr>
            </w:pPr>
          </w:p>
        </w:tc>
        <w:tc>
          <w:tcPr>
            <w:tcW w:w="68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1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Management Development and Compensation Committee Interlocks and Insider Participation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60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Management Development and Compensation Committee Report</w:t>
              </w:r>
            </w:hyperlink>
          </w:p>
        </w:tc>
        <w:tc>
          <w:tcPr>
            <w:tcW w:w="40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60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Compensation Policies and Practices</w:t>
              </w:r>
            </w:hyperlink>
          </w:p>
        </w:tc>
        <w:tc>
          <w:tcPr>
            <w:tcW w:w="60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Summary Compensation Table</w:t>
              </w:r>
            </w:hyperlink>
          </w:p>
        </w:tc>
        <w:tc>
          <w:tcPr>
            <w:tcW w:w="400" w:type="dxa"/>
            <w:vAlign w:val="bottom"/>
            <w:tcBorders>
              <w:top w:val="single" w:sz="8" w:color="0000EE"/>
            </w:tcBorders>
            <w:gridSpan w:val="5"/>
          </w:tcPr>
          <w:p>
            <w:pPr>
              <w:spacing w:after="0"/>
              <w:rPr>
                <w:sz w:val="17"/>
                <w:szCs w:val="17"/>
                <w:color w:val="auto"/>
              </w:rPr>
            </w:pPr>
          </w:p>
        </w:tc>
        <w:tc>
          <w:tcPr>
            <w:tcW w:w="80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Grants of Plan-Based Awards for 2012</w:t>
              </w:r>
            </w:hyperlink>
          </w:p>
        </w:tc>
        <w:tc>
          <w:tcPr>
            <w:tcW w:w="782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Outstanding Equity Awards at 2012 Fiscal Year End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Option Exercises for Fiscal 2012</w:t>
              </w:r>
            </w:hyperlink>
          </w:p>
        </w:tc>
        <w:tc>
          <w:tcPr>
            <w:tcW w:w="1340" w:type="dxa"/>
            <w:vAlign w:val="bottom"/>
            <w:tcBorders>
              <w:top w:val="single" w:sz="8" w:color="0000EE"/>
            </w:tcBorders>
            <w:gridSpan w:val="11"/>
          </w:tcPr>
          <w:p>
            <w:pPr>
              <w:spacing w:after="0"/>
              <w:rPr>
                <w:sz w:val="17"/>
                <w:szCs w:val="17"/>
                <w:color w:val="auto"/>
              </w:rPr>
            </w:pPr>
          </w:p>
        </w:tc>
        <w:tc>
          <w:tcPr>
            <w:tcW w:w="69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6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Non-Qualified Deferred Compensation for Fiscal 2012</w:t>
              </w:r>
            </w:hyperlink>
          </w:p>
        </w:tc>
        <w:tc>
          <w:tcPr>
            <w:tcW w:w="67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20" w:type="dxa"/>
            <w:vAlign w:val="bottom"/>
            <w:tcBorders>
              <w:bottom w:val="single" w:sz="8" w:color="0000EE"/>
            </w:tcBorders>
            <w:gridSpan w:val="33"/>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Potential Payments Upon Termination or Change in Control</w:t>
              </w:r>
            </w:hyperlink>
          </w:p>
        </w:tc>
        <w:tc>
          <w:tcPr>
            <w:tcW w:w="63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4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Compensation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13"/>
            <w:shd w:val="clear" w:color="auto" w:fill="0000EE"/>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1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Director Compensation Table — Fiscal 2012</w:t>
              </w:r>
            </w:hyperlink>
          </w:p>
        </w:tc>
        <w:tc>
          <w:tcPr>
            <w:tcW w:w="744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0000EE"/>
            </w:tcBorders>
            <w:gridSpan w:val="48"/>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Item 12. Security Ownership of Certain Beneficial Owners and Management and Related Stockholder Matters</w:t>
              </w:r>
            </w:hyperlink>
          </w:p>
        </w:tc>
        <w:tc>
          <w:tcPr>
            <w:tcW w:w="32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13. Certain Relationships,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570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Item 14. Principal Accounting Fees and Services</w:t>
              </w:r>
            </w:hyperlink>
          </w:p>
        </w:tc>
        <w:tc>
          <w:tcPr>
            <w:tcW w:w="53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14"/>
          </w:tcPr>
          <w:p>
            <w:pPr>
              <w:jc w:val="center"/>
              <w:ind w:right="5340"/>
              <w:spacing w:after="0" w:line="196" w:lineRule="exact"/>
              <w:rPr>
                <w:rFonts w:ascii="Arial" w:cs="Arial" w:eastAsia="Arial" w:hAnsi="Arial"/>
                <w:sz w:val="18"/>
                <w:szCs w:val="18"/>
                <w:b w:val="1"/>
                <w:bCs w:val="1"/>
                <w:color w:val="0000EE"/>
                <w:w w:val="98"/>
              </w:rPr>
            </w:pPr>
            <w:hyperlink w:anchor="page95">
              <w:r>
                <w:rPr>
                  <w:rFonts w:ascii="Arial" w:cs="Arial" w:eastAsia="Arial" w:hAnsi="Arial"/>
                  <w:sz w:val="18"/>
                  <w:szCs w:val="18"/>
                  <w:b w:val="1"/>
                  <w:bCs w:val="1"/>
                  <w:color w:val="0000EE"/>
                  <w:w w:val="98"/>
                </w:rPr>
                <w:t>PART IV</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Item 15. Exhibits and Financial Statement Schedules</w:t>
              </w:r>
            </w:hyperlink>
          </w:p>
        </w:tc>
        <w:tc>
          <w:tcPr>
            <w:tcW w:w="1300" w:type="dxa"/>
            <w:vAlign w:val="bottom"/>
            <w:gridSpan w:val="9"/>
          </w:tcPr>
          <w:p>
            <w:pPr>
              <w:spacing w:after="0"/>
              <w:rPr>
                <w:sz w:val="17"/>
                <w:szCs w:val="17"/>
                <w:color w:val="auto"/>
              </w:rPr>
            </w:pPr>
          </w:p>
        </w:tc>
        <w:tc>
          <w:tcPr>
            <w:tcW w:w="680" w:type="dxa"/>
            <w:vAlign w:val="bottom"/>
            <w:tcBorders>
              <w:top w:val="single" w:sz="8" w:color="0000EE"/>
            </w:tcBorders>
            <w:gridSpan w:val="5"/>
          </w:tcPr>
          <w:p>
            <w:pPr>
              <w:spacing w:after="0"/>
              <w:rPr>
                <w:sz w:val="17"/>
                <w:szCs w:val="17"/>
                <w:color w:val="auto"/>
              </w:rPr>
            </w:pPr>
          </w:p>
        </w:tc>
        <w:tc>
          <w:tcPr>
            <w:tcW w:w="53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1040" w:type="dxa"/>
            <w:vAlign w:val="bottom"/>
            <w:gridSpan w:val="5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gridSpan w:val="2"/>
          </w:tcPr>
          <w:p>
            <w:pPr>
              <w:spacing w:after="0"/>
              <w:rPr>
                <w:sz w:val="24"/>
                <w:szCs w:val="24"/>
                <w:color w:val="auto"/>
              </w:rPr>
            </w:pPr>
          </w:p>
        </w:tc>
        <w:tc>
          <w:tcPr>
            <w:tcW w:w="5380" w:type="dxa"/>
            <w:vAlign w:val="bottom"/>
            <w:gridSpan w:val="42"/>
          </w:tcPr>
          <w:p>
            <w:pPr>
              <w:jc w:val="right"/>
              <w:ind w:right="36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Development of Business</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Brady Corporation is an international manufacturer of identification solutions and specialty materials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Company’s primary objective is to build upon its leading market position and increase shareholder value by leveraging competitive strengths including:</w:t>
      </w:r>
    </w:p>
    <w:p>
      <w:pPr>
        <w:spacing w:after="0" w:line="51" w:lineRule="exact"/>
        <w:rPr>
          <w:sz w:val="20"/>
          <w:szCs w:val="20"/>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Innovation advantage — Internally developed products drive growth and help sustain gross profit margins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through global sourcing, the Brady Business Performance System (“BBPS”), and SG&amp;A effectiveness programs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Disciplined acquisition process</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Information About Industry Segments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213" w:lineRule="exact"/>
        <w:rPr>
          <w:sz w:val="20"/>
          <w:szCs w:val="20"/>
          <w:color w:val="auto"/>
        </w:rPr>
      </w:pPr>
    </w:p>
    <w:p>
      <w:pPr>
        <w:ind w:right="8720" w:firstLine="8"/>
        <w:spacing w:after="0" w:line="344" w:lineRule="auto"/>
        <w:tabs>
          <w:tab w:leader="none" w:pos="239"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Narrative Description of Business </w:t>
      </w:r>
      <w:r>
        <w:rPr>
          <w:rFonts w:ascii="Arial" w:cs="Arial" w:eastAsia="Arial" w:hAnsi="Arial"/>
          <w:sz w:val="18"/>
          <w:szCs w:val="18"/>
          <w:b w:val="1"/>
          <w:bCs w:val="1"/>
          <w:color w:val="auto"/>
        </w:rPr>
        <w:t>Overview</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organized and managed on a geographic basis within three regions: Americas, EMEA (Europe, the Middle East and Africa), and Asia-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Pacific, which are the reportable segments. Below is a summary of sales by reportable segments in the fiscal years ended July 31:</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EMEA</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vMerge w:val="continue"/>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100%</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100%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Across these regions, the Company operates three primary business platforms: Identification Solutions (“ID Solutions”), Direct Marketing and Die-Cut. The ID Solutions business platform was referred to as the Brady business in prior filings. Below is a summary of sales by business in the fiscal years ended July 31:</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80" w:type="dxa"/>
            <w:vAlign w:val="bottom"/>
            <w:tcBorders>
              <w:bottom w:val="single" w:sz="8" w:color="CCEEFF"/>
            </w:tcBorders>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 Solutions</w:t>
            </w:r>
          </w:p>
        </w:tc>
        <w:tc>
          <w:tcPr>
            <w:tcW w:w="3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Direct Marketing</w:t>
            </w:r>
          </w:p>
        </w:tc>
        <w:tc>
          <w:tcPr>
            <w:tcW w:w="4860" w:type="dxa"/>
            <w:vAlign w:val="bottom"/>
            <w:gridSpan w:val="3"/>
          </w:tcPr>
          <w:p>
            <w:pPr>
              <w:jc w:val="right"/>
              <w:ind w:right="580"/>
              <w:spacing w:after="0"/>
              <w:rPr>
                <w:sz w:val="20"/>
                <w:szCs w:val="20"/>
                <w:color w:val="auto"/>
              </w:rPr>
            </w:pPr>
            <w:r>
              <w:rPr>
                <w:rFonts w:ascii="Arial" w:cs="Arial" w:eastAsia="Arial" w:hAnsi="Arial"/>
                <w:sz w:val="18"/>
                <w:szCs w:val="18"/>
                <w:color w:val="auto"/>
              </w:rPr>
              <w:t>27%</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Die-Cut</w:t>
            </w:r>
          </w:p>
        </w:tc>
        <w:tc>
          <w:tcPr>
            <w:tcW w:w="3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80" w:type="dxa"/>
            <w:vAlign w:val="bottom"/>
            <w:vMerge w:val="continue"/>
          </w:tcPr>
          <w:p>
            <w:pPr>
              <w:spacing w:after="0"/>
              <w:rPr>
                <w:sz w:val="19"/>
                <w:szCs w:val="19"/>
                <w:color w:val="auto"/>
              </w:rPr>
            </w:pPr>
          </w:p>
        </w:tc>
        <w:tc>
          <w:tcPr>
            <w:tcW w:w="382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100%</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100%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820" w:type="dxa"/>
            <w:vAlign w:val="bottom"/>
            <w:vMerge w:val="restart"/>
          </w:tcPr>
          <w:p>
            <w:pPr>
              <w:jc w:val="right"/>
              <w:ind w:right="1872"/>
              <w:spacing w:after="0"/>
              <w:rPr>
                <w:sz w:val="20"/>
                <w:szCs w:val="20"/>
                <w:color w:val="auto"/>
              </w:rPr>
            </w:pPr>
            <w:r>
              <w:rPr>
                <w:rFonts w:ascii="Arial" w:cs="Arial" w:eastAsia="Arial" w:hAnsi="Arial"/>
                <w:sz w:val="18"/>
                <w:szCs w:val="18"/>
                <w:color w:val="auto"/>
              </w:rPr>
              <w:t>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 Solutions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Within the ID Solutions platform, the primary product categories include:</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Workplace safety and compliance, which includes facility identification, labeling systems, spill control, lockout/tagout, and software services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identification, which includes materials and printing systems for product identification, brand protection labeling, work in process labeling, finished product identification, and bar coding that performs under a variety of harsh or demanding conditions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People identification, which includes self-expiring name tags, badges, lanyards, and access control software and products</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Approximately 75% of ID Solutions products are sold under the Brady brand. Safety and facility identification products are also marketed under the Safety Signs Service brand, with some lockout/tagout products offered under the Scafftag brands. In the United States, identification products for the utility industry are marketed under the Electromark brand, and spill-control products are marketed under the Sorbent Products Company brand; security and identification badges and systems are included in the Temtec, B.I.G., Identicard/Identicam, STOPware, J.A.M. Plastics, PromoVision, and Brady People ID brands; wire identification products are marketed under the Modernotecnica brand in Italy and the Carroll brand in Australia; hand-held regulatory documentation systems are available under the Tiscor brand, and custom labels and nameplates are available under the Stickolor brand in Brazil.</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ID Solutions platform offers high quality products with rapid response and superior service to provide solutions to customers. The business markets and sells products through multiple channels including distributors, direct sales, mail-order-catalog marketing, and electronic access through e-commerce. The business’ sales force partners with end-users and distributors providing technical application and product expertise.</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ID Solutions platform serves customers in many markets, which include industrial manufacturing, electronic manufacturing, chemical, oil, gas, food and beverage, aerospace, defense, mass transit, electrical contractors, and telecommunications, among others.</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ID Solutions platform provides differentiated, proprietary products, many which have been internally developed and manufactured. These internally developed products include materials, printing systems, and software. Brady competes for business principally on the basis of production capabilities, engineering, research and development capabilities, materials expertise, global account management where needed, customer service, product quality and price.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Marketing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Within the Direct Marketing business platform, the primary product categories include workplace safety and compliance products, which include informational signs, tags, security and traffic related products, first aid supplies, material handling, asset identification, safety and facility identification, and regulatory products.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Products within the Direct Marketing platform are sold under a variety of brands including: safety and facility identification products offered under the Seton, Emedco, Signals, Safetyshop, Clement and Personnel Concepts brands; spill-control products under the D.A.W.G. brand; and first aid supplies under the Accidental Health and Safety, Trafalgar, and Securimed brands.</w:t>
      </w:r>
    </w:p>
    <w:p>
      <w:pPr>
        <w:spacing w:after="0" w:line="14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Direct Marketing platform markets and sells products through multiple channels, which include catalog, telemarketing and e-commerce. The business serves customers in many markets, which include process industries, manufacturers, government, education, construction, and utilities.</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Direct Marketing platform manufactures a broad range of stock and custom identification products, and also sells a broad range of related resale products. Historically, many of our competitors were experts in direct marketing, often with varying product niches. However, the competitive landscape is changing with the evolution of e-commerce channels. The barriers to entry are evolving with internet technology replacing direct marketing catalog expertise. A consequence of this shift is price transparency, as prices on commodity products can be easily compared. Dynamic pricing capabilities and an enhanced customer experience are critical to convert customers from traditional catalog channels to the internet.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Die-Cut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Within the Die-Cut business platform, the primary products include customized precision die-cut products used to seal, dissipate heat, insulate, protect, shield, or provide other mechanical performance properties.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Products within the Die-Cut platform are sold primarily under the Brady brand, with some European business marketed as Balkhausen products. The business sells through a technical direct sales force, and is supported by global strategic account management. The Die-Cut platform serves customers in many markets, which include mobile handset, hard disk drive, consumer electronics, other computing devices, as well as products for the automotive and medical equipment markets.</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Die-Cut platform consists of engineered customized products, manufactured to specific customer requirements. The market for die-cut components is cyclical and can be volatile as it is driven by rapidly changing consumer demand, in addition to being highly price competitive. As products containing die-cut parts (mobile phones, disk drives, and other electronics) change rapidly, programs earned are often short-lived, and business must be rebid with each new program. Brady competes for business principally on the basis of price, production capabilities, engineering, global footprint, and global account management. Competitors include global die-cut and label converters, local low-cost manufacturers, and device manufacturers looking to vertically integrate (shorten supply chain).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focuses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The Company’s research and development team also supports production and marketing efforts by providing application and technical expertise.</w:t>
      </w:r>
    </w:p>
    <w:p>
      <w:pPr>
        <w:spacing w:after="0" w:line="113"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The Company owns patents and trademarks relating to certain products in the United States and internationally. Although the Company believes that patents are a significant factor in maintaining market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trademarks are valid ten years from the date of registration, and are typically renewed on an ongoing basis.</w:t>
      </w:r>
    </w:p>
    <w:p>
      <w:pPr>
        <w:spacing w:after="0" w:line="10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spent approximately $38.4 million, $43.0 million, and $42.6 million during the fiscal years ended July 31, 2012, 2011, and 2010, respectively, on its research and development activities. The reduction in R&amp;D spending in 2012 was primarily due to reductions in variable compensation in addition to cost reduction actions within the Asia-Pacific region. Research and development creates a competitive advantage for the Company that enables long-term sales growth and gross margin improvement. Consistent with fiscal 2011, approximately 220 employees were engaged in research and development activities for the Company in fiscal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materials used in the products manufactured consist primarily of plastic sheets and films, paper, metal and metal foil, cloth, fiberglass, polypropylene, inks, dyes, adhesives, pigments, natural and synthetic rubber, organic chemicals, polymers, solvents and electronic components and subassemblies. The Company has a coating facility that manufactures bulk rolls of label stock for internal and external customers. In addition, the Company purchases finished products for resale.</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generally these disruptions would simply require qualification of new suppliers and the disruption would be modest. In certain instances, the qualification process could be more costly or take a longer period of time and in rare circumstances, such as a global shortage of a critical materials or components, the financial impact could be significant. The Company currently operates 56 manufacturing or distribution facilities globally.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Company carries working capital mainly related to accounts receivable and inventory. Inventory consists of raw materials, work in process and finished goods. Generally, custom products are made to order while an on-hand quantity of stock products is maintained to provide customers immediate delivery of stock products. Normal and customary payment terms range from net 30 to 90 days from date of invoice and varies by region.</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has a broad customer base, and no individual customer is 5% or more of total net sales. Sales to government markets represent a non-material amount of the business.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Average delivery time for the Company’s orders varies from same-day delivery to one month, depending on the type of product, customer request or demand, and whether the product is stock or custom-designed and manufactured. The Company’s backlog is not material, does not provide much visibility for future business, and is not pertinent to an understanding of the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Compliance with federal, state and local environmental protection laws during fiscal 2012 had no material effect upon the Company’s business,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September 20, 2012, the Company employed approximately 6,900 individuals. Brady has never experienced a material work stoppage due to a labor dispute and considers its relations with employees to be good.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About Foreign and Domestic Operations and Export Sales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Available on the Internet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Company’s Corporate Internet address is http://www.bradycorp.com.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including our results of operations, liquidity and financial conditions.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Deterioration of or instability in the global economy and financial markets may adversely affect our business and financial statements.</w:t>
      </w:r>
    </w:p>
    <w:p>
      <w:pPr>
        <w:spacing w:after="0" w:line="11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business and operating results have been and will continue to be affected by global economic conditions. When global economic conditions deteriorate or economic uncertainty continues, customers and potential customers may experience deterioration of their businesses, which may result in the delay or cancellation of plans to purchase our products. In particular, the European debt crisis and the instability and uncertainty relating to the Euro could adversely impact our financial results. Our sensitivity to economic cycles and any related fluctuations in the businesses of our customers or potential customers may have a material effect on our results of operations, liquidity and financial conditions.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E-commerce increases price transparency and may adversely affect our business and financial statements.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portion of our Direct Marketing business platform is transitioning from traditional channels to e-commerce. Historically, competitors were experts in direct marketing database management. The competitive landscape is changing with the evolution of e-commerce. The barriers to entry are changing with internet technology replacing some traditional catalog direct marketing expertise, and a consequence of this shift is such that prices on some commodity products can be easily compared by the customer. Approximately one-fourth of our sales are derived from our Direct Marketing platform, and this shift toward increased price transparency could adversely impact our results of operations.</w:t>
      </w:r>
    </w:p>
    <w:p>
      <w:pPr>
        <w:spacing w:after="0" w:line="22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financial results.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90" w:lineRule="exact"/>
        <w:rPr>
          <w:sz w:val="20"/>
          <w:szCs w:val="20"/>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Cyclical demands of the end user marketplace. These markets include, but are not limited to, mobile telecommunication devices, hard disk drives, and electronics in personal computers and other electronic devices.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financial performance of major markets served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and customers to be more efficient and more price competitive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competitors entering the marketplace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 customer market share fluctuations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Ever decreasing product life cycles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general economic conditions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factors occur, the demand for our products could suffer, and this would adversely affect our results of operations.</w:t>
      </w:r>
    </w:p>
    <w:p>
      <w:pPr>
        <w:spacing w:after="0" w:line="25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b w:val="1"/>
          <w:bCs w:val="1"/>
          <w:i w:val="1"/>
          <w:iCs w:val="1"/>
          <w:color w:val="auto"/>
        </w:rPr>
        <w:t>Price reductions or additional costs may need to be incurred to remain competitive in certain markets, which would have a negative impact on profitability.</w:t>
      </w:r>
    </w:p>
    <w:p>
      <w:pPr>
        <w:spacing w:after="0" w:line="5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face substantial competition throughout our entire business, but particularly in the Die-Cut business platform. Competition may force us to cut prices or incur additional costs to remain competitive. We compete on the basis of price, production capabilities, engineering, global footprint, and global account management. Present or future competitors may have greater financial, technical or other resources, lower production costs or other pricing advantages, any of which could put us at a disadvantage in the affected business by threatening our market share or reducing our profit margins. Additionally, throughout our global business, distributors and customers may seek lower cost sourcing opportunities, which could result in a loss of business that may adversely impact results of operations, cash flows, and liquidity.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large customer loss could significantly affect results of operations, cash flows, and liquidity.</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While we have a broad customer base and no individual customer represents 5% or more of total sales, several of our large customers in the Die-Cut platform together comprise a significant portion of our sales. Additionally, we conduct business with several large distribution companies. Our dependence on these large customers makes relationships with them important. We cannot guarantee that these relationships will be retained in the future. Because these large customers account for a significant portion of sales, they may possess a greater capacity to negotiate reduced prices. If we are unable to provide products to our customers at the quality and prices acceptable to them or to adapt to technological changes, some of our customers may shift their business to competitors or may substitute another manufacturer’s products. If one of the large customers consolidates, is acquired, or loses market share, the result of that event may have an adverse impact on our business. The loss of or reduction of business from one or more of these large customers could have a material impact on our financial condition, results of operations, cash flows, and liquidity.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global nature of our business exposes us to foreign currency fluctuations that could adversely affect sales, profits, and cash balances.</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majority of our sales are derived outside the United States. Sales and purchases in currencies other than the U.S. dollar expose us to fluctuations in foreign currencies relative to the U.S. dollar, and may adversely affect our financial statements.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or weakening of the U.S. dollar could result in unfavorable translation effects. In addition, certain of our subsidiaries may invoice customers in a currency other than its functional currency, which could result in unfavorable translation effects on sales, profits, and cash balances.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International operations are subject to various U.S. or country-specific regulations which could adversely affect our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subject to the risks of doing business abroad, including the following:</w:t>
      </w:r>
    </w:p>
    <w:p>
      <w:pPr>
        <w:spacing w:after="0" w:line="90" w:lineRule="exact"/>
        <w:rPr>
          <w:sz w:val="20"/>
          <w:szCs w:val="20"/>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Imposition of duties and tariffs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governmental policies and business environments</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 (FCPA)</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labor market conditions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and changing regulatory environments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adverse tax consequences, including repatriation of profits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Stability of the Euro and its ability to serve as a single currency for a variety of countries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These events could have an adverse effect on our operations by reducing the demand, decreasing prices, or increasing costs for our products, which would adversely affect our financial condition or operating results.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Failure to develop new products or lack of acceptance of new products could adversely impact our business and financial statements</w:t>
      </w:r>
      <w:r>
        <w:rPr>
          <w:rFonts w:ascii="Arial" w:cs="Arial" w:eastAsia="Arial" w:hAnsi="Arial"/>
          <w:sz w:val="16"/>
          <w:szCs w:val="16"/>
          <w:i w:val="1"/>
          <w:iCs w:val="1"/>
          <w:color w:val="auto"/>
        </w:rPr>
        <w:t>.</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Development of proprietary products is a driver of core growth and reasonable gross profit margins both currently and in the future. Therefore, we must continue to develop new and innovative products, as well as acquire and retain the necessary intellectual property rights in these products. If we fail to make innovations, if we launch products with quality problems, or if the market does not accept our new products, then our financial condition, results of operations, cash flows, and liquidity could be adversely affected. We continue to invest in the development and marketing of new products. These expenditures do not always result in products that will be accepted by the market. Failure to develop successful new products may also cause customers to buy from a competitor or may cause us to lower our prices in order to compete. This could have an adverse impact on profitability.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Inability to identify, complete and integrate acquisitions may adversely impact our business and financial statements.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historical growth has included, and our future growth strategy includes making acquisitions. We may not be able to identify acquisition targets or successfully complete acquisitions in the future due to the absence of quality companies in our target markets, economic conditions, or price expectations from sellers. If we are unable to complete additional acquisitions, our growth may be limited.</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Additionally, as we grow through acquisitions, we will continue to place significant demands on management, operational, and financial resources. Recent and future acquisitions will require integration of operations, sales and marketing, information technology, finance and administrative operations, which could decrease the time available to serve and attract customers. We cannot assure that we will be able to successfully integrate acquisitions, that these acquisitions will operate profitably, or that we will be able to achieve the financial or operational success expected from the acquisitions. Our financial condition, cash flows, and operational results could be adversely affected if we do not successfully integrate the newly acquired businesses, or if our other businesses suffer due to the increased focus on the newly acquired businesses.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Failure to successfully complete restructuring plans may adversely impact the financial statements.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continue to implement measures to address our cost structure. Successful implementation of such initiatives is critical to our future competitiveness and to improve profitability. Further actions to reduce our cost structure and the charges related to these actions may have a material effect on our results of operations and financial condition.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Failure to comply with laws and regulations could adversely affect our financial condition, results of operations, cash flows, and reputation.</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are subject to extensive regulation by U.S. and non-U.S. governmental and self-regulatory entities at the federal, state and local levels, including the following:</w:t>
      </w:r>
    </w:p>
    <w:p>
      <w:pPr>
        <w:spacing w:after="0" w:line="51" w:lineRule="exact"/>
        <w:rPr>
          <w:sz w:val="20"/>
          <w:szCs w:val="20"/>
          <w:color w:val="auto"/>
        </w:rPr>
      </w:pPr>
    </w:p>
    <w:p>
      <w:pPr>
        <w:ind w:left="1460" w:hanging="547"/>
        <w:spacing w:after="0"/>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Regulations relating to climate change, air emissions, wastewater discharges, handling and disposal of hazardous materials and wastes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relating to health, safety and the protection of the environment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country regulations where product is manufactured or sold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90" w:lineRule="exact"/>
        <w:rPr>
          <w:rFonts w:ascii="Arial" w:cs="Arial" w:eastAsia="Arial" w:hAnsi="Arial"/>
          <w:sz w:val="18"/>
          <w:szCs w:val="18"/>
          <w:color w:val="auto"/>
        </w:rPr>
      </w:pPr>
    </w:p>
    <w:p>
      <w:pPr>
        <w:ind w:left="1460" w:right="20" w:hanging="547"/>
        <w:spacing w:after="0" w:line="332" w:lineRule="auto"/>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Laws and regulations that apply to companies doing business with the government, audit for compliance with requirements of government contracts including procurement integrity, export control, employment practices, and the accuracy of records and recording of costs</w:t>
      </w:r>
    </w:p>
    <w:p>
      <w:pPr>
        <w:spacing w:after="0" w:line="79"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Further</w:t>
      </w:r>
      <w:r>
        <w:rPr>
          <w:rFonts w:ascii="Arial" w:cs="Arial" w:eastAsia="Arial" w:hAnsi="Arial"/>
          <w:sz w:val="18"/>
          <w:szCs w:val="18"/>
          <w:b w:val="1"/>
          <w:bCs w:val="1"/>
          <w:color w:val="auto"/>
        </w:rPr>
        <w:t>,</w:t>
      </w:r>
      <w:r>
        <w:rPr>
          <w:rFonts w:ascii="Arial" w:cs="Arial" w:eastAsia="Arial" w:hAnsi="Arial"/>
          <w:sz w:val="18"/>
          <w:szCs w:val="18"/>
          <w:color w:val="auto"/>
        </w:rPr>
        <w:t xml:space="preserve"> these laws and regulations are constantly evolving, and it is impossible to predict accurately the effect they may have upon our financial condition, results of operations or cash flows.</w:t>
      </w:r>
    </w:p>
    <w:p>
      <w:pPr>
        <w:spacing w:after="0" w:line="12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could lead to substantial civil or criminal, monetary and non-monetary penalties and related shareholder lawsuits, and could damage our reputation.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Computer systems and technology may be susceptible to cyber threats which could adversely impact the financial statements.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exposure to cyber-security threats is growing as we expand and increase our reliance on computers and digital technologies. Our business employs systems and websites designed for the secure storage and transmission of proprietary information. Security breaches could expose us to a risk of loss or misuse of this information, litigation and potential liability. We may not have the resources or technical sophistication to anticipate or prevent rapidly evolving types of cyber attacks. Any compromise of our security could result in a violation of applicable privacy and other laws, significant legal and financial exposure, damage to our reputation, and a loss of confidence in our security measures, which could harm our business.</w:t>
      </w:r>
    </w:p>
    <w:p>
      <w:pPr>
        <w:spacing w:after="0" w:line="19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b w:val="1"/>
          <w:bCs w:val="1"/>
          <w:i w:val="1"/>
          <w:iCs w:val="1"/>
          <w:color w:val="auto"/>
        </w:rPr>
        <w:t>Failure to meet certain financial covenants required by our debt agreements may adversely affect our assets, financial position, cash flows, and liquidity.</w:t>
      </w:r>
    </w:p>
    <w:p>
      <w:pPr>
        <w:spacing w:after="0" w:line="5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of July 31, 2012, we had approximately $316.2 million in outstanding indebtedness. In addition, based on the availability under our credit facilities as of July 31, 2012, we had the ability to incur an additional $300.0 million under our revolving credit agreement. Our current revolving credit agreement and long-term debt obligations also impose certain restrictions on us. Refer to the MD&amp;A within Item 7 for more information regarding our credit agreement and long-term debt obligations. If we breach any of these restrictions or covenants and do not obtain a waiver from the lenders, then, subject to applicable cure periods, the outstanding indebtedness (and any other indebtedness with cross-default provisions) could be declared immediately due and payable, which would adversely affect our liquidity and financial condition.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increase in the level of debt could adversely affect our financial health.</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An increase in our level of debt, which historically has occurred in order to finance acquisitions and for other general corporate purposes, could adversely impact: obligations under existing debt agreements; ability to obtain additional financing for future growth; future interest rates; cash flows available to fund new product development; capital expenditures; working capital and other general corporate activities; and our flexibility in planning and reacting to changes in the business.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or other intangible assets may become impaired, which may negatively impact profitability.</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goodwill of $676.8 million and other intangible assets of $84.1 million as of July 31, 2012, which represents 47% of our total assets. We evaluate goodwill for impairment on an annual basis or more frequently if impairment indicators are present based upon the fair value of each reporting unit. We assess the impairment of other intangible assets on an annual basis or more frequently if impairment indicators are present based upon the expected future cash flows of the respective assets. These valuations include management’s estimates of sales, profitability, cash flow generation, capital structure, cost of debt, interest rates, capital expenditures, and other assumptions. Significant negative industry or economic trends, disruptions to our business, inability to achieve forecasted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reporting units changes in future periods, we may be required to record an impairment charge related to goodwill or other intangible assets, which would reduce earnings in such period.</w:t>
      </w:r>
    </w:p>
    <w:p>
      <w:pPr>
        <w:spacing w:after="0" w:line="19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are subject to income taxes in the U.S. and in many non-U.S. jurisdictions. As such, our earnings are subject to risk due to changing tax laws and tax rates around the world. At any point in time, there are a number of tax proposals at various stages of legislation throughout the globe. While it is impossible for us to predict whether some or all of these proposals will be enacted, it is likely would have an impact on our earnings.</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tax filings are subject to audit by U.S. federal, state and local tax authorities and by non-U.S. tax authorities. If these audits result in payments or assessments different from our reserves, our future net earnings may be adversely impacted.</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review the probability of the realization of our deferred tax assets on a quarterly basis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 foreign jurisdictions, or changes in our geographic footprint may require changes in the valuation allowances in order to reduce our deferred tax assets. Such changes could result in a material impact on earnings.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annual cash needs could require us to repatriate cash to the U.S. from foreign jurisdictions. This could result in material expenses in the period in which the transactions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operates 56 manufacturing or distribution facilities in the following regions: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Eleven are located in the United States; three in Brazil, two in Mexico; and one in Canada.</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EMEA: </w:t>
      </w:r>
      <w:r>
        <w:rPr>
          <w:rFonts w:ascii="Arial" w:cs="Arial" w:eastAsia="Arial" w:hAnsi="Arial"/>
          <w:sz w:val="18"/>
          <w:szCs w:val="18"/>
          <w:color w:val="auto"/>
        </w:rPr>
        <w:t>Four each located in the United Kingdom, Belgium, and Germany; three in France; two each in Norway and Sweden, and one each in the Netherlands,</w:t>
      </w:r>
      <w:r>
        <w:rPr>
          <w:rFonts w:ascii="Arial" w:cs="Arial" w:eastAsia="Arial" w:hAnsi="Arial"/>
          <w:sz w:val="18"/>
          <w:szCs w:val="18"/>
          <w:b w:val="1"/>
          <w:bCs w:val="1"/>
          <w:color w:val="auto"/>
        </w:rPr>
        <w:t xml:space="preserve"> </w:t>
      </w:r>
      <w:r>
        <w:rPr>
          <w:rFonts w:ascii="Arial" w:cs="Arial" w:eastAsia="Arial" w:hAnsi="Arial"/>
          <w:sz w:val="18"/>
          <w:szCs w:val="18"/>
          <w:color w:val="auto"/>
        </w:rPr>
        <w:t>Denmark, Italy, Poland, and South Africa.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Asia-Pacific: </w:t>
      </w:r>
      <w:r>
        <w:rPr>
          <w:rFonts w:ascii="Arial" w:cs="Arial" w:eastAsia="Arial" w:hAnsi="Arial"/>
          <w:sz w:val="18"/>
          <w:szCs w:val="18"/>
          <w:color w:val="auto"/>
        </w:rPr>
        <w:t>Seven are located in China; two in Australia; and one each in Japan, Thailand, Singapore, India, South Korea, and Malaysia.</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leases the majority of its operating facilities under operating lease agreements. The Company believes that its equipment and facilities are modern, well maintained, and adequate for present needs.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4th Quarter</w:t>
            </w:r>
          </w:p>
        </w:tc>
        <w:tc>
          <w:tcPr>
            <w:tcW w:w="30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$31.28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$25.15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$38.49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$34.75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$24.37</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3rd Quarter</w:t>
            </w:r>
          </w:p>
        </w:tc>
        <w:tc>
          <w:tcPr>
            <w:tcW w:w="3500" w:type="dxa"/>
            <w:vAlign w:val="bottom"/>
            <w:gridSpan w:val="2"/>
          </w:tcPr>
          <w:p>
            <w:pPr>
              <w:jc w:val="center"/>
              <w:ind w:left="2912"/>
              <w:spacing w:after="0"/>
              <w:rPr>
                <w:sz w:val="20"/>
                <w:szCs w:val="20"/>
                <w:color w:val="auto"/>
              </w:rPr>
            </w:pPr>
            <w:r>
              <w:rPr>
                <w:rFonts w:ascii="Arial" w:cs="Arial" w:eastAsia="Arial" w:hAnsi="Arial"/>
                <w:sz w:val="18"/>
                <w:szCs w:val="18"/>
                <w:color w:val="auto"/>
                <w:w w:val="90"/>
              </w:rPr>
              <w:t>$34.37</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0"/>
              </w:rPr>
              <w:t>$29.41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$37.71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$33.37</w:t>
            </w:r>
          </w:p>
        </w:tc>
        <w:tc>
          <w:tcPr>
            <w:tcW w:w="2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$35.28</w:t>
            </w:r>
          </w:p>
        </w:tc>
        <w:tc>
          <w:tcPr>
            <w:tcW w:w="800" w:type="dxa"/>
            <w:vAlign w:val="bottom"/>
            <w:gridSpan w:val="2"/>
          </w:tcPr>
          <w:p>
            <w:pPr>
              <w:jc w:val="center"/>
              <w:ind w:left="217"/>
              <w:spacing w:after="0"/>
              <w:rPr>
                <w:sz w:val="20"/>
                <w:szCs w:val="20"/>
                <w:color w:val="auto"/>
              </w:rPr>
            </w:pPr>
            <w:r>
              <w:rPr>
                <w:rFonts w:ascii="Arial" w:cs="Arial" w:eastAsia="Arial" w:hAnsi="Arial"/>
                <w:sz w:val="18"/>
                <w:szCs w:val="18"/>
                <w:color w:val="auto"/>
                <w:w w:val="90"/>
              </w:rPr>
              <w:t>$27.19</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3500" w:type="dxa"/>
            <w:vAlign w:val="bottom"/>
            <w:gridSpan w:val="2"/>
            <w:shd w:val="clear" w:color="auto" w:fill="CCEEFF"/>
          </w:tcPr>
          <w:p>
            <w:pPr>
              <w:jc w:val="center"/>
              <w:ind w:left="2912"/>
              <w:spacing w:after="0"/>
              <w:rPr>
                <w:sz w:val="20"/>
                <w:szCs w:val="20"/>
                <w:color w:val="auto"/>
              </w:rPr>
            </w:pPr>
            <w:r>
              <w:rPr>
                <w:rFonts w:ascii="Arial" w:cs="Arial" w:eastAsia="Arial" w:hAnsi="Arial"/>
                <w:sz w:val="18"/>
                <w:szCs w:val="18"/>
                <w:color w:val="auto"/>
                <w:w w:val="90"/>
              </w:rPr>
              <w:t>$34.40</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$27.09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$31.22</w:t>
            </w:r>
          </w:p>
        </w:tc>
        <w:tc>
          <w:tcPr>
            <w:tcW w:w="800" w:type="dxa"/>
            <w:vAlign w:val="bottom"/>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90"/>
              </w:rPr>
              <w:t>$26.77</w:t>
            </w:r>
          </w:p>
        </w:tc>
        <w:tc>
          <w:tcPr>
            <w:tcW w:w="100" w:type="dxa"/>
            <w:vAlign w:val="bottom"/>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1st Quarter</w:t>
            </w:r>
          </w:p>
        </w:tc>
        <w:tc>
          <w:tcPr>
            <w:tcW w:w="3500" w:type="dxa"/>
            <w:vAlign w:val="bottom"/>
            <w:gridSpan w:val="2"/>
          </w:tcPr>
          <w:p>
            <w:pPr>
              <w:jc w:val="center"/>
              <w:ind w:left="2912"/>
              <w:spacing w:after="0"/>
              <w:rPr>
                <w:sz w:val="20"/>
                <w:szCs w:val="20"/>
                <w:color w:val="auto"/>
              </w:rPr>
            </w:pPr>
            <w:r>
              <w:rPr>
                <w:rFonts w:ascii="Arial" w:cs="Arial" w:eastAsia="Arial" w:hAnsi="Arial"/>
                <w:sz w:val="18"/>
                <w:szCs w:val="18"/>
                <w:color w:val="auto"/>
                <w:w w:val="90"/>
              </w:rPr>
              <w:t>$32.24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0"/>
              </w:rPr>
              <w:t>$24.73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$25.35</w:t>
            </w:r>
          </w:p>
        </w:tc>
        <w:tc>
          <w:tcPr>
            <w:tcW w:w="2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$33.06</w:t>
            </w:r>
          </w:p>
        </w:tc>
        <w:tc>
          <w:tcPr>
            <w:tcW w:w="800" w:type="dxa"/>
            <w:vAlign w:val="bottom"/>
            <w:gridSpan w:val="2"/>
          </w:tcPr>
          <w:p>
            <w:pPr>
              <w:jc w:val="center"/>
              <w:ind w:left="217"/>
              <w:spacing w:after="0"/>
              <w:rPr>
                <w:sz w:val="20"/>
                <w:szCs w:val="20"/>
                <w:color w:val="auto"/>
              </w:rPr>
            </w:pPr>
            <w:r>
              <w:rPr>
                <w:rFonts w:ascii="Arial" w:cs="Arial" w:eastAsia="Arial" w:hAnsi="Arial"/>
                <w:sz w:val="18"/>
                <w:szCs w:val="18"/>
                <w:color w:val="auto"/>
                <w:w w:val="90"/>
              </w:rPr>
              <w:t>$27.08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29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17, 2012, there were 901 Class A Common Stock shareholders of record and approximately 6,000 beneficial shareholders. There are three Class B Common Stock shareholders.</w:t>
      </w:r>
    </w:p>
    <w:p>
      <w:pPr>
        <w:spacing w:after="0" w:line="25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September 9, 2011, the Company’s Board of Directors authorized a share repurchase program for up to two million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During the three months ended July 31, 2012, the Company purchased 1,411,833 shares of its Class A Nonvoting Common Stock under this plan for $37.6 million. As of July 31, 2012, there remained 334,940 shares to purchase in connection with this share repurchase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with respect to the purchase of Class A Nonvoting Common Stock during the three months ended July 31, 2012:</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62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62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300" w:type="dxa"/>
            <w:vAlign w:val="bottom"/>
            <w:vMerge w:val="restart"/>
          </w:tcPr>
          <w:p>
            <w:pPr>
              <w:spacing w:after="0"/>
              <w:rPr>
                <w:sz w:val="14"/>
                <w:szCs w:val="14"/>
                <w:color w:val="auto"/>
              </w:rPr>
            </w:pPr>
          </w:p>
        </w:tc>
        <w:tc>
          <w:tcPr>
            <w:tcW w:w="16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Total Number of</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 Paid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as Part of Publicly</w:t>
            </w:r>
          </w:p>
        </w:tc>
        <w:tc>
          <w:tcPr>
            <w:tcW w:w="62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Yet Be Purchased</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1660" w:type="dxa"/>
            <w:vAlign w:val="bottom"/>
            <w:gridSpan w:val="3"/>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124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per Share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Announced Plans</w:t>
            </w:r>
          </w:p>
        </w:tc>
        <w:tc>
          <w:tcPr>
            <w:tcW w:w="620" w:type="dxa"/>
            <w:vAlign w:val="bottom"/>
          </w:tcPr>
          <w:p>
            <w:pPr>
              <w:spacing w:after="0"/>
              <w:rPr>
                <w:sz w:val="14"/>
                <w:szCs w:val="14"/>
                <w:color w:val="auto"/>
              </w:rPr>
            </w:pPr>
          </w:p>
        </w:tc>
        <w:tc>
          <w:tcPr>
            <w:tcW w:w="12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Under the Plans</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May 1, 2012 – May 31, 2012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1,746,773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June 1, 2012 – June 30, 2012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586,833</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27.25</w:t>
            </w:r>
          </w:p>
        </w:tc>
        <w:tc>
          <w:tcPr>
            <w:tcW w:w="1060" w:type="dxa"/>
            <w:vAlign w:val="bottom"/>
          </w:tcPr>
          <w:p>
            <w:pPr>
              <w:jc w:val="right"/>
              <w:spacing w:after="0"/>
              <w:rPr>
                <w:sz w:val="20"/>
                <w:szCs w:val="20"/>
                <w:color w:val="auto"/>
              </w:rPr>
            </w:pPr>
            <w:r>
              <w:rPr>
                <w:rFonts w:ascii="Arial" w:cs="Arial" w:eastAsia="Arial" w:hAnsi="Arial"/>
                <w:sz w:val="18"/>
                <w:szCs w:val="18"/>
                <w:color w:val="auto"/>
              </w:rPr>
              <w:t>586,833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1,159,940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2012 – July 31, 2012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26.22</w:t>
            </w:r>
          </w:p>
        </w:tc>
        <w:tc>
          <w:tcPr>
            <w:tcW w:w="6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6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1,411,833</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26.65</w:t>
            </w:r>
          </w:p>
        </w:tc>
        <w:tc>
          <w:tcPr>
            <w:tcW w:w="1060" w:type="dxa"/>
            <w:vAlign w:val="bottom"/>
          </w:tcPr>
          <w:p>
            <w:pPr>
              <w:jc w:val="right"/>
              <w:spacing w:after="0"/>
              <w:rPr>
                <w:sz w:val="20"/>
                <w:szCs w:val="20"/>
                <w:color w:val="auto"/>
              </w:rPr>
            </w:pPr>
            <w:r>
              <w:rPr>
                <w:rFonts w:ascii="Arial" w:cs="Arial" w:eastAsia="Arial" w:hAnsi="Arial"/>
                <w:sz w:val="18"/>
                <w:szCs w:val="18"/>
                <w:color w:val="auto"/>
              </w:rPr>
              <w:t>1,411,833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334,940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restriction will not impede it in following a similar dividend practice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two most recent fiscal years and for the first quarter of fiscal 2013, the Company declared the following dividends per share on its Class A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for the years ended July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w w:val="92"/>
              </w:rPr>
              <w:t>1st Qtr</w:t>
            </w: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1st Qtr</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2"/>
              </w:rPr>
              <w:t>2nd Qtr</w:t>
            </w:r>
          </w:p>
        </w:tc>
        <w:tc>
          <w:tcPr>
            <w:tcW w:w="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3rd Qtr</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4th Qtr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1st Qtr</w:t>
            </w: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2nd Qtr</w:t>
            </w:r>
          </w:p>
        </w:tc>
        <w:tc>
          <w:tcPr>
            <w:tcW w:w="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3rd Qtr</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4th Qtr</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0.185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$0.185</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$0.185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$0.185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$ 0.18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$ 0.18</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Class B</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0.17335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0.16835</w:t>
            </w:r>
          </w:p>
        </w:tc>
        <w:tc>
          <w:tcPr>
            <w:tcW w:w="500" w:type="dxa"/>
            <w:vAlign w:val="bottom"/>
          </w:tcPr>
          <w:p>
            <w:pPr>
              <w:jc w:val="right"/>
              <w:spacing w:after="0"/>
              <w:rPr>
                <w:sz w:val="20"/>
                <w:szCs w:val="20"/>
                <w:color w:val="auto"/>
              </w:rPr>
            </w:pPr>
            <w:r>
              <w:rPr>
                <w:rFonts w:ascii="Arial" w:cs="Arial" w:eastAsia="Arial" w:hAnsi="Arial"/>
                <w:sz w:val="18"/>
                <w:szCs w:val="18"/>
                <w:color w:val="auto"/>
              </w:rPr>
              <w:t>0.185</w:t>
            </w:r>
          </w:p>
        </w:tc>
        <w:tc>
          <w:tcPr>
            <w:tcW w:w="240" w:type="dxa"/>
            <w:vAlign w:val="bottom"/>
          </w:tcPr>
          <w:p>
            <w:pPr>
              <w:spacing w:after="0"/>
              <w:rPr>
                <w:sz w:val="19"/>
                <w:szCs w:val="19"/>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0.185</w:t>
            </w:r>
          </w:p>
        </w:tc>
        <w:tc>
          <w:tcPr>
            <w:tcW w:w="500" w:type="dxa"/>
            <w:vAlign w:val="bottom"/>
          </w:tcPr>
          <w:p>
            <w:pPr>
              <w:jc w:val="right"/>
              <w:spacing w:after="0"/>
              <w:rPr>
                <w:sz w:val="20"/>
                <w:szCs w:val="20"/>
                <w:color w:val="auto"/>
              </w:rPr>
            </w:pPr>
            <w:r>
              <w:rPr>
                <w:rFonts w:ascii="Arial" w:cs="Arial" w:eastAsia="Arial" w:hAnsi="Arial"/>
                <w:sz w:val="18"/>
                <w:szCs w:val="18"/>
                <w:color w:val="auto"/>
              </w:rPr>
              <w:t>0.185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0.16335</w:t>
            </w:r>
          </w:p>
        </w:tc>
        <w:tc>
          <w:tcPr>
            <w:tcW w:w="46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r>
      <w:tr>
        <w:trPr>
          <w:trHeight w:val="356"/>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Price Performance Graph</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2007, in each of Brady Corporation Class A Common Stock, The Standard &amp; Poor’s (S&amp;P) 500 index, the Standard and Poor’s SmallCap 600 index, and the Russell 2000 index.</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238760</wp:posOffset>
            </wp:positionV>
            <wp:extent cx="5831840" cy="3112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184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invested on 7/31/07 in stock or index—including reinvestment of dividends. Fiscal year ended July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7/31/2007</w:t>
            </w: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7/31/2008</w:t>
            </w: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7/31/2009</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7/31/2010</w:t>
            </w: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7/31/2011</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7/31/2012</w:t>
            </w:r>
          </w:p>
        </w:tc>
        <w:tc>
          <w:tcPr>
            <w:tcW w:w="100" w:type="dxa"/>
            <w:vAlign w:val="bottom"/>
            <w:tcBorders>
              <w:bottom w:val="single" w:sz="8" w:color="CCEEFF"/>
            </w:tcBorders>
          </w:tcPr>
          <w:p>
            <w:pPr>
              <w:spacing w:after="0"/>
              <w:rPr>
                <w:sz w:val="14"/>
                <w:szCs w:val="14"/>
                <w:color w:val="auto"/>
              </w:rPr>
            </w:pPr>
          </w:p>
        </w:tc>
      </w:tr>
      <w:tr>
        <w:trPr>
          <w:trHeight w:val="210"/>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Brady Corporation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106.65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S&amp;P 500 Index</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88.91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71.16</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81.01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96.93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105.78</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S&amp;P SmallCap 600 Index</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91.72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88.25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110.06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114.45</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Russell 2000 Index</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2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93.29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73.94</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87.58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108.52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108.72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Copyright (C) 2012, Standard &amp; Poor’s, a division of The McGraw-Hill Companies, Inc. All rights reserved.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2008 through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Data (1)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1,324,269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1,339,597</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1,259,096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1,208,702</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1,523,016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441,815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435,906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397,180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 (2)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Impairment charge (3)</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457,210</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162,192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129,456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120,373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207,684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Investment and other income—net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860"/>
              <w:spacing w:after="0"/>
              <w:rPr>
                <w:sz w:val="20"/>
                <w:szCs w:val="20"/>
                <w:color w:val="auto"/>
              </w:rPr>
            </w:pPr>
            <w:r>
              <w:rPr>
                <w:rFonts w:ascii="Arial" w:cs="Arial" w:eastAsia="Arial" w:hAnsi="Arial"/>
                <w:sz w:val="18"/>
                <w:szCs w:val="18"/>
                <w:color w:val="auto"/>
              </w:rPr>
              <w:t>Net other expense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(18,134)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(20,054)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(23,101)</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97,272</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132,188</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 Per Common Share—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nonvoting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Class B voting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Balance Sheet at July 31: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383,836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456,406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375,184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1,607,719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1,861,505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1,746,231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1,583,267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1,850,513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obligations, less current maturities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Stockholders’ investment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1,009,353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1,156,192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1,005,027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951,092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144,705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167,350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165,238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126,645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(20,532)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(26,296)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(24,027)</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(26,407)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data has been impacted by the acquisitive nature of the Company as three, one, three, and two acquisitions were completed in fiscal years ended July 31, 2012, 2011, 2010, and 2008, respectively. There were no acquisitions in fiscal 2009. Refer to Note 2 within Item 8 for further information on the acquisitions that were completed.</w:t>
      </w:r>
    </w:p>
    <w:p>
      <w:pPr>
        <w:spacing w:after="0" w:line="59"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the reduction in its workforce and decreased discretionary spending. The Company continued certain of these measures during fiscal 2010 and 2011. During fiscal 2012, the Company took various measures to address its cost structure in response to a decline in forecasted operating results. As a result, the Company recorded restructuring charges during fiscal 2012.</w:t>
      </w:r>
    </w:p>
    <w:p>
      <w:pPr>
        <w:spacing w:after="0" w:line="62"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recognized a goodwill impairment charge of $115.7 million during the quarter ended January 31, 2012, related to the former North/South Asia reporting unit within the Asia-Pacific reporting segment. Refer to Note 1 within Item 8 for further information regarding the impairment charge.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2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fiscal 2012, the Company posted sales of $1,324.3 million and a net loss of $17.9 million. Sales declined by 1.1% from fiscal 2011 to fiscal 2012, of which organic sales decreased by 0.4%, the effects of fluctuations in the exchange rates used to translate financial results into the United States dollar decreased sales by 1.0%, and acquisitions net of divestitures, increased sales by 0.3%. Regionally, fiscal 2012 sales in the Americas increased 2.2%, while sales in EMEA and Asia-Pacific decreased 3.9% and 3.4%, respectively, as compared to fiscal 2011.</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net loss for fiscal 2012 of $17.9 million or ($0.35) per diluted share of Class A Common Stock is a decline from fiscal 2011 net income of $108.7 million, or $2.04 per diluted share. The decline in net income was primarily due to a $115.7 million goodwill impairment charge recorded during the second quarter ended January 31, 2012, related to the former North/South Asia reporting unit within the Asia-Pacific operating segment. Refer to Note 1, “Summary of Significant Accounting Policies” within the Notes to the Consolidated Financial Statements for further discussion regarding the goodwill impairment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2012, Compared to Year Ended July 31, 2011</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comparability of the operating results for the fiscal years ended July 31, 2012 to July 31, 2011, has been impacted by the following acquisitions and divestitures completed in fiscal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Acquisitions:</w:t>
            </w:r>
          </w:p>
        </w:tc>
        <w:tc>
          <w:tcPr>
            <w:tcW w:w="4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Date Completed</w:t>
            </w:r>
          </w:p>
        </w:tc>
      </w:tr>
      <w:tr>
        <w:trPr>
          <w:trHeight w:val="195"/>
        </w:trPr>
        <w:tc>
          <w:tcPr>
            <w:tcW w:w="5380" w:type="dxa"/>
            <w:vAlign w:val="bottom"/>
            <w:gridSpan w:val="3"/>
          </w:tcPr>
          <w:p>
            <w:pPr>
              <w:spacing w:after="0" w:line="195" w:lineRule="exact"/>
              <w:rPr>
                <w:sz w:val="20"/>
                <w:szCs w:val="20"/>
                <w:color w:val="auto"/>
              </w:rPr>
            </w:pPr>
            <w:r>
              <w:rPr>
                <w:rFonts w:ascii="Arial" w:cs="Arial" w:eastAsia="Arial" w:hAnsi="Arial"/>
                <w:sz w:val="18"/>
                <w:szCs w:val="18"/>
                <w:color w:val="auto"/>
              </w:rPr>
              <w:t>ID Warehouse</w:t>
            </w:r>
          </w:p>
        </w:tc>
        <w:tc>
          <w:tcPr>
            <w:tcW w:w="200" w:type="dxa"/>
            <w:vAlign w:val="bottom"/>
          </w:tcPr>
          <w:p>
            <w:pPr>
              <w:spacing w:after="0"/>
              <w:rPr>
                <w:sz w:val="16"/>
                <w:szCs w:val="16"/>
                <w:color w:val="auto"/>
              </w:rPr>
            </w:pPr>
          </w:p>
        </w:tc>
        <w:tc>
          <w:tcPr>
            <w:tcW w:w="2700" w:type="dxa"/>
            <w:vAlign w:val="bottom"/>
          </w:tcPr>
          <w:p>
            <w:pPr>
              <w:spacing w:after="0" w:line="195" w:lineRule="exact"/>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40" w:type="dxa"/>
            <w:vAlign w:val="bottom"/>
            <w:gridSpan w:val="2"/>
          </w:tcPr>
          <w:p>
            <w:pPr>
              <w:spacing w:after="0" w:line="195" w:lineRule="exact"/>
              <w:rPr>
                <w:sz w:val="20"/>
                <w:szCs w:val="20"/>
                <w:color w:val="auto"/>
              </w:rPr>
            </w:pPr>
            <w:r>
              <w:rPr>
                <w:rFonts w:ascii="Arial" w:cs="Arial" w:eastAsia="Arial" w:hAnsi="Arial"/>
                <w:sz w:val="18"/>
                <w:szCs w:val="18"/>
                <w:color w:val="auto"/>
              </w:rPr>
              <w:t>November 2010</w:t>
            </w: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Grafo Wiremarkers Africa (“Grafo”)</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3060" w:type="dxa"/>
            <w:vAlign w:val="bottom"/>
            <w:gridSpan w:val="3"/>
          </w:tcPr>
          <w:p>
            <w:pPr>
              <w:ind w:left="20"/>
              <w:spacing w:after="0"/>
              <w:rPr>
                <w:sz w:val="20"/>
                <w:szCs w:val="20"/>
                <w:color w:val="auto"/>
              </w:rPr>
            </w:pPr>
            <w:r>
              <w:rPr>
                <w:rFonts w:ascii="Arial" w:cs="Arial" w:eastAsia="Arial" w:hAnsi="Arial"/>
                <w:sz w:val="18"/>
                <w:szCs w:val="18"/>
                <w:color w:val="auto"/>
              </w:rPr>
              <w:t>March 2012</w:t>
            </w: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color w:val="auto"/>
              </w:rPr>
              <w:t>Runelandhs Försäljnings AB (“Runelandhs”)</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3060" w:type="dxa"/>
            <w:vAlign w:val="bottom"/>
            <w:gridSpan w:val="3"/>
          </w:tcPr>
          <w:p>
            <w:pPr>
              <w:ind w:left="20"/>
              <w:spacing w:after="0"/>
              <w:rPr>
                <w:sz w:val="20"/>
                <w:szCs w:val="20"/>
                <w:color w:val="auto"/>
              </w:rPr>
            </w:pPr>
            <w:r>
              <w:rPr>
                <w:rFonts w:ascii="Arial" w:cs="Arial" w:eastAsia="Arial" w:hAnsi="Arial"/>
                <w:sz w:val="18"/>
                <w:szCs w:val="18"/>
                <w:color w:val="auto"/>
              </w:rPr>
              <w:t>May 2012</w:t>
            </w: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rPr>
              <w:t>Pervaco AS (“Pervaco”)</w:t>
            </w: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9"/>
                <w:szCs w:val="19"/>
                <w:color w:val="auto"/>
              </w:rPr>
            </w:pPr>
          </w:p>
        </w:tc>
        <w:tc>
          <w:tcPr>
            <w:tcW w:w="3060" w:type="dxa"/>
            <w:vAlign w:val="bottom"/>
            <w:gridSpan w:val="3"/>
          </w:tcPr>
          <w:p>
            <w:pPr>
              <w:ind w:left="20"/>
              <w:spacing w:after="0"/>
              <w:rPr>
                <w:sz w:val="20"/>
                <w:szCs w:val="20"/>
                <w:color w:val="auto"/>
              </w:rPr>
            </w:pPr>
            <w:r>
              <w:rPr>
                <w:rFonts w:ascii="Arial" w:cs="Arial" w:eastAsia="Arial" w:hAnsi="Arial"/>
                <w:sz w:val="18"/>
                <w:szCs w:val="18"/>
                <w:color w:val="auto"/>
              </w:rPr>
              <w:t>May 2012</w:t>
            </w:r>
          </w:p>
        </w:tc>
      </w:tr>
      <w:tr>
        <w:trPr>
          <w:trHeight w:val="373"/>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Divestitures:</w:t>
            </w:r>
          </w:p>
        </w:tc>
        <w:tc>
          <w:tcPr>
            <w:tcW w:w="200" w:type="dxa"/>
            <w:vAlign w:val="bottom"/>
          </w:tcPr>
          <w:p>
            <w:pPr>
              <w:spacing w:after="0"/>
              <w:rPr>
                <w:sz w:val="24"/>
                <w:szCs w:val="24"/>
                <w:color w:val="auto"/>
              </w:rPr>
            </w:pPr>
          </w:p>
        </w:tc>
        <w:tc>
          <w:tcPr>
            <w:tcW w:w="2700" w:type="dxa"/>
            <w:vAlign w:val="bottom"/>
          </w:tcPr>
          <w:p>
            <w:pPr>
              <w:ind w:left="1020"/>
              <w:spacing w:after="0"/>
              <w:rPr>
                <w:sz w:val="20"/>
                <w:szCs w:val="20"/>
                <w:color w:val="auto"/>
              </w:rPr>
            </w:pPr>
            <w:r>
              <w:rPr>
                <w:rFonts w:ascii="Arial" w:cs="Arial" w:eastAsia="Arial" w:hAnsi="Arial"/>
                <w:sz w:val="14"/>
                <w:szCs w:val="14"/>
                <w:b w:val="1"/>
                <w:bCs w:val="1"/>
                <w:color w:val="auto"/>
              </w:rPr>
              <w:t>Segments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ind w:left="1020"/>
              <w:spacing w:after="0"/>
              <w:rPr>
                <w:sz w:val="20"/>
                <w:szCs w:val="20"/>
                <w:color w:val="auto"/>
              </w:rPr>
            </w:pPr>
            <w:r>
              <w:rPr>
                <w:rFonts w:ascii="Arial" w:cs="Arial" w:eastAsia="Arial" w:hAnsi="Arial"/>
                <w:sz w:val="14"/>
                <w:szCs w:val="14"/>
                <w:b w:val="1"/>
                <w:bCs w:val="1"/>
                <w:color w:val="auto"/>
              </w:rPr>
              <w:t>Date Completed</w:t>
            </w:r>
          </w:p>
        </w:tc>
      </w:tr>
      <w:tr>
        <w:trPr>
          <w:trHeight w:val="195"/>
        </w:trPr>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Teklynx</w:t>
            </w:r>
          </w:p>
        </w:tc>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9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Americas, EMEA</w:t>
            </w: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December 2010</w:t>
            </w: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rPr>
              <w:t>Etimark</w:t>
            </w:r>
          </w:p>
        </w:tc>
        <w:tc>
          <w:tcPr>
            <w:tcW w:w="2900" w:type="dxa"/>
            <w:vAlign w:val="bottom"/>
            <w:gridSpan w:val="2"/>
          </w:tcPr>
          <w:p>
            <w:pPr>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July 2012</w:t>
            </w:r>
          </w:p>
        </w:tc>
      </w:tr>
    </w:tbl>
    <w:p>
      <w:pPr>
        <w:spacing w:after="0" w:line="15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Fiscal 2012 sales decreased $15.3 million, or 1.1% from fiscal 2011. The 1.1% decrease in sales consisted of a 0.4% decline in organic sales, a 1.0% decline due to the effects of the foreign currency translation, and 0.3% growth due to acquisitions net of divestitures.</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Organic sales, defined as sales in the Company’s existing businesses and regions (exclusive of acquisitions owned less than one year, divestitures, and foreign currency translation effects), were down 0.4% compared to fiscal 2011. Regionally, fiscal 2012 organic sales in the Americas increased 3.4%, while organic sales in EMEA and Asia-Pacific decreased 1.3% and 5.3%, respectively, as compared to fiscal 2011. The organic sales increase experienced in the Americas was due primarily to strong ID Solutions sales growth and new products positively received by end-users and distributors. The decrease in EMEA’s organic sales was primarily due to the challenging economic environment within the region. The organic sales decline in the Asia-Pacific segment was driven by the Asia Die-Cut business platform. Sales were weak within the die-cut mobile handset market, and the flooding in Thailand caused a significant disruption to the hard disk drive supply chain during the last nine months of the fiscal year.</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acquisitions net of divestitures increased sales by 0.3% in fiscal 2012 as compared to fiscal 2011. The currency growth reflects fluctuations in the exchange rates used to translate financial results into the United States Dollar, which decreased sales by 1.0% for the year.</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Gross margin as a percentage of sales declined to 48.0% in fiscal 2012 from 49.0% in fiscal 2011. The primary driver of the gross margin decline was the Asia-Pacific region, where lost sales due to the decline in market share of a primary customer have been replaced with lower margin sales opportunities, and price competition within the die-cut industry has increased.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Research and development expenses decreased to $38.4 million in fiscal 2012 from $43.0 million in fiscal 2011, and declined as a percentage of sales in fiscal 2012 to 2.9% compared to 3.2% in fiscal 2011. The decline in R&amp;D expenses was primarily due to a decrease in variable incentive compensation for fiscal year 2012 compared to fiscal year 2011, as well as cost reduction actions within the Asia-Pacific region.</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Selling, general, and administrative (“SG&amp;A”) expenses decreased to $430.3 million in fiscal 2012 as compared to $441.8 million in fiscal 2011. As a percentage of sales, SG&amp;A declined to 32.5% in fiscal 2012 from 33.0% in fiscal 2011, mainly due to a pretax reduction in variable incentive compensation in fiscal 2012.</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fiscal year 2012, the Company took various measures to address its cost structure in response to weaker sales forecasts across the Company. As a result of these actions, the Company recorded restructuring expenses of $12.1 million during fiscal 2012. During fiscal 2011, the Company continued its cost-cutting actions initiated during fiscal 2009 and recorded $9.2 million in restructuring charges. Restructuring related costs were driven by facility consolidations and continued workforce reduction activities. The costs associated with the workforce reduction primarily include employee separation costs, consisting of severance pay, outplacement services, medical, and other related benefits for the Company’s work force.</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Interest expense decreased to $19.1 million from $22.1 million for fiscal 2012 compared to fiscal 2011. The decrease was due to the Company’s declining principal balance under its outstanding debt agreements. In fiscal 2012, the Company repaid $62.7 million in debt.</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Investment and other income decreased $1.9 million in fiscal 2012 to $2.1 million from $4.0 million in the prior year. The decrease was due to losses on foreign exchange transactions, partially offset by an increase in interest income earned on money market and depository accounts.</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Company’s effective tax rate was 178.7% in fiscal 2012, compared to the effective tax rate of 24.6% in fiscal 2011. The effective tax rate for fiscal 2012 was significantly impacted by the non-deductible goodwill impairment charge of $115.7 million recorded on the former North/South Asia reporting unit during the three months ended January 31, 2012, as well as a tax charge recorded during the three months ended July 31, 2012, related to an internal reorganization. Excluding these items our effective tax rate would have been consistent with the prior year. Refer to Note 1, “Summary of Significant Accounting Policies” within the Notes to the Consolidated Financial Statements for further discussion regarding the goodwill impairment charge.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net loss for the fiscal year ended July 31, 2012, was $17.9 million, compared to net income of $108.7 million for the fiscal year ended July 31, 2011. The net loss as a percentage of sales was (1.4%) for fiscal 2012, compared to net income as a percentage of sales of 8.1% for fiscal 2011. Diluted net loss per share was ($0.35) per share for fiscal 2012, compared to diluted net income per share of $2.04 for fiscal 2011. The fiscal 2012 net loss was a result of the goodwill impairment charge of $115.7 million recorded during the three months ended January 31, 2012. Refer to Note 1, “Summary of Significant Accounting Policies” in the Notes to the Consolidated Financial Statements for further discussion.</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fiscal 2012 net income before the goodwill impairment charge and restructuring-related expenses was $107.3 million, a decrease from net income before restructuring-related expenses of $115.2 million in fiscal 2011. The decline in net income excluding impairment and restructuring of 6.8% from fiscal 2011 to fiscal 2012 was primarily due to the gross margin and profit decline in the Asia Die-Cut business platform.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July 31, 2011, Compared to Year Ended July 31, 2010</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comparability of the operating results for the fiscal years ended July 31, 2011 to July 31, 2010, has been impacted by the following acquisition and divestiture completed in fiscal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Acquisition:</w:t>
            </w: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3"/>
          </w:tcPr>
          <w:p>
            <w:pPr>
              <w:ind w:left="1060"/>
              <w:spacing w:after="0"/>
              <w:rPr>
                <w:sz w:val="20"/>
                <w:szCs w:val="20"/>
                <w:color w:val="auto"/>
              </w:rPr>
            </w:pPr>
            <w:r>
              <w:rPr>
                <w:rFonts w:ascii="Arial" w:cs="Arial" w:eastAsia="Arial" w:hAnsi="Arial"/>
                <w:sz w:val="14"/>
                <w:szCs w:val="14"/>
                <w:b w:val="1"/>
                <w:bCs w:val="1"/>
                <w:color w:val="auto"/>
              </w:rPr>
              <w:t>Segment</w:t>
            </w:r>
          </w:p>
        </w:tc>
        <w:tc>
          <w:tcPr>
            <w:tcW w:w="2960" w:type="dxa"/>
            <w:vAlign w:val="bottom"/>
          </w:tcPr>
          <w:p>
            <w:pPr>
              <w:ind w:left="1020"/>
              <w:spacing w:after="0"/>
              <w:rPr>
                <w:sz w:val="20"/>
                <w:szCs w:val="20"/>
                <w:color w:val="auto"/>
              </w:rPr>
            </w:pPr>
            <w:r>
              <w:rPr>
                <w:rFonts w:ascii="Arial" w:cs="Arial" w:eastAsia="Arial" w:hAnsi="Arial"/>
                <w:sz w:val="14"/>
                <w:szCs w:val="14"/>
                <w:b w:val="1"/>
                <w:bCs w:val="1"/>
                <w:color w:val="auto"/>
              </w:rPr>
              <w:t>Date Completed</w:t>
            </w:r>
          </w:p>
        </w:tc>
      </w:tr>
      <w:tr>
        <w:trPr>
          <w:trHeight w:val="209"/>
        </w:trPr>
        <w:tc>
          <w:tcPr>
            <w:tcW w:w="5380" w:type="dxa"/>
            <w:vAlign w:val="bottom"/>
            <w:gridSpan w:val="3"/>
          </w:tcPr>
          <w:p>
            <w:pPr>
              <w:spacing w:after="0" w:line="202" w:lineRule="exact"/>
              <w:rPr>
                <w:sz w:val="20"/>
                <w:szCs w:val="20"/>
                <w:color w:val="auto"/>
              </w:rPr>
            </w:pPr>
            <w:r>
              <w:rPr>
                <w:rFonts w:ascii="Arial" w:cs="Arial" w:eastAsia="Arial" w:hAnsi="Arial"/>
                <w:sz w:val="18"/>
                <w:szCs w:val="18"/>
                <w:color w:val="auto"/>
              </w:rPr>
              <w:t>ID Warehouse</w:t>
            </w:r>
          </w:p>
        </w:tc>
        <w:tc>
          <w:tcPr>
            <w:tcW w:w="24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November 2010</w:t>
            </w:r>
          </w:p>
        </w:tc>
      </w:tr>
      <w:tr>
        <w:trPr>
          <w:trHeight w:val="365"/>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Divestiture:</w:t>
            </w:r>
          </w:p>
        </w:tc>
        <w:tc>
          <w:tcPr>
            <w:tcW w:w="240" w:type="dxa"/>
            <w:vAlign w:val="bottom"/>
          </w:tcPr>
          <w:p>
            <w:pPr>
              <w:spacing w:after="0"/>
              <w:rPr>
                <w:sz w:val="24"/>
                <w:szCs w:val="24"/>
                <w:color w:val="auto"/>
              </w:rPr>
            </w:pPr>
          </w:p>
        </w:tc>
        <w:tc>
          <w:tcPr>
            <w:tcW w:w="2840" w:type="dxa"/>
            <w:vAlign w:val="bottom"/>
            <w:gridSpan w:val="3"/>
          </w:tcPr>
          <w:p>
            <w:pPr>
              <w:ind w:left="980"/>
              <w:spacing w:after="0"/>
              <w:rPr>
                <w:sz w:val="20"/>
                <w:szCs w:val="20"/>
                <w:color w:val="auto"/>
              </w:rPr>
            </w:pPr>
            <w:r>
              <w:rPr>
                <w:rFonts w:ascii="Arial" w:cs="Arial" w:eastAsia="Arial" w:hAnsi="Arial"/>
                <w:sz w:val="14"/>
                <w:szCs w:val="14"/>
                <w:b w:val="1"/>
                <w:bCs w:val="1"/>
                <w:color w:val="auto"/>
              </w:rPr>
              <w:t>Segments</w:t>
            </w:r>
          </w:p>
        </w:tc>
        <w:tc>
          <w:tcPr>
            <w:tcW w:w="2960" w:type="dxa"/>
            <w:vAlign w:val="bottom"/>
          </w:tcPr>
          <w:p>
            <w:pPr>
              <w:ind w:left="1020"/>
              <w:spacing w:after="0"/>
              <w:rPr>
                <w:sz w:val="20"/>
                <w:szCs w:val="20"/>
                <w:color w:val="auto"/>
              </w:rPr>
            </w:pPr>
            <w:r>
              <w:rPr>
                <w:rFonts w:ascii="Arial" w:cs="Arial" w:eastAsia="Arial" w:hAnsi="Arial"/>
                <w:sz w:val="14"/>
                <w:szCs w:val="14"/>
                <w:b w:val="1"/>
                <w:bCs w:val="1"/>
                <w:color w:val="auto"/>
              </w:rPr>
              <w:t>Date Completed</w:t>
            </w:r>
          </w:p>
        </w:tc>
      </w:tr>
      <w:tr>
        <w:trPr>
          <w:trHeight w:val="209"/>
        </w:trPr>
        <w:tc>
          <w:tcPr>
            <w:tcW w:w="7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Teklynx</w:t>
            </w:r>
          </w:p>
        </w:tc>
        <w:tc>
          <w:tcPr>
            <w:tcW w:w="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Americas, EMEA</w:t>
            </w:r>
          </w:p>
        </w:tc>
        <w:tc>
          <w:tcPr>
            <w:tcW w:w="10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December 2010</w:t>
            </w:r>
          </w:p>
        </w:tc>
      </w:tr>
    </w:tbl>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Fiscal 2011 sales increased $80.5 million, or 6.4% from fiscal 2010. The 6.4% increase in sales consisted of 2.9% growth in organic sales, 2.5% growth due to the effects of the foreign currency translation, and 1.0% growth due to an acquisition net of divesture.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Organic sales, defined as sales in the Company’s existing core businesses and regions (exclusive of acquisitions owned less than one year, divestitures, and foreign currency translation effects), were up 2.9% compared to fiscal 2010. Regionally, fiscal 2011 organic sales in the Americas, EMEA, and Asia-Pacific increased 3.2%, 4.7%, and 0.4%, respectively, as compared to fiscal 2010.The organic sales increase experienced in the Americas was due primarily to the strong ID Solutions sales growth and new products positively received by end–users and distributors. The increase in EMEA’s organic sales was broad-based with growth in both the ID Solutions and Direct Marketing platforms. Geographically, sales were weak in the United Kingdom, offsetting strength in other European markets. Organic sales in the Asia-Pacific segment remained relatively flat. The segment’s on-going customer base diversification in the mobile handset and other adjacent markets offset the reduced demand from one of our largest mobile handset customers.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acquisition net of the divestiture listed above increased sales by $12.7 million or 1.0% in fiscal 2011 as compared to fiscal 2010. The currency growth reflects fluctuations in the exchange rates used to translate financial results into the United States Dollar which increased sales by $31.1 million or 2.5% for the year.</w:t>
      </w:r>
    </w:p>
    <w:p>
      <w:pPr>
        <w:spacing w:after="0" w:line="14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Gross margin as a percentage of sales declined to 49.0% in fiscal 2011 from 49.5% in fiscal 2010. The decline in gross margin as a percentage of sales was primarily due to the increased costs of raw materials which the company was not able to fully offset through continued cost reduction activities or price increases. The Company continued to focus on gross margin improvements through the Brady Business Performance System, lean, and strategic sourcing efforts.</w:t>
      </w:r>
    </w:p>
    <w:p>
      <w:pPr>
        <w:spacing w:after="0" w:line="8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Research and development expenses increased to $43.0 million in fiscal 2011 from $42.6 million in fiscal 2010, and declined as a percentage of sales in fiscal 2011 to 3.2% compared to 3.4% in fiscal 2010. The increase in R&amp;D spending was due to the Company’s continued commitment to innovation and new product development. This investment declined as percentage of sales slightly in fiscal 2011 as a result of the elimination of the R&amp;D expenses incurred by the Company’s previously owned Teklynx business.</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Selling, general, and administrative (“SG&amp;A”) expenses increased to $441.8 million in fiscal 2011 as compared to $435.9 million in fiscal 2010. SG&amp;A expenses increased during the fiscal year mainly due to the fluctuations in exchange rates. The Company divested of its Teklynx business resulting in a pre-tax gain of $4.4 million, which is included in SG&amp;A. This pre-tax gain was offset by the associated transaction-related costs and income tax expense, resulting in a net income impact of $0.8 million during fiscal 2011. SG&amp;A also increased in fiscal 2011 as a result of the annual merit increases, and increased advertising campaign expenses. As a percentage of sales, SG&amp;A declined to 33.0% in fiscal 2011 from 34.6% in fiscal 2010 as the Company continued to reduce administrative costs through its cost reduction activities including simplifying, standardizing, and automating processes.</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Restructuring charges were $9.2 million and $15.3 million during fiscal 2011 and 2010, respectively. During fiscal 2010 and 2011, the Company incurred restructuring related costs as a result of facility consolidations and continued workforce reduction activities. The costs associated with the workforce reduction primarily include employee separation costs, consisting of severance pay, outplacement services, medical, and other related benefits for the Company’s work force.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expense increased to $22.1 million from $21.2 million for fiscal 2011 compared to fiscal 2010. In fiscal 2011, the Company repaid approximately $61.3 million of debt. Interest expense increased due to a full year of interest being recognized on the May 2010 private placement, compared to a partial year of interest in 2010. The increase was partially offset by the lower principal balance under the previously outstanding debt agreements.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income and expense increased $2.8 million in fiscal 2011 to $4.0 million from $1.2 million in the prior year. The increase was primarily due to the interest income earned on the Company’s money market and depository accounts, in addition to the gains on securities held in executive deferred compensation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effective tax rate was 24.6% in fiscal 2011, which was relatively consistent with the effective tax rate of 25.1% in fiscal 2010.</w:t>
      </w:r>
    </w:p>
    <w:p>
      <w:pPr>
        <w:spacing w:after="0" w:line="19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Net income for the fiscal year ended July 31, 2011, increased 32.6% to $108.7 million, compared to $82.0 million for the fiscal year ended July 31, 2010, as a result of the factors noted above. Net income as a percentage of sales increased to 8.1% from 6.5% for the fiscal year ended July 31, 2011 compared to the prior year. Diluted net income per share increased 31.6% to $2.04 per share for fiscal 2011 compared to $1.55 per share for the fiscal year ended July 31, 2010. Fiscal 2011 and 2010 net income before restructuring related expenses was $115.2 million, or $2.16 per diluted share of Class A Common Stock, and $93.4 million, or $1.76 per diluted share of Class A Common Stock,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EMEA and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 Segment results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Corporate</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240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Total</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95"/>
              </w:rPr>
              <w:t>Americas</w:t>
            </w:r>
          </w:p>
        </w:tc>
        <w:tc>
          <w:tcPr>
            <w:tcW w:w="240" w:type="dxa"/>
            <w:vAlign w:val="bottom"/>
          </w:tcPr>
          <w:p>
            <w:pPr>
              <w:spacing w:after="0"/>
              <w:rPr>
                <w:sz w:val="14"/>
                <w:szCs w:val="14"/>
                <w:color w:val="auto"/>
              </w:rPr>
            </w:pPr>
          </w:p>
        </w:tc>
        <w:tc>
          <w:tcPr>
            <w:tcW w:w="11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EMEA</w:t>
            </w:r>
          </w:p>
        </w:tc>
        <w:tc>
          <w:tcPr>
            <w:tcW w:w="12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Asia- Pacific</w:t>
            </w:r>
          </w:p>
        </w:tc>
        <w:tc>
          <w:tcPr>
            <w:tcW w:w="128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Regions</w:t>
            </w:r>
          </w:p>
        </w:tc>
        <w:tc>
          <w:tcPr>
            <w:tcW w:w="10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10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0"/>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SALES TO EXTERNAL CUSTOMERS</w:t>
            </w:r>
          </w:p>
        </w:tc>
        <w:tc>
          <w:tcPr>
            <w:tcW w:w="7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Years ended:</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31, 2012</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$589,924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$389,156</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$ 345,188</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$1,324,269</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$1,324,269</w:t>
            </w:r>
          </w:p>
        </w:tc>
        <w:tc>
          <w:tcPr>
            <w:tcW w:w="0" w:type="dxa"/>
            <w:vAlign w:val="bottom"/>
          </w:tcPr>
          <w:p>
            <w:pPr>
              <w:spacing w:after="0"/>
              <w:rPr>
                <w:sz w:val="1"/>
                <w:szCs w:val="1"/>
                <w:color w:val="auto"/>
              </w:rPr>
            </w:pPr>
          </w:p>
        </w:tc>
      </w:tr>
      <w:tr>
        <w:trPr>
          <w:trHeight w:val="216"/>
        </w:trPr>
        <w:tc>
          <w:tcPr>
            <w:tcW w:w="3760" w:type="dxa"/>
            <w:vAlign w:val="bottom"/>
            <w:gridSpan w:val="2"/>
          </w:tcPr>
          <w:p>
            <w:pPr>
              <w:ind w:left="440"/>
              <w:spacing w:after="0"/>
              <w:rPr>
                <w:sz w:val="20"/>
                <w:szCs w:val="20"/>
                <w:color w:val="auto"/>
              </w:rPr>
            </w:pPr>
            <w:r>
              <w:rPr>
                <w:rFonts w:ascii="Arial" w:cs="Arial" w:eastAsia="Arial" w:hAnsi="Arial"/>
                <w:sz w:val="18"/>
                <w:szCs w:val="18"/>
                <w:color w:val="auto"/>
              </w:rPr>
              <w:t>July 31, 2011</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577,428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404,955</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357,214</w:t>
            </w:r>
          </w:p>
        </w:tc>
        <w:tc>
          <w:tcPr>
            <w:tcW w:w="46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1,339,597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1,339,597</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31, 2010</w:t>
            </w: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551,185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380,121</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327,790</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1,259,096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1,259,096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SALES GROWTH INFORMATION</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2012:</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Organic</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Acquisitions/Divestitures</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Year ended July 31, 2011:</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Organic</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Currency</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Acquisitions/Divestitures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vMerge w:val="continue"/>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2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Years ended:</w:t>
            </w: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July 31, 2012</w:t>
            </w:r>
          </w:p>
        </w:tc>
        <w:tc>
          <w:tcPr>
            <w:tcW w:w="2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$155,657</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$105,643</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31,704(1)</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293,004</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(7,328)</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  285,676</w:t>
            </w: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July 31, 2011</w:t>
            </w:r>
          </w:p>
        </w:tc>
        <w:tc>
          <w:tcPr>
            <w:tcW w:w="2380" w:type="dxa"/>
            <w:vAlign w:val="bottom"/>
          </w:tcPr>
          <w:p>
            <w:pPr>
              <w:jc w:val="right"/>
              <w:ind w:right="152"/>
              <w:spacing w:after="0"/>
              <w:rPr>
                <w:sz w:val="20"/>
                <w:szCs w:val="20"/>
                <w:color w:val="auto"/>
              </w:rPr>
            </w:pPr>
            <w:r>
              <w:rPr>
                <w:rFonts w:ascii="Arial" w:cs="Arial" w:eastAsia="Arial" w:hAnsi="Arial"/>
                <w:sz w:val="18"/>
                <w:szCs w:val="18"/>
                <w:color w:val="auto"/>
              </w:rPr>
              <w:t>145,516</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112,047</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50,105</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307,668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(15,742)</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291,926</w:t>
            </w: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July 31, 2010</w:t>
            </w:r>
          </w:p>
        </w:tc>
        <w:tc>
          <w:tcPr>
            <w:tcW w:w="2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125,169</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103,316</w:t>
            </w:r>
          </w:p>
        </w:tc>
        <w:tc>
          <w:tcPr>
            <w:tcW w:w="13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52,105</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280,590</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(14,131)</w:t>
            </w:r>
          </w:p>
        </w:tc>
        <w:tc>
          <w:tcPr>
            <w:tcW w:w="1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266,459</w:t>
            </w: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recognized a goodwill impairment charge of $115.7 million during the quarter ended January 31, 2012, related to the former North/South Asia reporting unit within the Asia-Pacific reporting segment, which is excluded from segment profit as presented in the table above. Refer to Note 1 within Item 8 for further discussion regarding the impairment charge.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RECONCILIATION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4"/>
              </w:rPr>
              <w:t>Years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48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Pr>
          <w:p>
            <w:pPr>
              <w:spacing w:after="0"/>
              <w:rPr>
                <w:sz w:val="11"/>
                <w:szCs w:val="11"/>
                <w:color w:val="auto"/>
              </w:rPr>
            </w:pPr>
          </w:p>
        </w:tc>
        <w:tc>
          <w:tcPr>
            <w:tcW w:w="10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July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4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6"/>
              <w:spacing w:after="0" w:line="148"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980" w:type="dxa"/>
            <w:vAlign w:val="bottom"/>
            <w:gridSpan w:val="2"/>
          </w:tcPr>
          <w:p>
            <w:pPr>
              <w:jc w:val="center"/>
              <w:ind w:left="156"/>
              <w:spacing w:after="0" w:line="148"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profit for reportable segments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293,004</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$ 307,668</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280,590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440"/>
              <w:spacing w:after="0"/>
              <w:rPr>
                <w:sz w:val="20"/>
                <w:szCs w:val="20"/>
                <w:color w:val="auto"/>
              </w:rPr>
            </w:pPr>
            <w:r>
              <w:rPr>
                <w:rFonts w:ascii="Arial" w:cs="Arial" w:eastAsia="Arial" w:hAnsi="Arial"/>
                <w:sz w:val="18"/>
                <w:szCs w:val="18"/>
                <w:color w:val="auto"/>
              </w:rPr>
              <w:t>Corporate and eliminations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(7,328)</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(15,742)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(14,131)</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Unallocated amounts: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880"/>
              <w:spacing w:after="0"/>
              <w:rPr>
                <w:sz w:val="20"/>
                <w:szCs w:val="20"/>
                <w:color w:val="auto"/>
              </w:rPr>
            </w:pPr>
            <w:r>
              <w:rPr>
                <w:rFonts w:ascii="Arial" w:cs="Arial" w:eastAsia="Arial" w:hAnsi="Arial"/>
                <w:sz w:val="18"/>
                <w:szCs w:val="18"/>
                <w:color w:val="auto"/>
              </w:rPr>
              <w:t>Administrative costs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(118,120)</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(120,546)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(121,689)</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Restructuring charges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(12,110)</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16"/>
        </w:trPr>
        <w:tc>
          <w:tcPr>
            <w:tcW w:w="6240" w:type="dxa"/>
            <w:vAlign w:val="bottom"/>
            <w:gridSpan w:val="2"/>
          </w:tcPr>
          <w:p>
            <w:pPr>
              <w:ind w:left="880"/>
              <w:spacing w:after="0"/>
              <w:rPr>
                <w:sz w:val="20"/>
                <w:szCs w:val="20"/>
                <w:color w:val="auto"/>
              </w:rPr>
            </w:pPr>
            <w:r>
              <w:rPr>
                <w:rFonts w:ascii="Arial" w:cs="Arial" w:eastAsia="Arial" w:hAnsi="Arial"/>
                <w:sz w:val="18"/>
                <w:szCs w:val="18"/>
                <w:color w:val="auto"/>
              </w:rPr>
              <w:t>Impairment charge</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(115,688)</w:t>
            </w:r>
          </w:p>
        </w:tc>
        <w:tc>
          <w:tcPr>
            <w:tcW w:w="2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Investment and other income — net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2,082</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6240" w:type="dxa"/>
            <w:vAlign w:val="bottom"/>
            <w:gridSpan w:val="2"/>
          </w:tcPr>
          <w:p>
            <w:pPr>
              <w:ind w:left="8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(19,090)</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(22,124)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(21,222)</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22,750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109,402</w:t>
            </w:r>
          </w:p>
        </w:tc>
        <w:tc>
          <w:tcPr>
            <w:tcW w:w="0" w:type="dxa"/>
            <w:vAlign w:val="bottom"/>
          </w:tcPr>
          <w:p>
            <w:pPr>
              <w:spacing w:after="0"/>
              <w:rPr>
                <w:sz w:val="1"/>
                <w:szCs w:val="1"/>
                <w:color w:val="auto"/>
              </w:rPr>
            </w:pPr>
          </w:p>
        </w:tc>
      </w:tr>
      <w:tr>
        <w:trPr>
          <w:trHeight w:val="216"/>
        </w:trPr>
        <w:tc>
          <w:tcPr>
            <w:tcW w:w="6240" w:type="dxa"/>
            <w:vAlign w:val="bottom"/>
            <w:gridSpan w:val="2"/>
          </w:tcPr>
          <w:p>
            <w:pPr>
              <w:ind w:left="130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(40,661)</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(35,406)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(27,446)</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4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(17,911)</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$ 108,652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81,956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evaluates short-tem segment performance based on segment profit or loss and customer sales. Segment profit or loss does not include certain administrative costs, such as the cost of finance, information technology and human resources, which are managed as global functions. Restructuring charges, impairment charges, stock options, interest, investment and other income and income taxes are also excluded when evaluating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the Americas region, the sales mix consists of approximately 70% ID Solutions and 30% Direct Marketing. Sales increased 2.2% from fiscal 2011 to fiscal 2012, and increased 4.8% from fiscal 2010 to fiscal 2011. Organic sales grew 3.4% in 2012 and grew 3.2% in 2011. The fiscal 2011 divestiture of the Teklynx business decreased sales of the segment by 0.3% and the fluctuations of the exchange rates used to translate financial results into the United States dollar decreased sales by 0.9% in fiscal 2012. The increase in organic sales in fiscal 2012 was entirely driven by the ID Solutions platform through new product development and the successful launch earlier in the year of several high quality printers and proprietary consumable materials. Fiscal 2012 organic sales were relatively flat in the Direct Marketing platform compared to fiscal 2011, as the growth achieved during the first half of the year was offset by declines in the second half of the year. This decline in the Direct Marketing platform was primarily due to the softening of the construction and manufacturing markets.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increase in organic sales in fiscal 2011 of 3.2% was driven by the broad-based improvements in the segment’s core markets in addition to the positive results from the segment’s sales and marketing productivity initiatives. The net impact of the fiscal 2010 acquisition of Stickolor and the fiscal 2011 divestiture of the Teklynx business increased sales of the segment by 0.5%, and the fluctuations of the exchange rates used to translate financial results into the United States dollar increased sales by 1.1%.</w:t>
      </w:r>
    </w:p>
    <w:p>
      <w:pPr>
        <w:spacing w:after="0" w:line="14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the Americas region, segment profit increased 7.0% to $155.7 million in fiscal 2012 from $145.5 million in fiscal 2011. Segment profit as a percentage of sales increased to 26.4% in 2012 from 25.2% in 2011. This increase was due to both the ID Solutions and Direct Marketing platforms. Within the ID Solutions platform, the profit improvement was consistent throughout fiscal 2012 due to increased sales and operational efficiencies from site consolidation actions, operational and sourcing cost savings projects. The Direct Marketing platform began fiscal 2012 with modest single digit sales growth and strong profit growth. Profit growth in the second half of the year was essentially flat, as operational savings were reinvested into digital initiatives to drive growth through the internet. The Company’s key investment initiatives are to grow customer files and improve every aspect of a customer’s on-line experience, targeting improved customer conversion and loyalty.</w:t>
      </w:r>
    </w:p>
    <w:p>
      <w:pPr>
        <w:spacing w:after="0" w:line="14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Comparing fiscal 2011 to 2010, segment profit increased 16.3% to $145.5 million in fiscal 2011 from $125.2 million in fiscal 2010. Segment profit as a percentage of sales increased to 25.2% in 2011 from 22.7% in 2010. This increase was primarily due to the segment’s improved gross margin due to certain facility consolidation actions, operational and sourcing cost savings projects offset by higher inflation, in addition to actions taken in fiscal 2011 to streamline the segment’s selling expense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EMEA</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EMEA region, the sales mix consists of approximately 50% ID Solutions, 40% Direct Marketing, and 10% Die-Cut. EMEA sales declined 3.9% from fiscal 2011 to fiscal 2012, and increased 6.5% from fiscal 2010 to fiscal 2011. Organic sales declined 1.3% in fiscal 2012 and increased 4.7% in fiscal 2011 as compared to prior years. Segment sales increased 0.9% in fiscal 2012 as a result of the fiscal 2012 acquisitions of Grafo, Runelandhs and Pervaco, net of the fiscal 2011 divestiture of the Teklynx business. By business, the ID Solutions and Direct Marketing platforms were essentially flat for fiscal 2012 due to the challenging economic climate within the region. The Die-Cut platform declined during the fiscal year, resulting in the overall decline in organic sales within the region.</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increase in organic sales in fiscal 2011 of 4.7% was driven by growth in the ID Solutions and Direct Marketing platforms in Germany and Southern EMEA due to a combination of improving economies and positive results of sales initiatives, partially offset by the continued depressed conditions in the United Kingdom. Segment sales increased 1.2% in fiscal 2011 as a result of the fiscal 2010 acquisitions of Welco and Securimed, net of the fiscal 2011 divestiture of the Teklynx business. Sales were also positively affected by fluctuations in the exchange rates used to translate financial results into the United States dollar, which increased sales within the segment by 0.6% in fiscal 2011.</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the EMEA region, segment profit declined 5.7% to $105.6 million in fiscal 2012 from $112.0 million in fiscal 2011. The majority of the decline of $6.4 million related to fluctuations in the exchange rates used to translate financial results into the United States dollar, as segment profit as a percentage of sales decreased slightly to 27.1% in fiscal 2012 from 27.7% in fiscal 2011 and 27.2% in fiscal 2010. The decline in segment profit as a percentage of sales was due primarily to the overall sales decline and depressed economic conditions, limiting the ability to pass along price increases. The improvement in the segment’s profit from fiscal 2010 to fiscal 2011 was primarily due to increased sales volumes in addition to the continued efforts to streamline selling expenses through the Company’s strategic initiatives.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Asia-Pacific</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the Asia-Pacific region, the sales mix consists of approximately 50% Die-Cut, 40% ID Solutions, and 10% Direct Marketing. Asia-Pacific sales declined 3.4% from fiscal 2011 to fiscal 2012, and sales increased 9.0% from fiscal 2010 to fiscal 2011. Organic sales declined 5.3% and increased 0.4% in fiscal 2012 and 2011, respectively, compared to prior years. Foreign currency translation positively impacted the segment’s sales by 1.4% and 6.9% in fiscal 2012 and 2011, respectively, compared to prior years. The decline in organic sales was primarily due to the Asia Die-Cut platform. Sales were weak within the die-cut mobile handset market, and the flooding in Thailand caused a significant disruption to the hard disk drive supply chain during the last nine months of the fiscal year.</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relatively flat fiscal 2011 organic sales growth of 0.4% was a result of increased sales from the segment’s on-going customer base diversification in the mobile handset and other adjacent markets, which offset the reduced demand from one of the Company’s largest mobile handset customers.</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the Asia-Pacific region, segment profit declined 36.7% to $31.7 million in fiscal 2012 from $50.1 million in fiscal 2011. Segment profit as a percentage of sales declined to 9.2% in fiscal 2012 from 14.0% in fiscal 2011. The decline in the profit in fiscal 2012 was primarily due to increased market competitiveness and a decline in sales within the Asia Die-Cut platform, particularly within the mobile handset industry. In addition, segment profit was negatively impacted by the residual effects of the Thailand flood through delayed product launches and lower absorption of fixed costs. Losses caused by the flooding are expected to be partially covered by property and business interruption insurance during fiscal 2013.</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Comparing fiscal 2011 to 2010, segment profit as a percentage of sales decreased to 14.0% in 2011 from 15.9% in 2010. The decline in profit in fiscal 2011 was a result of relatively flat organic sales, continued price pressure, and inflation on raw materials and wages.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were $305.9 million at July 31, 2012, and $390.0 million at July 31, 2011, a decline of $84.1 million as summarized below:</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5120" w:type="dxa"/>
            <w:vAlign w:val="bottom"/>
            <w:vMerge w:val="restart"/>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8"/>
              </w:rPr>
              <w:t>Years ended July 31,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8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flow provided by (used in):</w:t>
            </w: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144,705</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167,350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$165,238</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(22,631)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(48,681)</w:t>
            </w:r>
          </w:p>
        </w:tc>
        <w:tc>
          <w:tcPr>
            <w:tcW w:w="0" w:type="dxa"/>
            <w:vAlign w:val="bottom"/>
          </w:tcPr>
          <w:p>
            <w:pPr>
              <w:spacing w:after="0"/>
              <w:rPr>
                <w:sz w:val="1"/>
                <w:szCs w:val="1"/>
                <w:color w:val="auto"/>
              </w:rPr>
            </w:pPr>
          </w:p>
        </w:tc>
      </w:tr>
      <w:tr>
        <w:trPr>
          <w:trHeight w:val="216"/>
        </w:trPr>
        <w:tc>
          <w:tcPr>
            <w:tcW w:w="648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(147,824)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(91,574)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15,275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21,986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(84,071)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75,131</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126,684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Net cash provided by operating activities was $144.7 million in fiscal 2012, compared to $167.4 million in fiscal 2011. Cash flows from operating activities are generated primarily from operating income and managing the components of working capital. The decrease in cash flows from operating activities of $21.9 million from fiscal 2011 to fiscal 2012 was partially due to a decline in net income of $10.9 million after excluding the goodwill impairment charge of $115.7 million. In addition, the net change of inventories and accounts payable and accrued liabilities reduced operating cash flows by $30.8 million compared to the prior year. This decline was partially offset by favorable cash flows from income taxes of $20.5 million in fiscal 2012 compared to 2011.</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used in investing activities was $64.6 million in fiscal 2012, compared to $22.6 million in fiscal 2011. The increase in cash used in investing activities of $42.0 million from fiscal 2011 to fiscal 2012 was primarily due to the increase in cash used in acquisitions of $29.7 million compared to 2011. In addition, cash provided by divestitures declined by $12.1 million, which further increased the net use of cash in investing activities from fiscal 2011 to fiscal 2012. See Note 3 within Item 8 for further information regarding acquisitions and divestitures.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used in financing activities was $147.8 million in fiscal 2012, compared to $91.6 million in fiscal 2011. The increase in cash used in financing activities of $56.2 million was primarily due to the repurchase of common shares during the current year for $49.9 million. In addition, cash received from the exercise of employee stock options declined by $4.3 million from fiscal 2011 to fiscal 2012. See Item 5 within Part II for further information regarding the current year share repurchases.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provided by operating activities was $167.4 million in fiscal 2011, compared to $165.2 million in fiscal 2010. The increase in cash flows from operating activities of $2.1 million from fiscal 2010 to fiscal 2011 was due to an increase in net income of $22.3 million after excluding the gain on the sale of business of $4.4 million. This was partially offset by the aggregate of accounts receivable and accounts payable and accrued liabilities, which reduced operating cash flows by $18.6 million from 2010 to 2011.</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used in investing activities was $22.6 million in fiscal 2011, compared to $48.7 million in fiscal 2010. The decrease in cash used in investing activities of $26.1 million was primarily due to a reduction in cash used in acquisitions of $22.5 million in fiscal 2011 as compared to fiscal 2010. In addition, cash provided by the fiscal 2011 divestiture of Teklynx reduced cash used in investing activities by $13.0 million as compared to fiscal 2010. This was partially offset by the settlement of net investment hedges in fiscal 2011 and fiscal 2010.</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cash used in financing activities was $91.6 million in fiscal 2011, compared to net cash provided by financing activities of $15.3 million in fiscal 2010. The decrease in cash used in financing activities of $106.8 million was primarily due to the proceeds received from the issuance of debt of $94.9 million in fiscal 2010. In addition, the increase in cash used for principal payments on debt was $16.4 million from fiscal 2010 to fiscal 2011.</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October 26, 2011,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$44.9 million, $61.3 million, and $61.3 million during the years ended July 31, 2010, 2011, and 2012, respectively.</w:t>
      </w:r>
    </w:p>
    <w:p>
      <w:pPr>
        <w:spacing w:after="0" w:line="11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w:t>
      </w:r>
    </w:p>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new credit agreement, which has a final maturity date of February 1, 2017,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At the Company’s option, and subject to certain conditions, the available amount under the new credit facility may be increased from $300 million up to $450 million. No borrowings have occurred under the new credit facility.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As of July 31, 2012, the Company was in compliance with financial covenants in its debt agreements. See Note 5 within Item 8 for further information regarding the financial covenants.</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Long-term obligations as a percentage of long-term obligations plus stockholders’ investment were 20.1% at July 31, 2012 and 22.3% at July 31, 2011. Long-term obligations decreased by $77.0 million from July 31, 2011 to July 31, 2012 due to debt repayments made during the year, combined with a $15.7 million decrease in the USD value of the Euro denominated debt due to foreign exchange fluctuations. The fiscal 2012 debt repayments consisted of the scheduled installment of $18.8 million on the 2004 private placement, an installment of $26.1 million on the 2006 private placement, and an installment of $16.4 million on the 2007 private placement. In addition, long-term debt assumed as part of the acquisition of Runelandhs was repaid in the amount of $1.4 million.</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Stockholders’ investment decreased $146.8 million during fiscal 2012 due to the negative effects of foreign currency translation of approximately $55.3 million, an increase in treasury stock of $42.6 million due to the current year share repurchase, dividends paid of $38.9 million, and the current year net loss of $17.9 million.</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Company’s cash balances are generated and held in numerous locations throughout the world. At July 31, 2012, approximately 78% of the Company’s cash and cash equivalents was held outside the United States. The Company’s growth has historically been funded by a combination of cash provided by operating activities and debt financing. The Company believes that its cash from operations, in addition to its borrowing capacity, are sufficient to fund its anticipated requirements for working capital, capital expenditures, restructuring activities, acquisitions, common stock repurchases, scheduled debt repayments, and dividend payments for at least the next 12 months. The Company believes that its current credit arrangements are sound and that the strength of its balance sheet will allow financial flexibility to respond to both internal growth opportunities and those available through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Affecting Liquidity and Capital Resources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September 6, 2012, the Company’s Board of Directors authorized a share buyback program for up to an additional two million shares of the Company’s Class A Common Stock. The share repurchase plan may be implemented from time to time on the open market or in privately negotiated transactions, with repurchased shares available for use in connection with the Company’s stock-based compensation plans and for other corporate purposes.</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September 6, 2012, the Company announced an increase in the annual dividend to shareholders of the Company’s Class A Common Stock, from $0.74 to $0.76 per share. A quarterly dividend of $0.19 will be paid on October 31, 2012, to shareholders of record at the close of business on October 10, 2012. This dividend represents an increase of 2.7% and is the 27th consecutive annual increase in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These leases generally are entered into for investments in facilities such as manufacturing facilities, warehouses and office space,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and Company vehicles.</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for materials, supplies, services, and property, plant and equipment as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Other Contractual Obligations </w:t>
      </w:r>
      <w:r>
        <w:rPr>
          <w:rFonts w:ascii="Arial" w:cs="Arial" w:eastAsia="Arial" w:hAnsi="Arial"/>
          <w:sz w:val="18"/>
          <w:szCs w:val="18"/>
          <w:color w:val="auto"/>
        </w:rPr>
        <w:t>— The Company does not have material financial guarantees or other contractual commitments that are reasonably likely to</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affect liquidity other than those discussed below under “Payments Due Under Contractual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The Company evaluated its affiliated party transactions for the period ended July 31, 2012. Based on the evaluation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have material related party transactions that affect the results of operations, cash flow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Company’s future commitments at July 31, 2012, for long-term debt, operating lease obligations, purchase obligations, interest obligations and other obligations are as follows (dollars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w w:val="87"/>
              </w:rPr>
              <w:t>Payments Due by Period</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250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Less than</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3-5</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than</w:t>
            </w:r>
          </w:p>
        </w:tc>
        <w:tc>
          <w:tcPr>
            <w:tcW w:w="30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Uncertain</w:t>
            </w: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gridSpan w:val="2"/>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jc w:val="right"/>
              <w:ind w:right="99"/>
              <w:spacing w:after="0" w:line="148"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5"/>
              <w:spacing w:after="0" w:line="148" w:lineRule="exact"/>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4"/>
                <w:szCs w:val="14"/>
                <w:color w:val="auto"/>
              </w:rPr>
            </w:pPr>
          </w:p>
        </w:tc>
        <w:tc>
          <w:tcPr>
            <w:tcW w:w="66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7"/>
              <w:spacing w:after="0" w:line="148" w:lineRule="exact"/>
              <w:rPr>
                <w:sz w:val="20"/>
                <w:szCs w:val="20"/>
                <w:color w:val="auto"/>
              </w:rPr>
            </w:pPr>
            <w:r>
              <w:rPr>
                <w:rFonts w:ascii="Arial" w:cs="Arial" w:eastAsia="Arial" w:hAnsi="Arial"/>
                <w:sz w:val="14"/>
                <w:szCs w:val="14"/>
                <w:b w:val="1"/>
                <w:bCs w:val="1"/>
                <w:color w:val="auto"/>
                <w:w w:val="99"/>
              </w:rPr>
              <w:t>Years</w:t>
            </w:r>
          </w:p>
        </w:tc>
        <w:tc>
          <w:tcPr>
            <w:tcW w:w="30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5 Years</w:t>
            </w:r>
          </w:p>
        </w:tc>
        <w:tc>
          <w:tcPr>
            <w:tcW w:w="300" w:type="dxa"/>
            <w:vAlign w:val="bottom"/>
          </w:tcPr>
          <w:p>
            <w:pPr>
              <w:spacing w:after="0"/>
              <w:rPr>
                <w:sz w:val="14"/>
                <w:szCs w:val="14"/>
                <w:color w:val="auto"/>
              </w:rPr>
            </w:pP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Timeframe</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19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$316,208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61,264</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$103,778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95,797</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$55,369</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69,308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23,732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16,752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 (1)</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Interest Obligations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55,464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21,434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Obligations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36,532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color w:val="auto"/>
              </w:rPr>
              <w:t>Other Obligations (2)</w:t>
            </w:r>
          </w:p>
        </w:tc>
        <w:tc>
          <w:tcPr>
            <w:tcW w:w="19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542,413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139,660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151,327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121,641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93,253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36,532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2012.</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U.S. postretirement medical plan and international pension plans as disclosed in Note 3 to the consolidated financial statements, under Item 8 of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effective tax rate is based on pre-tax income and the tax rates applicable to that income in the various jurisdictions in which the Company operates. Significant judgment is required in determining the Company’s effective income tax rate and in evaluating its tax positions. The Company establishes liabilities when it is more likely than not that the Company will not realize the full tax benefit of the position. The Company adjusts these liabilities in light of changing facts and circumstances.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Tax regulations may require items of income and expense to be included in a tax return in different periods than the items are reflected in the consolidated financial statements. As a result, the effective income tax rate reflected in the consolidated financial statements may be different than the tax rate reported in the income tax return. Some of these differences are permanent, such as expenses that are not deductible on the income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against its deferred tax assets when it is more likely than not that the amount of expected future taxable income will not support the use of the deduction or credit.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and can also be impacted by changes to tax laws. Deferred tax liabilities generally represent tax expense recognized in the consolidated financial statements for which payment has been deferred or expense for which the Company has already taken a deduction on an income tax return, but has not yet recognized as expense in the consolidated financial statements.</w:t>
      </w:r>
    </w:p>
    <w:p>
      <w:pPr>
        <w:spacing w:after="0" w:line="12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accounts for uncertain tax positions by recognizing the financial statement effects of a tax position only when, based upon the technical merits, it is “more-likely-than-not” that the position will be sustained upon examination. Judgment is required in evaluating tax positions and determining income tax provisions. The Company generally re-evaluates the technical merits of its tax positions and recognizes an uncertain tax benefit when (i) there is completion of a tax audit; (ii) there is a change in applicable tax law including a tax case ruling or legislative guidance; or (iii) there is an expiration of the statute of limitations.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requires that all acquisitions with goodwill of greater than $5 million require the use of external valuations.</w:t>
      </w:r>
    </w:p>
    <w:p>
      <w:pPr>
        <w:spacing w:after="0" w:line="123" w:lineRule="exact"/>
        <w:rPr>
          <w:sz w:val="20"/>
          <w:szCs w:val="20"/>
          <w:color w:val="auto"/>
        </w:rPr>
      </w:pPr>
    </w:p>
    <w:p>
      <w:pPr>
        <w:jc w:val="both"/>
        <w:ind w:firstLine="456"/>
        <w:spacing w:after="0" w:line="307" w:lineRule="auto"/>
        <w:rPr>
          <w:sz w:val="20"/>
          <w:szCs w:val="20"/>
          <w:color w:val="auto"/>
        </w:rPr>
      </w:pPr>
      <w:r>
        <w:rPr>
          <w:rFonts w:ascii="Arial" w:cs="Arial" w:eastAsia="Arial" w:hAnsi="Arial"/>
          <w:sz w:val="15"/>
          <w:szCs w:val="15"/>
          <w:color w:val="auto"/>
        </w:rPr>
        <w:t>The Company has identified six reporting units within its three reportable segments with the corresponding goodwill balances as of July 31, 2012: Brady Americas, $234.7 million; Direct Marketing Americas, $183.1 million; Brady EMEA, $107.8 million; Direct Marketing EMEA, $67.2 million; Brady Asia, $59.3 million; and Die-Cut Asia, $24.7 million.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improvement in gross margin and SG&amp;A as a percentage of sales, capital expenditures, working capital levels, income tax rates, the benefits of recent acquisitions and expected synergies, and a weighted-average cost of capital that reflects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1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the event the fair value of a reporting unit is less than the carrying value, including goodwill, the Company would then perform an additional assessment that would compare the implied fair value of goodwill with the carrying amount of goodwill. The determination of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would be recorded.</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performing the Company’s annual goodwill impairment assessment, the Company performed a sensitivity analysis on the material assumptions used in the discounted cash flow valuation models for each of its reporting units. Based on the Company’s fiscal 2012 goodwill impairment testing and assuming a hypothetical 10% decrease in the estimated fair values of each of its reporting units, the hypothetical fair value of each of the Company’s reporting units would have been greater than the carrying value. The assumptions that are most sensitive to a decline in estimated fair value are sales growth rates, and improvement in gross margin and SG&amp;A as a percentage of sales, particularly within the Company’s Die-Cut Asia and Direct Marketing Americas reporting units.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quarter ended January 31, 2012, the Company recorded a goodwill impairment charge related to its former North/South Asia reporting unit within the Asia-Pacific operating segment. This impairment charge was recorded as a result of a triggering event related to a decline in profitability within the Asia Die-Cut platform. The Company’s methodologies for valuing goodwill were applied consistently from the period in which the impairment charge was recorded to the annual goodwill impairment assessment. Refer to Note 1 within Item 8 for further discussion regarding the fiscal 2012 goodwill impairment charge.</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also evaluates the recoverability of its indefinite-lived intangible assets by utilizing a relief from royalty valuation methodology that estimates the fair value of the future discounted cash flows of each indefinite-lived intangible asset. The future projections, which are based on both past performance and the projections and assumptions used in the Company’s current and long range operating plans, are subject to change as a result of changing economic and competitive conditions. Significant estimates used by management in the relief from royalty valuation methodology include estimates of future revenue streams based on expected growth and royalty rates, income tax rates, and a weighted-average cost of equity that reflects the specific risk profile of the indefinite-lived intangible asset tested. The Company’s methodologies for valuing indefinite-lived intangible assets are applied consistently on a year-over-year basis, and are aligned with the methodologies and assumptions applied to the annual goodwill impairment assessment. The Company continues to believe that the relief from royalty valuation methodology provides the most reasonable and meaningful fair value estimate based upon the indefinite-lived intangible assets’ projected future revenue streams and replicates how market participants would value the Company’s indefinite-lived intangible assets in an orderly transaction.</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completed its annual impairment testing of goodwill and other indefinite-lived intangibles assets in the fourth quarter of fiscal 2012. Although the Company consistently uses the same methods in developing the assumptions and estimates underlying the fair value calculations, such estimates are uncertain in nature and can vary from actual results.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has recorded reserves or allowances for inventory obsolescence, uncollectible accounts receivable, and credit memos. These accounts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3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or severity of the current worldwide economic downturn or timing or strength of a subsequent recovery;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usage of e-commerce allowing for ease of price transparency;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and transportation;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our level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tax consequences; and</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the information contained in Item 1A — Risk Factors.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of the Company’s foreign operations. To achieve this objective, the Company hedges a portion of known exposures using forward contracts. Main exposures are related to transactions denominated in the British Pound, the Euro, Canadian Dollar, Australian Dollar, Japanese Yen, Swiss Franc, Malaysian Ringgit, and Singapore Dollar. As of July 31, 2012, the notional amount of outstanding forward contracts designated as cash flow hedges was $61.2 million. The Company also uses euro-denominated debt of €75.0 million designated as a hedge instrument to hedge portions of the Company’s net investments in its European foreign operations.</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the majority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2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Currency exchange rates decreased fiscal 2012 sales by 1.0% as compared to fiscal 2011 as the U.S. dollar appreciated, on average, against other major currencies throughout the year. The most significant impact on sales due to currency fluctuations occurred during the fourth quarter ended July 31, 2012, as sales declined by 5.0% as compared to the same quarter of the prior year. This decline was primarily driven by the appreciation of the U.S. dollar against the Euro.</w:t>
      </w:r>
    </w:p>
    <w:p>
      <w:pPr>
        <w:spacing w:after="0" w:line="8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Such activities require approval of the Board of Directors. As of July 31, 2012, the Company had no interest rate derivatives.</w:t>
      </w:r>
    </w:p>
    <w:p>
      <w:pPr>
        <w:spacing w:after="0" w:line="11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Changes in foreign currency exchange rates for the Company’s foreign subsidiaries reporting in local currencies are generally reported as a component of stockholders’ investment. The Company’s currency translation adjustment recorded in fiscal 2012 and 2011 as a separate component of stockholders’ investment was $55.3 million unfavorable and $63.0 million favorable, respectively. As of July 31, 2012 and 2011, the Company’s foreign subsidiaries had net current assets (defined as current assets less current liabilities) subject to foreign currency translation risk of $384.2 million and $427.7 million, respectively. The potential decrease in the net current assets as of July 31, 2012 from a hypothetical 10 percent adverse change in quoted foreign currency exchange rates would be approximately $38.4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8"/>
            <w:vMerge w:val="restart"/>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8"/>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Financial Statements:</w:t>
            </w:r>
          </w:p>
        </w:tc>
        <w:tc>
          <w:tcPr>
            <w:tcW w:w="692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Balance Sheets — July 31, 2012 and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94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Statements of Income — Years Ended July 31, 2012,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8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Consolidated Statements of Stockholders’ Investment — Years Ended July 31, 2012, 2011, and 2010</w:t>
              </w:r>
            </w:hyperlink>
          </w:p>
        </w:tc>
        <w:tc>
          <w:tcPr>
            <w:tcW w:w="39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40" w:type="dxa"/>
            <w:vAlign w:val="bottom"/>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Cash Flows — Years Ended July 31, 2012,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1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Notes to Consolidated Financial Statements — Years Ended July 31, 2012,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3"/>
        </w:trPr>
        <w:tc>
          <w:tcPr>
            <w:tcW w:w="5820" w:type="dxa"/>
            <w:vAlign w:val="bottom"/>
            <w:tcBorders>
              <w:top w:val="single" w:sz="8" w:color="0000EE"/>
            </w:tcBorders>
            <w:gridSpan w:val="4"/>
          </w:tcPr>
          <w:p>
            <w:pPr>
              <w:ind w:left="5620"/>
              <w:spacing w:after="0"/>
              <w:rPr>
                <w:sz w:val="20"/>
                <w:szCs w:val="20"/>
                <w:color w:val="auto"/>
              </w:rPr>
            </w:pPr>
            <w:r>
              <w:rPr>
                <w:rFonts w:ascii="Arial" w:cs="Arial" w:eastAsia="Arial" w:hAnsi="Arial"/>
                <w:sz w:val="18"/>
                <w:szCs w:val="18"/>
                <w:color w:val="auto"/>
                <w:w w:val="89"/>
              </w:rPr>
              <w:t>29</w:t>
            </w: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audited the accompanying consolidated balance sheets of Brady Corporation and subsidiaries (the “Company”) as of July 31, 2012 and 2011, and the related consolidated statements of income, stockholders’ investment, and cash flows for each of the three years in the period ended July 31, 2012.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2012 and 2011, and the results of their operations and their cash flows for each of the three years in the period ended July 31, 2012,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July 31, 2012 based on the criteria established in Internal Control—Integrated Framework issued by the Committee of Sponsoring Organizations of the Treadway Commission and our report dated September 27, 2012,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right"/>
              <w:ind w:right="233"/>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389,971</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199,006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228,483</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Finished products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62,152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Work-in-process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w:t>
            </w:r>
          </w:p>
        </w:tc>
      </w:tr>
      <w:tr>
        <w:trPr>
          <w:trHeight w:val="223"/>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Raw materials and supplies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104,186</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758,287</w:t>
            </w: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676,791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intangibles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89,961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101,962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104,644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305,557</w:t>
            </w:r>
          </w:p>
        </w:tc>
      </w:tr>
      <w:tr>
        <w:trPr>
          <w:trHeight w:val="223"/>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427,833</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283,145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139,915</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1,607,719</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1,861,505</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INVESTMENT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98,847</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Wages and amounts withheld from employees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54,629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69,798</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other than 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54,406</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maturities on long-term obligations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301,881</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Long-term obligations, less current maturities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254,944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331,914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598,366</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705,313</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9)</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Stockholders’ investment: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w w:val="93"/>
              </w:rPr>
              <w:t>Class A Nonvoting — Issued 51,261,487 and 51,261,487 shares, respectively; (aggregate liquidation preference of</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$42,803 and $42,803 at July 31, 2012 and 2011, respectively)</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Class B Voting — Issued and outstanding 3,538,628 shares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313,008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307,527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retained in the business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789,100</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Treasury stock — 3,245,561 and 1,667,235 shares, respectively of Class A nonvoting common stock, at cost</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(92,600)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(50,017)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113,898</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(3,304)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(4,864)</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investment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1,009,353</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1,156,192</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1,607,719</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1,861,505</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2012,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jc w:val="right"/>
              <w:ind w:right="253"/>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1,324,269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1,339,597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1,259,096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Cost of products sold</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687,963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683,401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656,196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430,310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441,815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Impairment charge</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596,548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494,004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39,758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162,192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129,456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Investment and other income— net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3,990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(19,090)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Net other expense</w:t>
            </w:r>
          </w:p>
        </w:tc>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(17,008)</w:t>
            </w:r>
          </w:p>
        </w:tc>
        <w:tc>
          <w:tcPr>
            <w:tcW w:w="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(18,134)</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144,058</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taxes</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81,956</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(loss) income per common share:</w:t>
            </w: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Nonvoting:</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Basic</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Dividends</w:t>
            </w: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B Voting:</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Basic</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Dividends</w:t>
            </w: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Class A and Class B common shares outstanding</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Basic</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52,453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52,639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52,946</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80" w:type="dxa"/>
            <w:vAlign w:val="bottom"/>
            <w:gridSpan w:val="2"/>
            <w:vMerge w:val="continue"/>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100" w:type="dxa"/>
            <w:vAlign w:val="bottom"/>
          </w:tcPr>
          <w:p>
            <w:pPr>
              <w:jc w:val="right"/>
              <w:ind w:right="239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840"/>
        <w:spacing w:after="0" w:line="262" w:lineRule="auto"/>
        <w:rPr>
          <w:sz w:val="20"/>
          <w:szCs w:val="20"/>
          <w:color w:val="auto"/>
        </w:rPr>
      </w:pPr>
      <w:r>
        <w:rPr>
          <w:rFonts w:ascii="Arial" w:cs="Arial" w:eastAsia="Arial" w:hAnsi="Arial"/>
          <w:sz w:val="18"/>
          <w:szCs w:val="18"/>
          <w:b w:val="1"/>
          <w:bCs w:val="1"/>
          <w:color w:val="auto"/>
        </w:rPr>
        <w:t>BRADY CORPORATION AND SUBSIDIARIES CONSOLIDATED STATEMENTS OF STOCKHOLDERS’ INVESTMENT Years Ended July 31, 2012, 2011 and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Common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Paid-In</w:t>
            </w: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 the</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Treasury</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Capital</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Business</w:t>
            </w: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548</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298,466</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$ 673,342</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(69,823)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53,051</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(4,492)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420"/>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81,956</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81,956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currency translation adjustment and other (Note 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(2,146)</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860"/>
              <w:spacing w:after="0"/>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79,810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7"/>
              </w:rPr>
              <w:t>Issuance of 215,447 shares of Class A Common Stock under stock option plan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(2,788)</w:t>
            </w:r>
          </w:p>
        </w:tc>
        <w:tc>
          <w:tcPr>
            <w:tcW w:w="7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6,505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(2,512)</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(459)</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Tax benefit from exercise of stock options and deferred compensation distributions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1,318</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 expense (Note 1)</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9,721</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102,067 shares of Class A Common Stock</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(2,537)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Class A — $0.70 per share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(34,368)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860"/>
              <w:spacing w:after="0" w:line="149" w:lineRule="exact"/>
              <w:rPr>
                <w:sz w:val="20"/>
                <w:szCs w:val="20"/>
                <w:color w:val="auto"/>
              </w:rPr>
            </w:pPr>
            <w:r>
              <w:rPr>
                <w:rFonts w:ascii="Arial" w:cs="Arial" w:eastAsia="Arial" w:hAnsi="Arial"/>
                <w:sz w:val="14"/>
                <w:szCs w:val="14"/>
                <w:color w:val="auto"/>
              </w:rPr>
              <w:t>Class B — $0.68 per share</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(2,418)</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548</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304,205</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$ 718,512</w:t>
            </w: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(66,314)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50,905</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(2,829)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420"/>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108,652</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w w:val="98"/>
              </w:rPr>
              <w:t>108,652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currency translation adjustment and other (Note 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62,993</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62,993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ind w:left="860"/>
              <w:spacing w:after="0" w:line="155"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171,645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7"/>
              </w:rPr>
              <w:t>Issuance of 524,144 shares of Class A Common Stock under stock option plan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(5,684)</w:t>
            </w:r>
          </w:p>
        </w:tc>
        <w:tc>
          <w:tcPr>
            <w:tcW w:w="7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13,877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(1,964)</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2,420</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Tax benefit from exercise of stock options and deferred compensation distributions</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1,140</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 expense (Note 1)</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9,830</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860"/>
              <w:spacing w:after="0" w:line="149" w:lineRule="exact"/>
              <w:rPr>
                <w:sz w:val="20"/>
                <w:szCs w:val="20"/>
                <w:color w:val="auto"/>
              </w:rPr>
            </w:pPr>
            <w:r>
              <w:rPr>
                <w:rFonts w:ascii="Arial" w:cs="Arial" w:eastAsia="Arial" w:hAnsi="Arial"/>
                <w:sz w:val="14"/>
                <w:szCs w:val="14"/>
                <w:color w:val="auto"/>
              </w:rPr>
              <w:t>Class A — $0.72 per share</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(35,575)</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Class B — $0.70 per share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(2,489)</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Balances at July 31, 2011</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w w:val="76"/>
              </w:rPr>
              <w:t>548</w:t>
            </w:r>
          </w:p>
        </w:tc>
        <w:tc>
          <w:tcPr>
            <w:tcW w:w="360" w:type="dxa"/>
            <w:vAlign w:val="bottom"/>
            <w:gridSpan w:val="2"/>
          </w:tcPr>
          <w:p>
            <w:pPr>
              <w:ind w:left="28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307,527</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80"/>
              </w:rPr>
              <w:t>$ 789,100</w:t>
            </w:r>
          </w:p>
        </w:tc>
        <w:tc>
          <w:tcPr>
            <w:tcW w:w="180" w:type="dxa"/>
            <w:vAlign w:val="bottom"/>
          </w:tcPr>
          <w:p>
            <w:pPr>
              <w:spacing w:after="0"/>
              <w:rPr>
                <w:sz w:val="13"/>
                <w:szCs w:val="13"/>
                <w:color w:val="auto"/>
              </w:rPr>
            </w:pPr>
          </w:p>
        </w:tc>
        <w:tc>
          <w:tcPr>
            <w:tcW w:w="92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 (50,017)</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113,898</w:t>
            </w:r>
          </w:p>
        </w:tc>
        <w:tc>
          <w:tcPr>
            <w:tcW w:w="700" w:type="dxa"/>
            <w:vAlign w:val="bottom"/>
            <w:gridSpan w:val="3"/>
          </w:tcPr>
          <w:p>
            <w:pPr>
              <w:jc w:val="right"/>
              <w:ind w:right="12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(4,864)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Net (loss)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(17,911)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(17,911)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rPr>
              <w:t>Net currency translation adjustment and other (Note 1)</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(54,487)</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comprehensive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tcPr>
          <w:p>
            <w:pPr>
              <w:ind w:left="420"/>
              <w:spacing w:after="0"/>
              <w:rPr>
                <w:sz w:val="20"/>
                <w:szCs w:val="20"/>
                <w:color w:val="auto"/>
              </w:rPr>
            </w:pPr>
            <w:r>
              <w:rPr>
                <w:rFonts w:ascii="Arial" w:cs="Arial" w:eastAsia="Arial" w:hAnsi="Arial"/>
                <w:sz w:val="14"/>
                <w:szCs w:val="14"/>
                <w:color w:val="auto"/>
                <w:w w:val="97"/>
              </w:rPr>
              <w:t>Issuance of 265,491 shares of Class A Common Stock under stock option plan</w:t>
            </w:r>
          </w:p>
        </w:tc>
        <w:tc>
          <w:tcPr>
            <w:tcW w:w="100" w:type="dxa"/>
            <w:vAlign w:val="bottom"/>
          </w:tcPr>
          <w:p>
            <w:pPr>
              <w:spacing w:after="0" w:line="20" w:lineRule="exact"/>
              <w:rPr>
                <w:sz w:val="1"/>
                <w:szCs w:val="1"/>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(3,516)</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7,380</w:t>
            </w:r>
          </w:p>
        </w:tc>
        <w:tc>
          <w:tcPr>
            <w:tcW w:w="80" w:type="dxa"/>
            <w:vAlign w:val="bottom"/>
          </w:tcPr>
          <w:p>
            <w:pPr>
              <w:spacing w:after="0" w:line="20" w:lineRule="exact"/>
              <w:rPr>
                <w:sz w:val="1"/>
                <w:szCs w:val="1"/>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(1,637)</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w w:val="92"/>
              </w:rPr>
              <w:t>Tax benefit from exercise of stock options and deferred compensation distributions</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1,167</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 expense (Note 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9,467</w:t>
            </w: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420"/>
              <w:spacing w:after="0" w:line="149" w:lineRule="exact"/>
              <w:rPr>
                <w:sz w:val="20"/>
                <w:szCs w:val="20"/>
                <w:color w:val="auto"/>
              </w:rPr>
            </w:pPr>
            <w:r>
              <w:rPr>
                <w:rFonts w:ascii="Arial" w:cs="Arial" w:eastAsia="Arial" w:hAnsi="Arial"/>
                <w:sz w:val="14"/>
                <w:szCs w:val="14"/>
                <w:color w:val="auto"/>
              </w:rPr>
              <w:t>Purchase of 1,869,193 shares of Class A Common Stock</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(49,933)</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ind w:left="860"/>
              <w:spacing w:after="0" w:line="149" w:lineRule="exact"/>
              <w:rPr>
                <w:sz w:val="20"/>
                <w:szCs w:val="20"/>
                <w:color w:val="auto"/>
              </w:rPr>
            </w:pPr>
            <w:r>
              <w:rPr>
                <w:rFonts w:ascii="Arial" w:cs="Arial" w:eastAsia="Arial" w:hAnsi="Arial"/>
                <w:sz w:val="14"/>
                <w:szCs w:val="14"/>
                <w:color w:val="auto"/>
              </w:rPr>
              <w:t>Class A — $0.74 per share</w:t>
            </w: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(36,340)</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Class B — $0.72 per share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(2,559)</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Balances at July 31, 2012</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w w:val="76"/>
              </w:rPr>
              <w:t>548</w:t>
            </w:r>
          </w:p>
        </w:tc>
        <w:tc>
          <w:tcPr>
            <w:tcW w:w="360" w:type="dxa"/>
            <w:vAlign w:val="bottom"/>
            <w:gridSpan w:val="2"/>
          </w:tcPr>
          <w:p>
            <w:pPr>
              <w:ind w:left="28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313,008</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80"/>
              </w:rPr>
              <w:t>$ 732,290</w:t>
            </w:r>
          </w:p>
        </w:tc>
        <w:tc>
          <w:tcPr>
            <w:tcW w:w="180" w:type="dxa"/>
            <w:vAlign w:val="bottom"/>
          </w:tcPr>
          <w:p>
            <w:pPr>
              <w:spacing w:after="0"/>
              <w:rPr>
                <w:sz w:val="13"/>
                <w:szCs w:val="13"/>
                <w:color w:val="auto"/>
              </w:rPr>
            </w:pPr>
          </w:p>
        </w:tc>
        <w:tc>
          <w:tcPr>
            <w:tcW w:w="92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 (92,600)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59,411</w:t>
            </w:r>
          </w:p>
        </w:tc>
        <w:tc>
          <w:tcPr>
            <w:tcW w:w="700" w:type="dxa"/>
            <w:vAlign w:val="bottom"/>
            <w:gridSpan w:val="3"/>
          </w:tcPr>
          <w:p>
            <w:pPr>
              <w:jc w:val="right"/>
              <w:ind w:right="12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(3,304)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2012, 2011 and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(17,911)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108,652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48,827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Loss (gain) on the sale of business (pre-tax)</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Non-cash portion of restructuring charges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115,688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 (net of effects of business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06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144,705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167,350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(37,649)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Payments of remaining consideration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Divestiture of business, net of cash retained in business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12,980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(20,532)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Settlements of net investment hedges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(5,542)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(64,604)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(22,631)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(38,064)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Principal payments on debt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(61,264)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issuance of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Credit revolver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w w:val="92"/>
              </w:rPr>
              <w:t>Income tax benefit from the exercise of stock options and deferred compensation distributions,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(147,824)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(91,574)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720"/>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(16,348)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126,684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389,971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314,840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305,900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389,971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314,840</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19,194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21,298</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assets acquired, net of 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cash paid for acquisitions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37,649</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7,970</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an international manufacturer of identification solutions and specialty materials that identify and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Principles of Consolidation — </w:t>
      </w:r>
      <w:r>
        <w:rPr>
          <w:rFonts w:ascii="Arial" w:cs="Arial" w:eastAsia="Arial" w:hAnsi="Arial"/>
          <w:sz w:val="16"/>
          <w:szCs w:val="16"/>
          <w:color w:val="auto"/>
        </w:rPr>
        <w:t>The accompanying consolidated financial statements include the accounts of Brady Corporation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(“Brady” or the “Company”), all of which are wholly-owned. All intercompany accounts and transactions have been eliminated in consolidation.</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Subsequent Events — </w:t>
      </w:r>
      <w:r>
        <w:rPr>
          <w:rFonts w:ascii="Arial" w:cs="Arial" w:eastAsia="Arial" w:hAnsi="Arial"/>
          <w:sz w:val="18"/>
          <w:szCs w:val="18"/>
          <w:color w:val="auto"/>
        </w:rPr>
        <w:t>On September 6, 2012, the Company announced an increase in the annual dividend to shareholders of the Company’s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from $0.74 to $0.76 per share. A quarterly dividend of $0.19 will be paid on October 31, 2012, to shareholders of record at the close of business on October 10, 2012.</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September 6, 2012, the Company’s Board of Directors authorized a share buyback program for up to an additional two million shares of the Company’s Class A Common Stock. The share repurchase plan may be implemented from time to time on the open market or in privately negotiated transactions, with repurchased shares available for use in connection with the Company’s stock-based compensation plans and for other corporate purposes.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the carrying amount of its financial instruments (cash and cash equivalents,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accounts payable) is a reasonable estimate of the fair value of these instruments due to their short-term nature. See Note 5 for more information regarding the fair value of long-term debt and Note 10 for fair value measurements.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 liquid investments with original maturities of three months or less when acquired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which are recorded at cost.</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Accounts Receivables — </w:t>
      </w:r>
      <w:r>
        <w:rPr>
          <w:rFonts w:ascii="Arial" w:cs="Arial" w:eastAsia="Arial" w:hAnsi="Arial"/>
          <w:sz w:val="16"/>
          <w:szCs w:val="16"/>
          <w:color w:val="auto"/>
        </w:rPr>
        <w:t>Accounts receivables are stated net of allowances for doubtful accounts of $6,006 and $6,183 as of July 31, 2012 and 2011,</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No single customer comprises more than 10% of the Company’s consolidated net sales in 2012, 2011, or 2010, or 10% of the Company’s consolidated accounts receivable as of July 31, 2012 or 2011. Specific customer provisions are made when a review of significant outstanding amounts, utilizing information about customer creditworthiness and current economic trends, indicates that collection is doubtful. In addition, provisions are made for the remainder of accounts receivable based upon the age of the receivable and the Company’s historical collection experience.</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market. Cost has been determined using the last-in, first-out (“LIFO”) method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inventories (approximately 18% of total inventories at July 31, 2012, and approximately 16% of total inventories at July 31, 2011) and the first-in, first-out (“FIFO”) or average cost methods for other inventories. Had all domestic inventories been accounted for on a FIFO basis instead of on a LIFO basis, the carrying value would have increased by $9,271 and $9,168 on July 31, 2012 and 2011,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Plant, Property, and Equipment — </w:t>
      </w:r>
      <w:r>
        <w:rPr>
          <w:rFonts w:ascii="Arial" w:cs="Arial" w:eastAsia="Arial" w:hAnsi="Arial"/>
          <w:sz w:val="18"/>
          <w:szCs w:val="18"/>
          <w:color w:val="auto"/>
        </w:rPr>
        <w:t>Plant, property, and equipment are recorded at cost. The cost of buildings and improvements and machinery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is being depreciated over their estimated useful lives using primarily the straight-line method for financial reporting purposes. The estimated useful lives range from 3 to 33 years as shown below.</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3280" w:type="dxa"/>
            <w:vAlign w:val="bottom"/>
          </w:tcPr>
          <w:p>
            <w:pPr>
              <w:spacing w:after="0"/>
              <w:rPr>
                <w:sz w:val="15"/>
                <w:szCs w:val="15"/>
                <w:color w:val="auto"/>
              </w:rPr>
            </w:pPr>
          </w:p>
        </w:tc>
        <w:tc>
          <w:tcPr>
            <w:tcW w:w="35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Range of Useful Lives</w:t>
            </w: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22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 to 33 Years</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Computer systems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Years</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Years</w:t>
            </w:r>
          </w:p>
        </w:tc>
      </w:tr>
    </w:tbl>
    <w:p>
      <w:pPr>
        <w:spacing w:after="0" w:line="15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proceeds from disposal, is charged or credited to operations. Leasehold improvements are depreciated over the shorter of the lease term or the estimated useful life of the respective asset. Depreciation expense was $27,656, $28,997, and $31,560 for the years ended July 31, 2012, 2011 and 2010, respectively.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Goodwill and Other Intangible Assets — </w:t>
      </w:r>
      <w:r>
        <w:rPr>
          <w:rFonts w:ascii="Arial" w:cs="Arial" w:eastAsia="Arial" w:hAnsi="Arial"/>
          <w:sz w:val="18"/>
          <w:szCs w:val="18"/>
          <w:color w:val="auto"/>
        </w:rPr>
        <w:t>The cost of intangible assets with determinable useful lives is amortized to reflect the pattern of economic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consumed on a straight-line basis, over the estimated periods benefited. Intangible assets with indefinite useful lives and goodwill are not subjected to amortization. These assets are assessed for impairment annually or more frequently as deemed necessary.</w:t>
      </w:r>
    </w:p>
    <w:p>
      <w:pPr>
        <w:spacing w:after="0" w:line="140"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5"/>
          <w:szCs w:val="15"/>
          <w:color w:val="auto"/>
        </w:rPr>
        <w:t>In the quarter ended January 31, 2012, the former North/South Asia reporting unit experienced a sales decline and margin erosion due in large part to a major customer’s loss of market share within the mobile handset industry. The impact of this sales decline was partially offset by additional opportunities within the mobile handset and other computing devices markets, but these sales were achieved at a lower gross margin percentage than was previously realized. The Company’s plans to fill capacity and absorb overhead with these additional sales opportunities were partially successful; however, increased competition from local competitors drove down unit prices. While the Company continued to capture similar dollar value of sales, the gross margins were less than what was anticipated. The Company placed increased focus on cost reduction and material procurement strategies to reduce cost of goods sold; however, these efforts were not enough to return the reporting unit to previous levels of profitability. Based upon the economic environment within the mobile handset market, management determined that the events were not temporary and gross margins in the mobile handset market were not likely to improve materially in the near term.</w:t>
      </w:r>
    </w:p>
    <w:p>
      <w:pPr>
        <w:spacing w:after="0" w:line="10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Due to the convergence of these events, in connection with a reforecast of expected fiscal 2012 financial results completed during the quarter ended January 31, 2012, the Company determined the foregoing circumstances to be indicators of potential impairment under the guidance of ASC 350, “Intangibles – Goodwill and Other.” The Company completed the required initial (“Step One”) impairment test for the former North/South Asia reporting unit by preparing a discounted cash flow model taking into account updated projections, estimates and assumptions. These estimates and assumptions primarily included, but were not limited to, projections of revenue growth, operating earnings, discount rates, terminal growth rates, and required capital for the reporting unit. Due to the inherent uncertainty involved in these estimates, actual results could differ materially from the estimates. The Company evaluated the significant assumptions used to determine the fair value of the reporting unit with the assistance of a third party valuation firm and concluded that they were reasonable.</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estimated fair value of the reporting unit was compared to the carrying amount including goodwill, and the results of the analysis indicated that the former North/South Asia reporting unit was potentially impaired. Therefore, the Company proceeded to measure the amount of the potential impairment (“Step Two”) with the assistance of a third party valuation firm. In Step Two of the goodwill impairment test, the Company determined the implied fair value of the goodwill and compared it to the carrying value of the goodwill. The Company allocated the fair value of the former North/South Asia reporting unit to all of its assets and liabilities as if the reporting unit had been acquired in a business combination. The excess fair value of the reporting unit over the fair value of its identifiable assets and liabilities was the implied fair value of goodwill. Upon completion of the assessment, the Company recognized a goodwill impairment charge of $115,688 during the quarter ended January 31, 2012. The amount of accumulated impairments as of July 31, 2012 was $115,688. There were no accumulated impairments as of July 31,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order to better allocate resources to align with sales growth initiatives, the Company reorganized its management reporting structure within the EMEA and Asia-Pacific operating segments. As a result of the reorganization and in accordance with ASC 350, “Intangibles – Goodwill and Other,” the Company’s reporting units for purposes of goodwill impairment testing were updated during the quarter ended April 30, 2012. In the EMEA operating segment, the Emerging Platforms reporting unit was consolidated into the Brady EMEA and Direct Marketing EMEA reporting units. In the Asia-Pacific operating segment, the North/South Asia reporting unit was divided into Brady North/South Asia and Die-Cut Asia. Further, Brady North/South Asia has been aggregated with Australia as part of the Brady Asia reporting unit. There were no changes to the management structure within the Americas operating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by reportable segment for the years ended July 31, 2012 and 2011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Asia-</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Americas</w:t>
            </w: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EMEA</w:t>
            </w: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Pacific</w:t>
            </w: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July 31, 2010</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425,018</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163,189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180,393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$ 768,600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420"/>
              <w:spacing w:after="0"/>
              <w:rPr>
                <w:sz w:val="20"/>
                <w:szCs w:val="20"/>
                <w:color w:val="auto"/>
              </w:rPr>
            </w:pPr>
            <w:r>
              <w:rPr>
                <w:rFonts w:ascii="Arial" w:cs="Arial" w:eastAsia="Arial" w:hAnsi="Arial"/>
                <w:sz w:val="18"/>
                <w:szCs w:val="18"/>
                <w:color w:val="auto"/>
              </w:rPr>
              <w:t>Current year acquisitions</w:t>
            </w:r>
          </w:p>
        </w:tc>
        <w:tc>
          <w:tcPr>
            <w:tcW w:w="2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4,792</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divestitures</w:t>
            </w:r>
          </w:p>
        </w:tc>
        <w:tc>
          <w:tcPr>
            <w:tcW w:w="3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(3,696)</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Translation adjustments and other</w:t>
            </w:r>
          </w:p>
        </w:tc>
        <w:tc>
          <w:tcPr>
            <w:tcW w:w="212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4,256</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16,429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18,342</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2011</w:t>
            </w:r>
          </w:p>
        </w:tc>
        <w:tc>
          <w:tcPr>
            <w:tcW w:w="2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425,578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203,527</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$ 800,343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420"/>
              <w:spacing w:after="0"/>
              <w:rPr>
                <w:sz w:val="20"/>
                <w:szCs w:val="20"/>
                <w:color w:val="auto"/>
              </w:rPr>
            </w:pPr>
            <w:r>
              <w:rPr>
                <w:rFonts w:ascii="Arial" w:cs="Arial" w:eastAsia="Arial" w:hAnsi="Arial"/>
                <w:sz w:val="18"/>
                <w:szCs w:val="18"/>
                <w:color w:val="auto"/>
              </w:rPr>
              <w:t>Current year acquisitions</w:t>
            </w: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22,844</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22,844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year divestitures</w:t>
            </w:r>
          </w:p>
        </w:tc>
        <w:tc>
          <w:tcPr>
            <w:tcW w:w="2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Translation adjustments and other</w:t>
            </w:r>
          </w:p>
        </w:tc>
        <w:tc>
          <w:tcPr>
            <w:tcW w:w="3280" w:type="dxa"/>
            <w:vAlign w:val="bottom"/>
            <w:gridSpan w:val="3"/>
          </w:tcPr>
          <w:p>
            <w:pPr>
              <w:jc w:val="right"/>
              <w:ind w:right="420"/>
              <w:spacing w:after="0"/>
              <w:rPr>
                <w:sz w:val="20"/>
                <w:szCs w:val="20"/>
                <w:color w:val="auto"/>
              </w:rPr>
            </w:pPr>
            <w:r>
              <w:rPr>
                <w:rFonts w:ascii="Arial" w:cs="Arial" w:eastAsia="Arial" w:hAnsi="Arial"/>
                <w:sz w:val="18"/>
                <w:szCs w:val="18"/>
                <w:color w:val="auto"/>
              </w:rPr>
              <w:t>(7,692)</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(18,719)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(3,802)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(115,688)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(115,688)</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Balance as of July 31, 2012</w:t>
            </w:r>
          </w:p>
        </w:tc>
        <w:tc>
          <w:tcPr>
            <w:tcW w:w="2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417,886</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174,868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84,037</w:t>
            </w:r>
          </w:p>
        </w:tc>
        <w:tc>
          <w:tcPr>
            <w:tcW w:w="2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$ 676,791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120" w:type="dxa"/>
            <w:vAlign w:val="bottom"/>
            <w:vMerge w:val="restart"/>
          </w:tcPr>
          <w:p>
            <w:pPr>
              <w:jc w:val="right"/>
              <w:ind w:right="692"/>
              <w:spacing w:after="0"/>
              <w:rPr>
                <w:sz w:val="20"/>
                <w:szCs w:val="20"/>
                <w:color w:val="auto"/>
              </w:rPr>
            </w:pPr>
            <w:r>
              <w:rPr>
                <w:rFonts w:ascii="Arial" w:cs="Arial" w:eastAsia="Arial" w:hAnsi="Arial"/>
                <w:sz w:val="18"/>
                <w:szCs w:val="18"/>
                <w:color w:val="auto"/>
              </w:rPr>
              <w:t>37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Goodwill decreased $123,552 during fiscal 2012. Of the $123,552 decrease, $115,688 was due to the goodwill impairment charge recognized on the former North/South Asia reporting unit, and $30,185 was due to the negative effects of foreign currency translation. These declines were partially offset by the acquisitions of Grafo, Runelandhs, and Pervaco during fiscal 2012, which increased goodwill by $1,227, $8,440, and $13,177, respectively, net of the fiscal 2012 divestiture of Etimark, which decreased goodwill by $495. See Note 2, “Acquisitions and Divestitures” for further discussion.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increased $31,743 during fiscal 2011 due to the net effects of foreign currency translation and acquisition activity, offset by divestitures. Of the $31,743 increase, $39,027 was due to the positive effects of foreign currency translation and $4,792 resulted from the acquisition of ID Warehouse during the second quarter of fiscal 2011. The increase was offset by a $12,076 decrease in goodwill as a result of the divestiture of the Company’s Teklynx business during the second quarter of fiscal 2011.</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Other intangible assets include patents, trademarks, customer relationships, non-compete agreements and other intangible assets with finite lives being amortized in accordance with accounting guidance for other intangible assets. The net book value of these assets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July 31, 2012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July 31, 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5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8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Net Book</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Period (Years)</w:t>
            </w: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Period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Amortized other intangible assets:</w:t>
            </w: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Patents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10,418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1,360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9,784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164,392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(128,805)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35,587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165,566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(119,977)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Non-compete agreements and 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tcPr>
          <w:p>
            <w:pPr>
              <w:spacing w:after="0"/>
              <w:rPr>
                <w:sz w:val="20"/>
                <w:szCs w:val="20"/>
                <w:color w:val="auto"/>
              </w:rPr>
            </w:pPr>
            <w:r>
              <w:rPr>
                <w:rFonts w:ascii="Arial" w:cs="Arial" w:eastAsia="Arial" w:hAnsi="Arial"/>
                <w:sz w:val="18"/>
                <w:szCs w:val="18"/>
                <w:color w:val="auto"/>
              </w:rPr>
              <w:t>Unamortized other intangible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220"/>
              <w:spacing w:after="0"/>
              <w:rPr>
                <w:sz w:val="20"/>
                <w:szCs w:val="20"/>
                <w:color w:val="auto"/>
              </w:rPr>
            </w:pPr>
            <w:r>
              <w:rPr>
                <w:rFonts w:ascii="Arial" w:cs="Arial" w:eastAsia="Arial" w:hAnsi="Arial"/>
                <w:sz w:val="18"/>
                <w:szCs w:val="18"/>
                <w:color w:val="auto"/>
              </w:rPr>
              <w:t>assets: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tradenames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44,750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244,493</w:t>
            </w: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(160,374)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84,119</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240,853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(150,892)</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89,961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value of other intangible assets in the Consolidated Balance Sheet at July 31, 2012, differs from the value assigned to them in the allocation of purchase price due to the effect of fluctuations in the exchange rates used to translate financial statements into the United States dollar between the date of acquisition and July 31, 2012.</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expense of intangible assets during fiscal 2012, 2011, and 2010 was $16,331, $19,830, and $21,462, respectively. The amortization over each of the next five fiscal years is projected to be $14,323, $6,962, $6,145, $5,957, and $2,859 for the years ending July 31, 2013, 2014, 2015, 2016 and 2017, respectively.</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Impairment of Long-Lived and Other Intangible Assets — </w:t>
      </w:r>
      <w:r>
        <w:rPr>
          <w:rFonts w:ascii="Arial" w:cs="Arial" w:eastAsia="Arial" w:hAnsi="Arial"/>
          <w:sz w:val="18"/>
          <w:szCs w:val="18"/>
          <w:color w:val="auto"/>
        </w:rPr>
        <w:t>The Company evaluates whether events and circumstances have occurred that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estimated useful life 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impairment is determined to exist, any related impairment loss is calculated based on the fair value of the asset.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Impairment of Goodwill and Indefinite-lived Intangible Assets — </w:t>
      </w:r>
      <w:r>
        <w:rPr>
          <w:rFonts w:ascii="Arial" w:cs="Arial" w:eastAsia="Arial" w:hAnsi="Arial"/>
          <w:sz w:val="18"/>
          <w:szCs w:val="18"/>
          <w:color w:val="auto"/>
        </w:rPr>
        <w:t>Goodwill and other indefinite-lived intangible assets are tested for impairment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frequently if events or changes in circumstances indicate that the assets might be impaired. Annual impairment tests are performed by the Company in the fourth quarter of each year.</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fourth quarter of fiscal 2012, the Company conducted a goodwill impairment assessment. The assessment included comparing the carrying amount of net assets, including goodwill, of each reporting unit to its respective fair value as of May 1, 2012, the Company’s assessment date. Fair value was determined using the weighted average of a discounted cash flow and market participant analysis for each reporting unit. The Company’s methodologies for valuing goodwill are applied consistently on a year-over-year basis. No indications of impairment have been identified between the date of the interim assessments and July 31, 2012.</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During the fourth quarter of fiscal 2012, the Company conducted an indefinite-lived intangible asset impairment assessment. The assessment included comparing the carrying amount of the indefinite-lived intangible asset to the fair value of those assets as of May 1, 2012, the Company’s assessment date. Fair value was determined using a discounted revenue stream analysis for each indefinite-lived intangible asset based on a relief from royalty valuation methodology. The Company’s methodologies for valuing indefinite-lived intangible assets are applied consistently on a year-over-year basis. No indications of impairment have been identified between the date of the interim assessments and July 31,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Catalog Costs and Related Amortization — </w:t>
      </w:r>
      <w:r>
        <w:rPr>
          <w:rFonts w:ascii="Arial" w:cs="Arial" w:eastAsia="Arial" w:hAnsi="Arial"/>
          <w:sz w:val="16"/>
          <w:szCs w:val="16"/>
          <w:color w:val="auto"/>
        </w:rPr>
        <w:t>The Company accumulates all direct costs incurred, net of vendor cooperative advertising payments,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neutralized within a period of one year or less. The estimate of the expected sales realization cycle for a particular catalog is based on the Company’s historical sales experience with identical or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2012 and 2011, $15,011 and $11,892, respectively, of prepaid catalog costs were included in prepaid expenses and other current assets.</w:t>
      </w:r>
    </w:p>
    <w:p>
      <w:pPr>
        <w:spacing w:after="0" w:line="11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Revenue Recognition — </w:t>
      </w:r>
      <w:r>
        <w:rPr>
          <w:rFonts w:ascii="Arial" w:cs="Arial" w:eastAsia="Arial" w:hAnsi="Arial"/>
          <w:sz w:val="16"/>
          <w:szCs w:val="16"/>
          <w:color w:val="auto"/>
        </w:rPr>
        <w:t>Revenue is recognized when it is both earned and realized or realizable. The Company’s policy is to recognize revenue when title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product, ownership, and risk of loss have transferred to the customer, persuasive evidence of an arrangement exists,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sales at the time of the sale. As of July 31, 2012 and 2011, the Company had a reserve of $3,046 and $4,491, respectively. The decline from fiscal 2011 to fiscal 2012 is a result of a reduction in specific reserves that were recorded at the end of fiscal 2011, as well as a decline in the product return lag.</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Sales Incentives — </w:t>
      </w:r>
      <w:r>
        <w:rPr>
          <w:rFonts w:ascii="Arial" w:cs="Arial" w:eastAsia="Arial" w:hAnsi="Arial"/>
          <w:sz w:val="18"/>
          <w:szCs w:val="18"/>
          <w:color w:val="auto"/>
        </w:rPr>
        <w:t>The Company accounts for cash consideration (such as sales incentives and cash discounts) given to its customers or resellers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revenue rather than an operating expense. Sales incentives for the years ended July 31, 2012, 2011, and 2010 were $18,474, $18,826, and $12,673, respectively.</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Shipping and Handling Fees and Costs — </w:t>
      </w:r>
      <w:r>
        <w:rPr>
          <w:rFonts w:ascii="Arial" w:cs="Arial" w:eastAsia="Arial" w:hAnsi="Arial"/>
          <w:sz w:val="18"/>
          <w:szCs w:val="18"/>
          <w:color w:val="auto"/>
        </w:rPr>
        <w:t>Amounts billed to a customer in a sale transaction related to shipping and handling fees are reported as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related costs incurred for shipping and handling are reported as cost of goods sold.</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except catalog and mailer costs as outlined above. Advertising expense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31, 2012, 2011, and 2010 were $74,852, $79,326, and $72,000, respectively.</w:t>
      </w:r>
    </w:p>
    <w:p>
      <w:pPr>
        <w:spacing w:after="0" w:line="13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 xml:space="preserve">Stock-Based Compensation — </w:t>
      </w:r>
      <w:r>
        <w:rPr>
          <w:rFonts w:ascii="Arial" w:cs="Arial" w:eastAsia="Arial" w:hAnsi="Arial"/>
          <w:sz w:val="16"/>
          <w:szCs w:val="16"/>
          <w:color w:val="auto"/>
        </w:rPr>
        <w:t>The Company has an incentive stock plan under which the Board of Directors may grant nonqualified stock options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shares of Class A Nonvoting Common Stock or restricted shares of Class A Nonvoting Common Stock to employees and non-employee directors. 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Restricted shares have an issuance price equal to the fair market value of the underlying stock at the date of grant. The Company granted restricted shares in fiscal 2008 and fiscal 2011 that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 restricted shares granted in fiscal 2008 and 2011 are referred to herein as “performance-based restricted shares.”</w:t>
      </w:r>
    </w:p>
    <w:p>
      <w:pPr>
        <w:spacing w:after="0" w:line="12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July 31, 2012, the Company has reserved 6,555,084 shares of Class A Nonvoting Common Stock for outstanding stock options and restricted shares and 5,005,850 shares remain of Class A Nonvoting Common Stock for future issuance of stock options and restricted shares under the various plans. The Company uses treasury stock or will issue new Class A Nonvoting Common Stock to deliver shares under these plans.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recognizes the compensation cost of all share-based awards on a straight-line basis over the vesting period of the award. Total stock compensation expense recognized by the Company during the years ended July 31, 2012, 2011, and 2010 was $9,735 ($5,939 net of taxes), $9,830 ($5,996 net of taxes), and $9,721 ($5,930 net of taxes), respectively. As of July 31, 2012, total unrecognized compensation cost related to share-based compensation awards was $13,827 pre-tax, net of estimated forfeitures, which the Company expects to recognize over a weighted-average period of 1.8 years.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has estimated the fair value of its performance-based and service-based option awards granted after August 1, 2005, using the Black-Scholes option-pricing model. The weighted-average assumptions used in the Black-Scholes valuation model are reflected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Performance-</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Performance-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Performance-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w w:val="91"/>
              </w:rPr>
              <w:t>Black-Scholes Option Valuation Assumptions</w:t>
            </w: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9"/>
              </w:rPr>
              <w:t>Based</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Service-Based</w:t>
            </w:r>
          </w:p>
        </w:tc>
        <w:tc>
          <w:tcPr>
            <w:tcW w:w="14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9"/>
              </w:rPr>
              <w:t>Based</w:t>
            </w:r>
          </w:p>
        </w:tc>
        <w:tc>
          <w:tcPr>
            <w:tcW w:w="12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Service-Based</w:t>
            </w:r>
          </w:p>
        </w:tc>
        <w:tc>
          <w:tcPr>
            <w:tcW w:w="120" w:type="dxa"/>
            <w:vAlign w:val="bottom"/>
          </w:tcPr>
          <w:p>
            <w:pPr>
              <w:spacing w:after="0"/>
              <w:rPr>
                <w:sz w:val="12"/>
                <w:szCs w:val="12"/>
                <w:color w:val="auto"/>
              </w:rPr>
            </w:pPr>
          </w:p>
        </w:tc>
        <w:tc>
          <w:tcPr>
            <w:tcW w:w="10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9"/>
              </w:rPr>
              <w:t>Based</w:t>
            </w:r>
          </w:p>
        </w:tc>
        <w:tc>
          <w:tcPr>
            <w:tcW w:w="10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Service-Based</w:t>
            </w:r>
          </w:p>
        </w:tc>
        <w:tc>
          <w:tcPr>
            <w:tcW w:w="0" w:type="dxa"/>
            <w:vAlign w:val="bottom"/>
          </w:tcPr>
          <w:p>
            <w:pPr>
              <w:spacing w:after="0"/>
              <w:rPr>
                <w:sz w:val="1"/>
                <w:szCs w:val="1"/>
                <w:color w:val="auto"/>
              </w:rPr>
            </w:pPr>
          </w:p>
        </w:tc>
      </w:tr>
      <w:tr>
        <w:trPr>
          <w:trHeight w:val="168"/>
        </w:trPr>
        <w:tc>
          <w:tcPr>
            <w:tcW w:w="2800" w:type="dxa"/>
            <w:vAlign w:val="bottom"/>
            <w:tcBorders>
              <w:bottom w:val="single" w:sz="8" w:color="auto"/>
            </w:tcBorders>
            <w:vMerge w:val="continue"/>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04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06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1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5.89</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5.91</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6.57</w:t>
            </w: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39.21%</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39.41%</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40.22%</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8"/>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market value of</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underlying stock at grant date</w:t>
            </w:r>
          </w:p>
        </w:tc>
        <w:tc>
          <w:tcPr>
            <w:tcW w:w="16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16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29.55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27.05</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28.35</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29.78</w:t>
            </w:r>
          </w:p>
        </w:tc>
        <w:tc>
          <w:tcPr>
            <w:tcW w:w="4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8"/>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16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grant.</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granted 100,000 shares of performance-based restricted stock to Frank M. Jaehnert, the Company’s President and Chief Executive Officer in August of 2010, with a grant price and fair value of $28.35 per share. The Company also granted 210,000 shares of performance-based restricted stock to Mr. Jaehnert and other executives during fiscal 2008, with a grant price and fair value of $32.83. As of July 31, 2012, 310,000 performance-based restricted shares were outstanding.</w:t>
      </w:r>
    </w:p>
    <w:p>
      <w:pPr>
        <w:spacing w:after="0" w:line="14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Effective July 20, 2011, the Compensation Committee of the Board of Directors of the Company approved an amendment to the fiscal 2008 performance-based restricted shares to provide for an additional two-year vesting period. These awards originally vested five years from the grant date upon meeting certain financial performance and service conditions. This modification resulted in a one-time cumulative reduction of $1.2 million in fiscal 2011 to share-based compensation expense in order to align the expense recognition with the amended vesting terms. The Company’s Chief Executive Officer, Chief Financial Officer, and the other three named executive officers currently have the following performance-based restricted shares affected by this amendment: Frank M. Jaehnert, 50,000 shares; Thomas J. Felmer, 35,000 shares; Peter C. Sephton, 35,000 shares; Allan J. Klotsche, 35,000 shares; and Matthew O. Williamson, 35,000 shares.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granted 415,000 performance-based stock options during fiscal 2012, with a weighted average exercise price of $29.55 and a weighted average fair value of $10.01. The Company also granted 797,450 service-based stock options during fiscal 2012, with a weighted average exercise price of $27.05 and a weighted average fair value of $8.42.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Other comprehensive income — </w:t>
      </w:r>
      <w:r>
        <w:rPr>
          <w:rFonts w:ascii="Arial" w:cs="Arial" w:eastAsia="Arial" w:hAnsi="Arial"/>
          <w:sz w:val="16"/>
          <w:szCs w:val="16"/>
          <w:color w:val="auto"/>
        </w:rPr>
        <w:t>Other comprehensive income consists of foreign currency translation adjustments, net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hedges and net investment hedges, and the unamortized gain on the post-retirement medical plans net of their related tax effects.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table illustrates the changes in the balances of each component of accumulated other comprehensive income for the periods presented. The unrealized (loss) gain on cash flow hedges and the amortization of gain on the postretirement medical plan are presented net of tax:</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(loss) gain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of gain 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Foreign</w:t>
            </w:r>
          </w:p>
        </w:tc>
        <w:tc>
          <w:tcPr>
            <w:tcW w:w="2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post-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currency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cash flow</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0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translation</w:t>
            </w:r>
          </w:p>
        </w:tc>
        <w:tc>
          <w:tcPr>
            <w:tcW w:w="2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7"/>
              </w:rPr>
              <w:t>hedges</w:t>
            </w:r>
          </w:p>
        </w:tc>
        <w:tc>
          <w:tcPr>
            <w:tcW w:w="2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medical plan</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July 31, 2009</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Current-period change</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50,905</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Current-period change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(1,154)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112,864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113,898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Current-period change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(55,307)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(54,487)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57,557</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decrease in accumulated other comprehensive income for the year ended July 31, 2012, as compared to the years ended July 31, 2011 was primarily due to the appreciation of the U.S. dollar against other currencies. The foreign currency translation adjustments line in the table above includes the impact of foreign currency translation, foreign currency translation on intercompany notes, and the settlements of the net investment hedges, net of tax.</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Income Taxes — </w:t>
      </w:r>
      <w:r>
        <w:rPr>
          <w:rFonts w:ascii="Arial" w:cs="Arial" w:eastAsia="Arial" w:hAnsi="Arial"/>
          <w:sz w:val="16"/>
          <w:szCs w:val="16"/>
          <w:color w:val="auto"/>
        </w:rPr>
        <w:t>The Company accounts for income taxes in accordance with the applicable accounting guidance, which requires an asset and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approach 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Risk Management Activities — </w:t>
      </w:r>
      <w:r>
        <w:rPr>
          <w:rFonts w:ascii="Arial" w:cs="Arial" w:eastAsia="Arial" w:hAnsi="Arial"/>
          <w:sz w:val="18"/>
          <w:szCs w:val="18"/>
          <w:color w:val="auto"/>
        </w:rPr>
        <w:t>The Company is exposed to market risk, such as changes in interest rates and currency exchange rates.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hold or issue derivative financial instruments for trading purposes.</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Foreign Currency Hedging — </w:t>
      </w:r>
      <w:r>
        <w:rPr>
          <w:rFonts w:ascii="Arial" w:cs="Arial" w:eastAsia="Arial" w:hAnsi="Arial"/>
          <w:sz w:val="16"/>
          <w:szCs w:val="16"/>
          <w:color w:val="auto"/>
        </w:rPr>
        <w:t>The objective of the Company’s foreign currency exchange risk management is to minimize the impact of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transactions in a currency differing from the respective functional currency.</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 accounting guidance for derivative instruments and hedging activities based upon the intended objective of the contract. The fair value of these instruments at July 31, 2012 and 2011 was an asset of $953 and a liability of $6,109, respectively. As of July 31, 2012 and 2011, the notional amount of these outstanding forward exchange contracts was $61.2 million and $80.8 million. See Note 12 for more information regarding the Company’s derivative instruments and hedging activities.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has designated a portion of its foreign exchange contracts as cash flow hedges and recorded these contracts at fair value on the Consolidated Balance Sheets. For these instruments, the effective portion of the gain or loss on the derivative is reported as a component of accumulated other comprehensive income (“AOCI”) and reclassified into earnings in the same period or periods during which the hedged transaction affects earnings. At July 31, 2012 and July 31, 2011, unrealized gains of $1,348 and unrealized losses of $1,535 have been included in AOCI, respectively. All balances are expected to be reclassified from AOCI to earnings during the next fifteen months when the hedged transactions impact earnings.</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has designated a portion of its foreign exchange contracts as net investment hedges of the Company’s net investments in foreign operations and recorded these contracts at fair value on the Consolidated Balance Sheets. For net investment hedges that meet the effectiveness requirements, the net gains or losses attributable to changes in spot exchange rates are recorded in cumulative translation within accumulated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July 31, 2012 and July 31, 2011, unrealized losses of $1,041 and $4,589 have been included in AOCI, respectively.</w:t>
      </w:r>
    </w:p>
    <w:p>
      <w:pPr>
        <w:spacing w:after="0" w:line="12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Company also utilizes Euro-denominated debt designated as hedge instruments to hedge portions of the Company’s net investments in European foreign operations. As of July 31, 2012, the Company had €75.0 million foreign denominated debt outstanding designated as a net investment hedge of the Company’s net investment in its European foreign operations. See Note 12 for more information regarding the Company’s derivative instruments and hedging activities. For net investment hedges that meet the effectiveness requirements, the net gains or losses attributable to changes in spot exchange rates are recorded in cumulative translation within accumulated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July 31, 2012 and July 31, 2011, unrealized gains of $2,635 and unrealized losses of $13,070 have been included in AOCI, respectively.</w:t>
      </w:r>
    </w:p>
    <w:p>
      <w:pPr>
        <w:spacing w:after="0" w:line="14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also enters into forward exchange contracts to create economic hedges to manage foreign exchange risk exposure. The fair value of these instruments at July 31, 2012 and 2011 was $78 and $2, respectively. The Company has not designated these derivative contracts as hedge transactions, and accordingly, the mark-to-market impact of these derivatives is recorded each period in current earnings.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fiscal years ended July 31, 2012, 2011, and 2010.</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New Accounting Standards — </w:t>
      </w:r>
      <w:r>
        <w:rPr>
          <w:rFonts w:ascii="Arial" w:cs="Arial" w:eastAsia="Arial" w:hAnsi="Arial"/>
          <w:sz w:val="16"/>
          <w:szCs w:val="16"/>
          <w:color w:val="auto"/>
        </w:rPr>
        <w:t>In May 2011, the FASB issued ASU 2011-04, “Fair Value Measurement,” which is intended to clarify three points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 of FASB ASC 820 –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(1) only nonfinancial assets should be valued via a determination of their best use; (2) the value of an instrument in shareholder’s equity should be measured from the perspective of an investor or trader who owns that instrument, which is the same method for measuring a liability; and (3) businesses will have to provide data and disclose the methods used to value Level 3 assets, those that are difficult to price because they do not have observable pricing inputs since they have stopped trading in the open market. The Company adopted this ASU effective July 31, 2012; however, it does not have a material impact on the basis of reporting fair value or the related disclosures.</w:t>
      </w:r>
    </w:p>
    <w:p>
      <w:pPr>
        <w:spacing w:after="0" w:line="12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June 2011, the FASB issued ASU 2011-05, “Presentation of Comprehensive Income,” which eliminates the option to present components of other comprehensive income (“OCI”) as part of the statement of changes in stockholders’ equity. The amendments in this standard require that all non-owner changes in stockholders’ equity be presented either in a single continuous statement of comprehensive income or in two separate but consecutive statements. Subsequently, in December 2011, the FASB issued ASU 2011-12, “Deferral of the Effective Date for Amendments to the Presentation of Reclassifications of Items Out of Accumulated Other Comprehensive Income,” which indefinitely defers the requirements in ASU 2011-05 to present on the face of the financial statements adjustments for items that are reclassified from OCI to net income in the statement where the components of net income and the components of OCI are presented. The ASU does not change the items that must be reported in OCI. This update is effective for fiscal years, and interim periods within those years, beginning after December 15, 2011, with early adoption permitted. The Company will adopt the standard with its fiscal 2013 first quarter ending October 31, 2012. The Company does not anticipate the adoption of this update to have a material impact on its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August 2012, the FASB issued ASU 2012-240, “Comprehensive Income – Presentation of Items Reclassified Out of Accumulated Other Comprehensive Income,” to solicit comments on a proposal to replace ASU 2011-05, “Presentation of Comprehensive Income.” The proposed standard would require presentation of (1) the effects of reclassifications of items out of accumulated other comprehensive income for each component of accumulated OCI, (2) a tabular disclosure of how items reclassified out of accumulated OCI impact line items of net income if the item was required under U.S. GAAP to be reclassified entirely into net income, and (3) references from effected components of accumulated OCI to other note disclosures currently required under U.S. GAAP for items not entirely reclassified into net income. Notably, the proposal specifically excludes from the new presentation requirements certain (1) postretirement benefit costs and (2) deferred acquisition costs related to certain insurance products. This update is tentatively applicable to companies with reporting periods ending after December 15, 2012, and would apply to both interim and annual reports. The Company is in the process of determining its method of presentation; however, it does not anticipate the adoption of these updates will have a material impact on its financial statements.</w:t>
      </w:r>
    </w:p>
    <w:p>
      <w:pPr>
        <w:spacing w:after="0" w:line="120"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In July 2012, the FASB issued ASU 2012-02, “Intangibles — Goodwill and Other — Testing Indefinite-Lived Intangible Assets for Impairment,” to establish an optional two-step analysis for impairment testing of indefinite-lived intangibles other than goodwill. The two-step analysis establishes an optional qualitative assessment to precede the quantitative assessment, if necessary. In the qualitative assessment, the entity must evaluate the totality of qualitative factors, including any recent fair value measurements, that impact whether an indefinite-lived intangible asset other than goodwill has a carrying amount that more likely than not exceeds its fair value. The entity must proceed to conducting a quantitative analysis, according to which the entity would record an impairment charge for the amount of the asset’s fair value exceeding the carrying amount, if (1) the entity determines that such an impairment is more likely than not to exist, or</w:t>
      </w:r>
    </w:p>
    <w:p>
      <w:pPr>
        <w:spacing w:after="0" w:line="1" w:lineRule="exact"/>
        <w:rPr>
          <w:sz w:val="20"/>
          <w:szCs w:val="20"/>
          <w:color w:val="auto"/>
        </w:rPr>
      </w:pPr>
    </w:p>
    <w:p>
      <w:pPr>
        <w:jc w:val="both"/>
        <w:ind w:firstLine="8"/>
        <w:spacing w:after="0" w:line="255" w:lineRule="auto"/>
        <w:tabs>
          <w:tab w:leader="none" w:pos="2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entity foregoes the qualitative assessment entirely. The standards update will be effective for financial statements of periods beginning after September 15, 2012, with early adoption permitted. The Company does not expect adoption of this ASU to have a material impact on the Company’s results of operations, financial position or cash flow.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completed three business acquisitions during each of the fiscal years ended July 31, 2012 and July 31, 2010, and one business acquisition during the fiscal year ended July 31, 2011. All of these transactions were accounted for using business combination accounting; therefore, the results of the acquired operations are included in the accompanying consolidated financial statements only since their acquisition dates.</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also divested of one business during each of the fiscal years ended July 31, 2012 and July 31, 2011. The Company did not complete any divestitures during the fiscal year ended July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March 2012, the Company acquired Grafo Wiremarkers Africa (Proprietary) Limited (“Grafo”), based in Johannesburg, South Africa for $3,039. Grafo offers a comprehensive range of wire identification products and is the sole distributor in Africa of locally developed Dartag</w:t>
      </w:r>
      <w:r>
        <w:rPr>
          <w:rFonts w:ascii="Arial" w:cs="Arial" w:eastAsia="Arial" w:hAnsi="Arial"/>
          <w:sz w:val="10"/>
          <w:szCs w:val="10"/>
          <w:color w:val="auto"/>
        </w:rPr>
        <w:t>®</w:t>
      </w:r>
      <w:r>
        <w:rPr>
          <w:rFonts w:ascii="Arial" w:cs="Arial" w:eastAsia="Arial" w:hAnsi="Arial"/>
          <w:sz w:val="16"/>
          <w:szCs w:val="16"/>
          <w:color w:val="auto"/>
        </w:rPr>
        <w:t xml:space="preserve"> ABS cablemarkers, and stainless steel ties and tags. Grafo has annual sales of approximately $3,000 and is included in the Company’s EMEA segment. The purchase price allocation resulted in $1,227 assigned to goodwill and $961 assigned to customer relationships. The amount assigned to the customer relationships is being amortized over seven years. The Company expects the acquisition to provide a solid base in South Africa where it can further expand its business with the established distributors and customers throughout South Africa and the Southern African Development Community (SADC) countries.</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May 2012, the Company acquired Runelandhs Försäljnings AB (“Runelandhs”), based in Kalmar, Sweden for $22,499, net of cash received. Runelandhs is a direct marketer of industrial and office equipment with annual sales of approximately $19,000. Its products include lifting, transporting, and warehouse equipment; workbenches and material handling supplies; products for environmental protection; and entrance, reception, and office furnishings. Runelandhs is included in the Company’s EMEA segment. The final purchase price allocation resulted in $13,177 assigned to goodwill, $5,340 assigned to trademark, $5,474 assigned to customer relationships, and $95 assigned to non-compete agreements. The amount assigned to the trademark has an indefinite life. The amounts assigned to the customer relationships and non-compete agreements are being amortized over seven and five years, respectively. The Company expects the acquisition to expand its direct marketing presence in Scandinavia.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May 2012, the Company acquired Pervaco AS (“Pervaco”), based in Kjeller, Norway for approximately $12,111, net of cash received. Pervaco is a direct marketer of facility identification products with annual sales of approximately $6,000. Pervaco is included in the Company’s EMEA segment. The purchase price allocation resulted in $8,440 assigned to goodwill, $1,538 assigned to trademark, $2,468 assigned to customer relationships, and $91 assigned to non-compete agreements. The amount assigned to the trademark has an indefinite life. The amounts assigned to the customer relationships and non-compete agreements are being amortized over 5 and 3 years, respectively. The Company also expects the acquisition to expand its direct marketing presence in Scandinavia.</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combined estimated fair values of the assets acquired and liabilities assumed at the date of the acquisition:</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 net of cash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Liabilities assumed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Debt assumed</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37,649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results of the operations of the acquired business have been included since the date of acquisition in the accompanying consolidated financial statements. Pro forma information related to the acquisitions during the twelve months ended July 31, 2012, is not included because the impact on the Company’s consolidated results of operations is considered to be immaterial.</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July 2012, the Company sold certain net assets of its Etimark business, a manufacturer of bar-code labels and other identification products, based in Bad Nauheim, Germany. The Etimark business had operations in the Company’s EMEA segment. The Company received proceeds of $856, net of cash retained in the business. The transaction resulted in a pre-tax loss of $204, which was accounted for in “Selling, general, and administrative expenses” (“SG&amp;A”) on the Consolidated Statement of Income for the year ended July 31, 2012. The divestiture of the Etimark business was part of the Company’s continued long-term growth strategy to focus the Company’s energies and resources on growth of the Company’s core businesses.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2011</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November 2010, the Company acquired ID Warehouse, based in New South Wales, Australia for $7,970. ID Warehouse offers security identification and visitor management products including identification card printers, access control cards, wristbands, tamper-evident security seals and identification accessories. The business is included in the Company’s Asia-Pacific segment. The purchase price allocation resulted in $4,792 assigned to goodwill, $1,846 assigned to customer relationships, and $487 assigned to non-compete agreements. The amounts assigned to the customer relationships and non-compete agreements are being amortized over 10 and 5 years, respectively. The acquisition further strengthened the Company’s position in the people identification business in Australia and within the segment.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combined estimated fair values of the assets acquired and liabilities assumed at the date of the acquisition:</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$ 1,876</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21"/>
        </w:trPr>
        <w:tc>
          <w:tcPr>
            <w:tcW w:w="7120" w:type="dxa"/>
            <w:vAlign w:val="bottom"/>
          </w:tcPr>
          <w:p>
            <w:pPr>
              <w:spacing w:after="0"/>
              <w:rPr>
                <w:sz w:val="20"/>
                <w:szCs w:val="20"/>
                <w:color w:val="auto"/>
              </w:rPr>
            </w:pPr>
            <w:r>
              <w:rPr>
                <w:rFonts w:ascii="Arial" w:cs="Arial" w:eastAsia="Arial" w:hAnsi="Arial"/>
                <w:sz w:val="18"/>
                <w:szCs w:val="18"/>
                <w:color w:val="auto"/>
              </w:rPr>
              <w:t>Total assets acquired net of cash</w:t>
            </w:r>
          </w:p>
        </w:tc>
        <w:tc>
          <w:tcPr>
            <w:tcW w:w="540" w:type="dxa"/>
            <w:vAlign w:val="bottom"/>
          </w:tcPr>
          <w:p>
            <w:pPr>
              <w:jc w:val="right"/>
              <w:spacing w:after="0"/>
              <w:rPr>
                <w:sz w:val="20"/>
                <w:szCs w:val="20"/>
                <w:color w:val="auto"/>
              </w:rPr>
            </w:pPr>
            <w:r>
              <w:rPr>
                <w:rFonts w:ascii="Arial" w:cs="Arial" w:eastAsia="Arial" w:hAnsi="Arial"/>
                <w:sz w:val="18"/>
                <w:szCs w:val="18"/>
                <w:color w:val="auto"/>
              </w:rPr>
              <w:t>9,416</w:t>
            </w:r>
          </w:p>
        </w:tc>
        <w:tc>
          <w:tcPr>
            <w:tcW w:w="100" w:type="dxa"/>
            <w:vAlign w:val="bottom"/>
          </w:tcPr>
          <w:p>
            <w:pPr>
              <w:spacing w:after="0"/>
              <w:rPr>
                <w:sz w:val="19"/>
                <w:szCs w:val="19"/>
                <w:color w:val="auto"/>
              </w:rPr>
            </w:pPr>
          </w:p>
        </w:tc>
      </w:tr>
      <w:tr>
        <w:trPr>
          <w:trHeight w:val="218"/>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$ 7,970</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results of the operations of the acquired business have been included since the date of acquisition in the accompanying consolidated financial statements. Pro forma information related to the acquisition of ID Warehouse was not included because the impact on the Company’s consolidated results of operations is considered to be immaterial.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December 2010, the Company sold its Teklynx business, a barcode software company. The Teklynx business had operations primarily in the Company’s Americas and EMEA segments. The Company received proceeds of $12,980, net of cash retained in the business. The transaction resulted in a pre-tax gain of $4,394, which was accounted for in “Selling, general, and administrative expenses” (“SG&amp;A”) on the Consolidated Statement of Income for the year ended July 31, 2011. The divestiture of the Teklynx business was part of the Company’s continued long-term growth strategy to focus the Company’s energies and resources on growth of the Company’s core businesses.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March 2010, the Company acquired Securimed SAS (“Securimed”), based in Coudekerque, France for $10,132. Securimed is a leading French supplier and distributor of customized first-aid kits and supplies, and related healthcare products including personal protection, disinfection and hygiene products, diagnosis materials, and products for emergency response. The Securimed business is included in the Company’s EMEA segment.</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December 2009, the Company acquired Stickolor Industria e Comercio de Auto Adesivos Ltda. (“Stickolor”), based in Saõ Paulo, Brazil for $18,459. Stickolor manufactures screen-printed custom labels, overlays and nameplates for automobiles, tractors, motorcycles, electronics, white goods and general industrial markets. The Stickolor business is included in the Company’s Americas segment.</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October 2009, the Company acquired certain assets of the Welco division of Welconstruct Group Limited, based in the United Kingdom for $1,840. The Welco division conducts a direct marketing business platform consisting of sales of storage, handling, office and workplace products, and equipment via catalog and the internet to industrial and commercial markets under the name and title “Welco.” The Welco business is included in the Company’s EMEA segment.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combined estimated fair values of the assets acquired and liabilities assumed at the date of the acquisitions.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20,266</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7,970</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r>
      <w:tr>
        <w:trPr>
          <w:trHeight w:val="221"/>
        </w:trPr>
        <w:tc>
          <w:tcPr>
            <w:tcW w:w="7080" w:type="dxa"/>
            <w:vAlign w:val="bottom"/>
          </w:tcPr>
          <w:p>
            <w:pPr>
              <w:spacing w:after="0"/>
              <w:rPr>
                <w:sz w:val="20"/>
                <w:szCs w:val="20"/>
                <w:color w:val="auto"/>
              </w:rPr>
            </w:pPr>
            <w:r>
              <w:rPr>
                <w:rFonts w:ascii="Arial" w:cs="Arial" w:eastAsia="Arial" w:hAnsi="Arial"/>
                <w:sz w:val="18"/>
                <w:szCs w:val="18"/>
                <w:color w:val="auto"/>
              </w:rPr>
              <w:t>Total assets acquired net of cash</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35,632</w:t>
            </w:r>
          </w:p>
        </w:tc>
        <w:tc>
          <w:tcPr>
            <w:tcW w:w="100" w:type="dxa"/>
            <w:vAlign w:val="bottom"/>
          </w:tcPr>
          <w:p>
            <w:pPr>
              <w:spacing w:after="0"/>
              <w:rPr>
                <w:sz w:val="19"/>
                <w:szCs w:val="19"/>
                <w:color w:val="auto"/>
              </w:rPr>
            </w:pPr>
          </w:p>
        </w:tc>
      </w:tr>
      <w:tr>
        <w:trPr>
          <w:trHeight w:val="218"/>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Net assets acquired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30,431</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Purchased identifiable intangible assets for the three business acquisitions closed during the twelve months ended July 31, 2010 totaled $9,310 and will be amortized on a straight-line basis over lives ranging from three to ten years.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results of the operations of the acquired businesses have been included since the respective dates of acquisition in the accompanying consolidated financial statements. Pro-forma information related to the acquisitions during the twelve months ended July 31, 2010 is not included because the impact on the Company’s consolidated results of operations is considered to be immaterial.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provides postretirement medical benefits (the “Plan”)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accounting guidance on defined benefit pension and other postretirement plans requires full recognition of the funded status of defined benefit and other postretirement plans on the balance sheet as an asset or a liability. The guidance also continues to require that unrecognized prior service costs/credits, gains/losses, and transition obligations/assets be recorded in Accumulated Other Comprehensive Income, thus not changing the income statement recognition rules for such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2012 and 2011. The following table provides a reconciliation of the changes in the Plan’s accumulated benefit obligations during the years ended July 31: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9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Obligation at beginning of year</w:t>
            </w:r>
          </w:p>
        </w:tc>
        <w:tc>
          <w:tcPr>
            <w:tcW w:w="2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$15,011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Actuarial (gain)/loss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2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(2,062)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Plan amendments</w:t>
            </w:r>
          </w:p>
        </w:tc>
        <w:tc>
          <w:tcPr>
            <w:tcW w:w="23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Obligation at end of fiscal year</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14,225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plan was amended to exclude dental and vision benefits for retirees over the age of 65, resulting in a reduction of $1,105 in the pension obligation as of July 31, 2012. Benefit payments were $2,062 in fiscal 2012 as compared to $671 in fiscal 2011, which is the result of four large claims realized within the Company’s self-insured retiree population.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July 31, 2012 and 2011, amounts recognized as liabilities in the accompanying consolidated balance sheets consist of:</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8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liability</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Noncurrent liability</w:t>
            </w:r>
          </w:p>
        </w:tc>
        <w:tc>
          <w:tcPr>
            <w:tcW w:w="2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13,509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13,957</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15,011</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July 31, 2012 and 2011, pre-tax amounts recognized in accumulated other comprehensive income in the accompanying consolidated balance sheets consist of:</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4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actuarial gain</w:t>
            </w:r>
          </w:p>
        </w:tc>
        <w:tc>
          <w:tcPr>
            <w:tcW w:w="29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$1,837</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Prior service credit</w:t>
            </w:r>
          </w:p>
        </w:tc>
        <w:tc>
          <w:tcPr>
            <w:tcW w:w="29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3,634</w:t>
            </w:r>
          </w:p>
        </w:tc>
        <w:tc>
          <w:tcPr>
            <w:tcW w:w="10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benefit cost for the Plan for fiscal years 2012, 2011, and 2010 includes the following components: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Years Ended July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postretirement benefit cost included the following components: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Service cost — benefits attributed to service during the period</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$ 644</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666</w:t>
            </w:r>
          </w:p>
        </w:tc>
        <w:tc>
          <w:tcPr>
            <w:tcW w:w="4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service credit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Interest cost on accumulated postretirement benefit obligation</w:t>
            </w:r>
          </w:p>
        </w:tc>
        <w:tc>
          <w:tcPr>
            <w:tcW w:w="42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694</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unrecognized gain</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Periodic postretirement benefit cost</w:t>
            </w: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$ 885</w:t>
            </w: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1,202</w:t>
            </w: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1,187</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estimated actuarial gain and prior service credit that will be amortized from accumulated other comprehensive income into net periodic postretirement benefit cost over the next fiscal year are $45 and $203,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in accounting for the Plan: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188"/>
        </w:trPr>
        <w:tc>
          <w:tcPr>
            <w:tcW w:w="71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Weighted average discount rate used in determining accumulated postretirement benefit</w:t>
            </w: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24"/>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 liability</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Weighted average discount rate used in determining net periodic benefit cost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4.50%</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4.50%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used to measure APBO at July 31</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Rate to which cost trend rate is assumed to decline (the ultimate trend rate)</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5.50%</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5.50%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Fiscal year the ultimate trend rate is reached</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2016</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2017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2016</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discount rate utilized in preparing the accumulated postretirement benefit obligation liability was reduced from 4.50% in fiscal 2011 to 3.25% in fiscal 2012 as a result of a decline in the bond yield as of the Company’s measurement date of July 31,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one-percentage point change in assumed health care cost trend rates would have the following effects on the Plan:</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4"/>
                <w:szCs w:val="14"/>
                <w:b w:val="1"/>
                <w:bCs w:val="1"/>
                <w:color w:val="auto"/>
                <w:w w:val="83"/>
              </w:rPr>
              <w:t>One-Percentage</w:t>
            </w:r>
          </w:p>
        </w:tc>
        <w:tc>
          <w:tcPr>
            <w:tcW w:w="2080" w:type="dxa"/>
            <w:vAlign w:val="bottom"/>
            <w:gridSpan w:val="4"/>
          </w:tcPr>
          <w:p>
            <w:pPr>
              <w:ind w:left="1040"/>
              <w:spacing w:after="0"/>
              <w:rPr>
                <w:sz w:val="20"/>
                <w:szCs w:val="20"/>
                <w:color w:val="auto"/>
              </w:rPr>
            </w:pPr>
            <w:r>
              <w:rPr>
                <w:rFonts w:ascii="Arial" w:cs="Arial" w:eastAsia="Arial" w:hAnsi="Arial"/>
                <w:sz w:val="14"/>
                <w:szCs w:val="14"/>
                <w:b w:val="1"/>
                <w:bCs w:val="1"/>
                <w:color w:val="auto"/>
                <w:w w:val="94"/>
              </w:rPr>
              <w:t>One-Percentage</w:t>
            </w:r>
          </w:p>
        </w:tc>
      </w:tr>
      <w:tr>
        <w:trPr>
          <w:trHeight w:val="161"/>
        </w:trPr>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Point Increase</w:t>
            </w:r>
          </w:p>
        </w:tc>
        <w:tc>
          <w:tcPr>
            <w:tcW w:w="10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Point Decrease</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Effect on future service and interest cost</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08"/>
        </w:trPr>
        <w:tc>
          <w:tcPr>
            <w:tcW w:w="5200" w:type="dxa"/>
            <w:vAlign w:val="bottom"/>
          </w:tcPr>
          <w:p>
            <w:pPr>
              <w:spacing w:after="0"/>
              <w:rPr>
                <w:sz w:val="20"/>
                <w:szCs w:val="20"/>
                <w:color w:val="auto"/>
              </w:rPr>
            </w:pPr>
            <w:r>
              <w:rPr>
                <w:rFonts w:ascii="Arial" w:cs="Arial" w:eastAsia="Arial" w:hAnsi="Arial"/>
                <w:sz w:val="18"/>
                <w:szCs w:val="18"/>
                <w:color w:val="auto"/>
                <w:w w:val="98"/>
              </w:rPr>
              <w:t>Effect on accumulated postretirement benefit obligation at July 31,</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200" w:type="dxa"/>
            <w:vAlign w:val="bottom"/>
          </w:tcPr>
          <w:p>
            <w:pPr>
              <w:jc w:val="right"/>
              <w:ind w:right="4552"/>
              <w:spacing w:after="0"/>
              <w:rPr>
                <w:sz w:val="20"/>
                <w:szCs w:val="20"/>
                <w:color w:val="auto"/>
              </w:rPr>
            </w:pPr>
            <w:r>
              <w:rPr>
                <w:rFonts w:ascii="Arial" w:cs="Arial" w:eastAsia="Arial" w:hAnsi="Arial"/>
                <w:sz w:val="18"/>
                <w:szCs w:val="18"/>
                <w:color w:val="auto"/>
              </w:rPr>
              <w:t>2012</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benefit payments, which reflect expected future service, as appropriate, are expected to be paid during the years ending July 31:</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716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2014</w:t>
            </w:r>
          </w:p>
        </w:tc>
        <w:tc>
          <w:tcPr>
            <w:tcW w:w="3520" w:type="dxa"/>
            <w:vAlign w:val="bottom"/>
          </w:tcPr>
          <w:p>
            <w:pPr>
              <w:jc w:val="right"/>
              <w:ind w:right="12"/>
              <w:spacing w:after="0"/>
              <w:rPr>
                <w:sz w:val="20"/>
                <w:szCs w:val="20"/>
                <w:color w:val="auto"/>
              </w:rPr>
            </w:pPr>
            <w:r>
              <w:rPr>
                <w:rFonts w:ascii="Arial" w:cs="Arial" w:eastAsia="Arial" w:hAnsi="Arial"/>
                <w:sz w:val="18"/>
                <w:szCs w:val="18"/>
                <w:color w:val="auto"/>
              </w:rPr>
              <w:t>760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2016</w:t>
            </w:r>
          </w:p>
        </w:tc>
        <w:tc>
          <w:tcPr>
            <w:tcW w:w="3520" w:type="dxa"/>
            <w:vAlign w:val="bottom"/>
          </w:tcPr>
          <w:p>
            <w:pPr>
              <w:jc w:val="right"/>
              <w:ind w:right="12"/>
              <w:spacing w:after="0"/>
              <w:rPr>
                <w:sz w:val="20"/>
                <w:szCs w:val="20"/>
                <w:color w:val="auto"/>
              </w:rPr>
            </w:pPr>
            <w:r>
              <w:rPr>
                <w:rFonts w:ascii="Arial" w:cs="Arial" w:eastAsia="Arial" w:hAnsi="Arial"/>
                <w:sz w:val="18"/>
                <w:szCs w:val="18"/>
                <w:color w:val="auto"/>
              </w:rPr>
              <w:t>878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2018 through 2021</w:t>
            </w:r>
          </w:p>
        </w:tc>
        <w:tc>
          <w:tcPr>
            <w:tcW w:w="3520" w:type="dxa"/>
            <w:vAlign w:val="bottom"/>
          </w:tcPr>
          <w:p>
            <w:pPr>
              <w:jc w:val="right"/>
              <w:ind w:right="12"/>
              <w:spacing w:after="0"/>
              <w:rPr>
                <w:sz w:val="20"/>
                <w:szCs w:val="20"/>
                <w:color w:val="auto"/>
              </w:rPr>
            </w:pPr>
            <w:r>
              <w:rPr>
                <w:rFonts w:ascii="Arial" w:cs="Arial" w:eastAsia="Arial" w:hAnsi="Arial"/>
                <w:sz w:val="18"/>
                <w:szCs w:val="18"/>
                <w:color w:val="auto"/>
              </w:rPr>
              <w:t>6,593</w:t>
            </w:r>
          </w:p>
        </w:tc>
      </w:tr>
    </w:tbl>
    <w:p>
      <w:pPr>
        <w:spacing w:after="0" w:line="14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sponsors defined benefit pension plans that provide an income benefit upon termination or retirement for certain of its international employees. As of July 31, 2012 and 2011, the accumulated pension obligation related to these plans was $4,021 and $2,612, respectively. As of July 31, 2012 and 2011, pre-tax amounts recognized in accumulated other comprehensive income in the accompanying balance sheets were ($828) and $525, respectively. The net periodic benefit cost for these plans was $299, $301, and $265 as of July 31, 2012, 2011, and 2010.</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2012 and 2011, $4,371 and $4,752, respectively, of accrued retirement and profit-sharing contributions were included in other current liabilities and other long-term liabilities on the accompanying consolidated balance sheets.</w:t>
      </w:r>
    </w:p>
    <w:p>
      <w:pPr>
        <w:spacing w:after="0" w:line="11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2012 and 2011, $13,738 and $12,299, respectively, of deferred compensation was included in other long-term liabilities in the accompanying consolidated balance sheets.</w:t>
      </w:r>
    </w:p>
    <w:p>
      <w:pPr>
        <w:spacing w:after="0" w:line="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amounts charged to expense for the retirement and profit sharing described above were $14,458, $14,911, and $12,547 during the years ended July 31, 2012, 2011, and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income taxes consists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87"/>
              </w:rPr>
              <w:t>Years Ended July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60" w:type="dxa"/>
            <w:vAlign w:val="bottom"/>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8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$ 42,597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$ 29,913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Nations</w:t>
            </w:r>
          </w:p>
        </w:tc>
        <w:tc>
          <w:tcPr>
            <w:tcW w:w="284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(19,847)</w:t>
            </w:r>
          </w:p>
        </w:tc>
        <w:tc>
          <w:tcPr>
            <w:tcW w:w="10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114,145</w:t>
            </w:r>
          </w:p>
        </w:tc>
        <w:tc>
          <w:tcPr>
            <w:tcW w:w="3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104,979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$ 22,750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144,058</w:t>
            </w:r>
          </w:p>
        </w:tc>
        <w:tc>
          <w:tcPr>
            <w:tcW w:w="3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109,402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Income taxes consist of the following:</w:t>
            </w: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200" w:type="dxa"/>
            <w:vAlign w:val="bottom"/>
            <w:gridSpan w:val="2"/>
            <w:vMerge w:val="continue"/>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8"/>
              </w:rPr>
              <w:t>Years Ended July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080" w:type="dxa"/>
            <w:vAlign w:val="bottom"/>
            <w:gridSpan w:val="2"/>
          </w:tcPr>
          <w:p>
            <w:pPr>
              <w:spacing w:after="0"/>
              <w:rPr>
                <w:sz w:val="12"/>
                <w:szCs w:val="12"/>
                <w:color w:val="auto"/>
              </w:rPr>
            </w:pPr>
          </w:p>
        </w:tc>
        <w:tc>
          <w:tcPr>
            <w:tcW w:w="5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w:t>
            </w:r>
          </w:p>
        </w:tc>
        <w:tc>
          <w:tcPr>
            <w:tcW w:w="28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3760" w:type="dxa"/>
            <w:vAlign w:val="bottom"/>
            <w:gridSpan w:val="5"/>
          </w:tcPr>
          <w:p>
            <w:pPr>
              <w:jc w:val="right"/>
              <w:ind w:right="32"/>
              <w:spacing w:after="0"/>
              <w:rPr>
                <w:sz w:val="20"/>
                <w:szCs w:val="20"/>
                <w:color w:val="auto"/>
              </w:rPr>
            </w:pPr>
            <w:r>
              <w:rPr>
                <w:rFonts w:ascii="Arial" w:cs="Arial" w:eastAsia="Arial" w:hAnsi="Arial"/>
                <w:sz w:val="18"/>
                <w:szCs w:val="18"/>
                <w:color w:val="auto"/>
              </w:rPr>
              <w:t>$ 8,781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$ 5,784</w:t>
            </w:r>
          </w:p>
        </w:tc>
        <w:tc>
          <w:tcPr>
            <w:tcW w:w="3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Nations</w:t>
            </w:r>
          </w:p>
        </w:tc>
        <w:tc>
          <w:tcPr>
            <w:tcW w:w="376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39,272</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37,384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States (U.S.)</w:t>
            </w:r>
          </w:p>
        </w:tc>
        <w:tc>
          <w:tcPr>
            <w:tcW w:w="308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376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50,340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43,567</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34,280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2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(5,161)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Other Nations</w:t>
            </w:r>
          </w:p>
        </w:tc>
        <w:tc>
          <w:tcPr>
            <w:tcW w:w="3760" w:type="dxa"/>
            <w:vAlign w:val="bottom"/>
            <w:gridSpan w:val="5"/>
          </w:tcPr>
          <w:p>
            <w:pPr>
              <w:jc w:val="right"/>
              <w:spacing w:after="0"/>
              <w:rPr>
                <w:sz w:val="20"/>
                <w:szCs w:val="20"/>
                <w:color w:val="auto"/>
              </w:rPr>
            </w:pPr>
            <w:r>
              <w:rPr>
                <w:rFonts w:ascii="Arial" w:cs="Arial" w:eastAsia="Arial" w:hAnsi="Arial"/>
                <w:sz w:val="18"/>
                <w:szCs w:val="18"/>
                <w:color w:val="auto"/>
              </w:rPr>
              <w:t>(7,325)</w:t>
            </w:r>
          </w:p>
        </w:tc>
        <w:tc>
          <w:tcPr>
            <w:tcW w:w="1280" w:type="dxa"/>
            <w:vAlign w:val="bottom"/>
            <w:gridSpan w:val="5"/>
          </w:tcPr>
          <w:p>
            <w:pPr>
              <w:jc w:val="right"/>
              <w:ind w:right="280"/>
              <w:spacing w:after="0"/>
              <w:rPr>
                <w:sz w:val="20"/>
                <w:szCs w:val="20"/>
                <w:color w:val="auto"/>
              </w:rPr>
            </w:pPr>
            <w:r>
              <w:rPr>
                <w:rFonts w:ascii="Arial" w:cs="Arial" w:eastAsia="Arial" w:hAnsi="Arial"/>
                <w:sz w:val="18"/>
                <w:szCs w:val="18"/>
                <w:color w:val="auto"/>
              </w:rPr>
              <w:t>(3,746)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States (U.S.)</w:t>
            </w:r>
          </w:p>
        </w:tc>
        <w:tc>
          <w:tcPr>
            <w:tcW w:w="308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080" w:type="dxa"/>
            <w:vAlign w:val="bottom"/>
            <w:gridSpan w:val="2"/>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(9,679)</w:t>
            </w:r>
          </w:p>
        </w:tc>
        <w:tc>
          <w:tcPr>
            <w:tcW w:w="1280" w:type="dxa"/>
            <w:vAlign w:val="bottom"/>
            <w:gridSpan w:val="5"/>
          </w:tcPr>
          <w:p>
            <w:pPr>
              <w:jc w:val="right"/>
              <w:ind w:right="280"/>
              <w:spacing w:after="0"/>
              <w:rPr>
                <w:sz w:val="20"/>
                <w:szCs w:val="20"/>
                <w:color w:val="auto"/>
              </w:rPr>
            </w:pPr>
            <w:r>
              <w:rPr>
                <w:rFonts w:ascii="Arial" w:cs="Arial" w:eastAsia="Arial" w:hAnsi="Arial"/>
                <w:sz w:val="18"/>
                <w:szCs w:val="18"/>
                <w:color w:val="auto"/>
              </w:rPr>
              <w:t>(8,161)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(6,834)</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40,661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35,406</w:t>
            </w:r>
          </w:p>
        </w:tc>
        <w:tc>
          <w:tcPr>
            <w:tcW w:w="3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27,446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vMerge w:val="restart"/>
          </w:tcPr>
          <w:p>
            <w:pPr>
              <w:jc w:val="right"/>
              <w:ind w:right="1612"/>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7"/>
              </w:rPr>
              <w:t>July 31, 2012</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7"/>
              </w:rPr>
              <w:t>Assets</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Liabilities</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Prepaid catalog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(39,561)</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(37,676)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27,122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68,148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68,148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(25,847)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(25,847)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(6,990)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83,086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(52,410)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30,676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99,700</w:t>
            </w:r>
          </w:p>
        </w:tc>
        <w:tc>
          <w:tcPr>
            <w:tcW w:w="260" w:type="dxa"/>
            <w:vAlign w:val="bottom"/>
          </w:tcPr>
          <w:p>
            <w:pPr>
              <w:spacing w:after="0"/>
              <w:rPr>
                <w:sz w:val="19"/>
                <w:szCs w:val="19"/>
                <w:color w:val="auto"/>
              </w:rPr>
            </w:pPr>
          </w:p>
        </w:tc>
        <w:tc>
          <w:tcPr>
            <w:tcW w:w="1460" w:type="dxa"/>
            <w:vAlign w:val="bottom"/>
            <w:gridSpan w:val="4"/>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(59,170)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40,530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7"/>
              </w:rPr>
              <w:t>July 31, 2011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2"/>
                <w:szCs w:val="12"/>
                <w:color w:val="auto"/>
              </w:rPr>
            </w:pPr>
          </w:p>
        </w:tc>
        <w:tc>
          <w:tcPr>
            <w:tcW w:w="1180" w:type="dxa"/>
            <w:vAlign w:val="bottom"/>
            <w:gridSpan w:val="3"/>
          </w:tcPr>
          <w:p>
            <w:pPr>
              <w:jc w:val="center"/>
              <w:ind w:right="520"/>
              <w:spacing w:after="0" w:line="142" w:lineRule="exact"/>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Prepaid catalog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11,133</w:t>
            </w:r>
          </w:p>
        </w:tc>
        <w:tc>
          <w:tcPr>
            <w:tcW w:w="0" w:type="dxa"/>
            <w:vAlign w:val="bottom"/>
          </w:tcPr>
          <w:p>
            <w:pPr>
              <w:spacing w:after="0"/>
              <w:rPr>
                <w:sz w:val="1"/>
                <w:szCs w:val="1"/>
                <w:color w:val="auto"/>
              </w:rPr>
            </w:pPr>
          </w:p>
        </w:tc>
      </w:tr>
      <w:tr>
        <w:trPr>
          <w:trHeight w:val="28"/>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(33,798)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(31,834)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23,654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23,654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62,638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62,638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(27,476)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(27,476)</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74,993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(41,470)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33,523</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91,639</w:t>
            </w:r>
          </w:p>
        </w:tc>
        <w:tc>
          <w:tcPr>
            <w:tcW w:w="260" w:type="dxa"/>
            <w:vAlign w:val="bottom"/>
          </w:tcPr>
          <w:p>
            <w:pPr>
              <w:spacing w:after="0"/>
              <w:rPr>
                <w:sz w:val="19"/>
                <w:szCs w:val="19"/>
                <w:color w:val="auto"/>
              </w:rPr>
            </w:pPr>
          </w:p>
        </w:tc>
        <w:tc>
          <w:tcPr>
            <w:tcW w:w="1460" w:type="dxa"/>
            <w:vAlign w:val="bottom"/>
            <w:gridSpan w:val="4"/>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(46,983)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44,656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Tax loss carry-forwards at July 31, 2012 are comprised of:</w:t>
      </w:r>
    </w:p>
    <w:p>
      <w:pPr>
        <w:spacing w:after="0" w:line="90" w:lineRule="exact"/>
        <w:rPr>
          <w:sz w:val="20"/>
          <w:szCs w:val="20"/>
          <w:color w:val="auto"/>
        </w:rPr>
      </w:pPr>
    </w:p>
    <w:p>
      <w:pPr>
        <w:ind w:left="900" w:hanging="446"/>
        <w:spacing w:after="0" w:line="268"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Foreign net operating loss carry-forwards of $101,904, of which $87,996 have no expiration date and the remainder of which expire within the next 5-8 years.</w:t>
      </w:r>
    </w:p>
    <w:p>
      <w:pPr>
        <w:spacing w:after="0" w:line="50" w:lineRule="exact"/>
        <w:rPr>
          <w:rFonts w:ascii="Arial" w:cs="Arial" w:eastAsia="Arial" w:hAnsi="Arial"/>
          <w:sz w:val="18"/>
          <w:szCs w:val="18"/>
          <w:b w:val="1"/>
          <w:bCs w:val="1"/>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State net operating loss carry-forwards of $46,504, which expire from 2014 to 2032.</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Foreign tax credit carry-forwards of $31,079, which expire from 2018 to 2022.</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State research and development credit carry-forwards of $3,457, which expire from 2018 to 2027.</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valuation allowance decreased by $1,629 during the fiscal year ended July 31, 2012 and decreased by $34 during the fiscal year ended July 31, 2011. If realized or reversed in future periods, substantially all of the valuation allowance would impact the income tax 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reconciliation of the tax computed by applying the statutory U.S. federal income tax rate to income before income taxes to the total income tax expense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Years Ended July 31,</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8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Tax at statutory rate</w:t>
            </w:r>
          </w:p>
        </w:tc>
        <w:tc>
          <w:tcPr>
            <w:tcW w:w="1100" w:type="dxa"/>
            <w:vAlign w:val="bottom"/>
            <w:gridSpan w:val="2"/>
            <w:shd w:val="clear" w:color="auto" w:fill="CCEEFF"/>
          </w:tcPr>
          <w:p>
            <w:pPr>
              <w:jc w:val="right"/>
              <w:ind w:right="432"/>
              <w:spacing w:after="0" w:line="188" w:lineRule="exact"/>
              <w:rPr>
                <w:sz w:val="20"/>
                <w:szCs w:val="20"/>
                <w:color w:val="auto"/>
              </w:rPr>
            </w:pPr>
            <w:r>
              <w:rPr>
                <w:rFonts w:ascii="Arial" w:cs="Arial" w:eastAsia="Arial" w:hAnsi="Arial"/>
                <w:sz w:val="18"/>
                <w:szCs w:val="18"/>
                <w:color w:val="auto"/>
              </w:rPr>
              <w:t>35.0%</w:t>
            </w:r>
          </w:p>
        </w:tc>
        <w:tc>
          <w:tcPr>
            <w:tcW w:w="1020" w:type="dxa"/>
            <w:vAlign w:val="bottom"/>
            <w:gridSpan w:val="2"/>
            <w:shd w:val="clear" w:color="auto" w:fill="CCEEFF"/>
          </w:tcPr>
          <w:p>
            <w:pPr>
              <w:jc w:val="right"/>
              <w:ind w:right="500"/>
              <w:spacing w:after="0" w:line="188" w:lineRule="exact"/>
              <w:rPr>
                <w:sz w:val="20"/>
                <w:szCs w:val="20"/>
                <w:color w:val="auto"/>
              </w:rPr>
            </w:pPr>
            <w:r>
              <w:rPr>
                <w:rFonts w:ascii="Arial" w:cs="Arial" w:eastAsia="Arial" w:hAnsi="Arial"/>
                <w:sz w:val="18"/>
                <w:szCs w:val="18"/>
                <w:color w:val="auto"/>
                <w:w w:val="97"/>
              </w:rPr>
              <w:t>35.0%</w:t>
            </w:r>
          </w:p>
        </w:tc>
        <w:tc>
          <w:tcPr>
            <w:tcW w:w="6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51"/>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4"/>
              </w:rPr>
              <w:t>178.0%</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0.7%</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rate differential</w:t>
            </w: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(43.3)%</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Non-creditable withholding taxes</w:t>
            </w: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14.3%</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Rate variances arising from foreign subsidiary distributions</w:t>
            </w: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(39.9)%</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Adjustments to tax accruals and reserves</w:t>
            </w: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rPr>
              <w:t>58.5%</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and section 199 manufacturer’s deduction</w:t>
            </w:r>
          </w:p>
        </w:tc>
        <w:tc>
          <w:tcPr>
            <w:tcW w:w="11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Foreign tax credit carryforward adjustments</w:t>
            </w:r>
          </w:p>
        </w:tc>
        <w:tc>
          <w:tcPr>
            <w:tcW w:w="1100" w:type="dxa"/>
            <w:vAlign w:val="bottom"/>
            <w:gridSpan w:val="2"/>
          </w:tcPr>
          <w:p>
            <w:pPr>
              <w:jc w:val="right"/>
              <w:ind w:right="372"/>
              <w:spacing w:after="0"/>
              <w:rPr>
                <w:sz w:val="20"/>
                <w:szCs w:val="20"/>
                <w:color w:val="auto"/>
              </w:rPr>
            </w:pPr>
            <w:r>
              <w:rPr>
                <w:rFonts w:ascii="Arial" w:cs="Arial" w:eastAsia="Arial" w:hAnsi="Arial"/>
                <w:sz w:val="18"/>
                <w:szCs w:val="18"/>
                <w:color w:val="auto"/>
              </w:rPr>
              <w:t>(21.1)%</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1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100" w:type="dxa"/>
            <w:vAlign w:val="bottom"/>
            <w:gridSpan w:val="2"/>
          </w:tcPr>
          <w:p>
            <w:pPr>
              <w:jc w:val="right"/>
              <w:ind w:right="432"/>
              <w:spacing w:after="0"/>
              <w:rPr>
                <w:sz w:val="20"/>
                <w:szCs w:val="20"/>
                <w:color w:val="auto"/>
              </w:rPr>
            </w:pPr>
            <w:r>
              <w:rPr>
                <w:rFonts w:ascii="Arial" w:cs="Arial" w:eastAsia="Arial" w:hAnsi="Arial"/>
                <w:sz w:val="18"/>
                <w:szCs w:val="18"/>
                <w:color w:val="auto"/>
                <w:w w:val="94"/>
              </w:rPr>
              <w:t>178.7%</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24.6%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is eligible for tax holidays on the earnings of certain subsidiaries in Asia, including Thailand and the Philippines. The benefits realized as a result of these tax holidays reduced the consolidated effective tax rate by approximately 0.8%, 1.5%, and 2.3% during the years ended July 31, 2012, 2011, and 2010, respectively. These tax holidays are in the process of expiring and are anticipated to be fully exhausted by 2020.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August 1, 2007, the Company adopted guidance regarding uncertain tax positions. The guidance requires application of a “more likely than not” threshold to the recognition and derecognition of tax positions.</w:t>
      </w:r>
    </w:p>
    <w:p>
      <w:pPr>
        <w:sectPr>
          <w:pgSz w:w="11900" w:h="16838" w:orient="portrait"/>
          <w:cols w:equalWidth="0" w:num="1">
            <w:col w:w="11420"/>
          </w:cols>
          <w:pgMar w:left="240" w:top="459" w:right="239" w:bottom="1440" w:gutter="0" w:footer="0" w:header="0"/>
        </w:sectPr>
      </w:pP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unrecognized tax benefits (excluding interest and penalties) is as follows:</w:t>
      </w: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July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Reductions for tax positions of prior years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Settlements with tax authorities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July 31, 2010</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Lapse of statute of limitations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Cumulative Translation Adjustments and other</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July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Reductions for tax positions of prior years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Settlements with tax authorities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July 31, 2012</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$ 19,462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3943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1,989</w:t>
      </w:r>
    </w:p>
    <w:p>
      <w:pPr>
        <w:spacing w:after="0" w:line="15"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3,934</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(6,672)</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(1,054)</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943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4" w:lineRule="exact"/>
        <w:rPr>
          <w:sz w:val="20"/>
          <w:szCs w:val="20"/>
          <w:color w:val="auto"/>
        </w:rPr>
      </w:pPr>
    </w:p>
    <w:p>
      <w:pPr>
        <w:jc w:val="right"/>
        <w:ind w:right="1940"/>
        <w:spacing w:after="0"/>
        <w:rPr>
          <w:sz w:val="20"/>
          <w:szCs w:val="20"/>
          <w:color w:val="auto"/>
        </w:rPr>
      </w:pPr>
      <w:r>
        <w:rPr>
          <w:rFonts w:ascii="Arial" w:cs="Arial" w:eastAsia="Arial" w:hAnsi="Arial"/>
          <w:sz w:val="15"/>
          <w:szCs w:val="15"/>
          <w:b w:val="1"/>
          <w:bCs w:val="1"/>
          <w:u w:val="single" w:color="auto"/>
          <w:color w:val="auto"/>
        </w:rPr>
        <w:t>$ 17,668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394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84"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5,147</w:t>
      </w:r>
    </w:p>
    <w:p>
      <w:pPr>
        <w:spacing w:after="0" w:line="15"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2,387</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(291)</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(2,803)</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(728)</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943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4" w:lineRule="exact"/>
        <w:rPr>
          <w:sz w:val="20"/>
          <w:szCs w:val="20"/>
          <w:color w:val="auto"/>
        </w:rPr>
      </w:pPr>
    </w:p>
    <w:p>
      <w:pPr>
        <w:jc w:val="right"/>
        <w:ind w:right="1940"/>
        <w:spacing w:after="0"/>
        <w:rPr>
          <w:sz w:val="20"/>
          <w:szCs w:val="20"/>
          <w:color w:val="auto"/>
        </w:rPr>
      </w:pPr>
      <w:r>
        <w:rPr>
          <w:rFonts w:ascii="Arial" w:cs="Arial" w:eastAsia="Arial" w:hAnsi="Arial"/>
          <w:sz w:val="15"/>
          <w:szCs w:val="15"/>
          <w:b w:val="1"/>
          <w:bCs w:val="1"/>
          <w:u w:val="single" w:color="auto"/>
          <w:color w:val="auto"/>
        </w:rPr>
        <w:t>$ 22,343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3943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6,983</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9,460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(949)</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943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$ 36,532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3943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ectPr>
          <w:pgSz w:w="11900" w:h="16838" w:orient="portrait"/>
          <w:cols w:equalWidth="0" w:num="2">
            <w:col w:w="8140" w:space="720"/>
            <w:col w:w="256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Approximately $31,070 of unrecognized tax benefits, if recognized, would affect the Company’s effective income tax rate. The Company has classified $29,765 and $22,343, excluding interest and penalties, of the reserve for uncertain tax positions in Other Liabilities on the Consolidated Balance Sheet as of July 31, 2012 and 2011, respectively. The Company has classified $6,768, excluding interest and penalties, as a reduction of long-term deferred income tax assets on the Consolidated Balance Sheet as of July 31, 2012.</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within the provision for income taxes on the consolidated statements of income.</w:t>
      </w:r>
    </w:p>
    <w:p>
      <w:pPr>
        <w:spacing w:after="0" w:line="13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During the years ended July 31, 2012, 2011, and 2010, the Company recognized a $539 increase in interest expense, a $990 reduction in interest expense, and a $33 increase in interest expense, as well as $855, $500 and $780 of penalties, respectively, related to the reserve for uncertain tax positions. These amounts are net of reversals due to reductions for tax positions of prior years, statute of limitations, and settlements. At July 31, 2012 and 2011, the Company had $1,986 and $1,507, respectively, accrued for interest on unrecognized tax benefits. Penalties are accrued if the tax position does not meet the minimum statutory threshold to avoid the payment of a penalty. At July 31, 2012 and 2011, the Company had $2,840 and $2,229, respectively, accrued for penalties on unrecognized tax benefits.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estimates that it is reasonably possible that the unrecognized tax benefits may be reduced by $13,563 within twelve months as a result of the resolution of worldwide tax matters, tax audit settlements, amended tax filings, and/or statute expirations. The maximum amount that would be recognized through the consolidated statements of income as expense is $5,686, and the remainder would result in a balance sheet reclassification.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July 31, 2012, the Company recognized tax benefits associated with the lapse of statutes of limitations.</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Jurisdiction</w:t>
            </w:r>
          </w:p>
        </w:tc>
        <w:tc>
          <w:tcPr>
            <w:tcW w:w="3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8"/>
              </w:rPr>
              <w:t>Open Tax Years</w:t>
            </w: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 — Federal</w:t>
            </w:r>
          </w:p>
        </w:tc>
        <w:tc>
          <w:tcPr>
            <w:tcW w:w="2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91"/>
              </w:rPr>
              <w:t>F’09 — F’12</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France</w:t>
            </w:r>
          </w:p>
        </w:tc>
        <w:tc>
          <w:tcPr>
            <w:tcW w:w="3540" w:type="dxa"/>
            <w:vAlign w:val="bottom"/>
            <w:gridSpan w:val="2"/>
          </w:tcPr>
          <w:p>
            <w:pPr>
              <w:jc w:val="right"/>
              <w:ind w:right="622"/>
              <w:spacing w:after="0"/>
              <w:rPr>
                <w:sz w:val="20"/>
                <w:szCs w:val="20"/>
                <w:color w:val="auto"/>
              </w:rPr>
            </w:pPr>
            <w:r>
              <w:rPr>
                <w:rFonts w:ascii="Arial" w:cs="Arial" w:eastAsia="Arial" w:hAnsi="Arial"/>
                <w:sz w:val="18"/>
                <w:szCs w:val="18"/>
                <w:color w:val="auto"/>
              </w:rPr>
              <w:t>F’12</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35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F’06 — F’12</w:t>
            </w: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3540" w:type="dxa"/>
            <w:vAlign w:val="bottom"/>
            <w:gridSpan w:val="2"/>
          </w:tcPr>
          <w:p>
            <w:pPr>
              <w:jc w:val="right"/>
              <w:ind w:right="22"/>
              <w:spacing w:after="0"/>
              <w:rPr>
                <w:sz w:val="20"/>
                <w:szCs w:val="20"/>
                <w:color w:val="auto"/>
              </w:rPr>
            </w:pPr>
            <w:r>
              <w:rPr>
                <w:rFonts w:ascii="Arial" w:cs="Arial" w:eastAsia="Arial" w:hAnsi="Arial"/>
                <w:sz w:val="18"/>
                <w:szCs w:val="18"/>
                <w:color w:val="auto"/>
              </w:rPr>
              <w:t>F’09 — F’12</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These earnings relate to ongoing operations and at July 31, 2012, were approximately $467,066. These earnings have been reinvested in non-U.S. business operations, and the Company does not intend to repatriate these earnings to fund U.S. operations. It is not practicable to determine the income tax liability that would be payable if such earnings were not indefinitely reinvested.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Obligations</w:t>
      </w:r>
    </w:p>
    <w:p>
      <w:pPr>
        <w:spacing w:after="0" w:line="9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w:t>
      </w:r>
    </w:p>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$61.3 million, $61.3 million, and $44.9 million during the years ended July 31, 2012, 2011, and 2010,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February 1, 2012, the Company and certain of its subsidiaries entered into an unsecured $300 million multi-currency revolving loan agreement with a group of six banks that replaced and terminated the Company’s previous credit agreement. Under the new credit agreement, which has a final maturity date of February 1, 2017, the Company has the option to select either a base interest rate (based upon the higher of the federal funds rate plus one-half of 1% or the prime rate of Bank of America plus a margin based on the Company’s consolidated leverage ratio) or a Eurocurrency interest rate (at the LIBOR rate plus a margin based on the Company’s consolidated leverage ratio). At the Company’s option, and subject to certain conditions, the available amount under the new credit facility may be increased from $300 million up to $450 million. As of July 31, 2012, there were no outstanding borrowings under the credit facility.</w:t>
      </w:r>
    </w:p>
    <w:p>
      <w:pPr>
        <w:spacing w:after="0" w:line="12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July 31, 2012, the Company was in compliance with the financial covenant of the June 2004, February 2006, March 2007, and May 2010 private placement debt agreements, with the ratio of debt to EBITDA, as defined by the agreements, equal to 1.5 to 1.0. Additionally, the Company’s February 2012 revolving loan agreement requires the Company to maintain a ratio of debt to trailing twelve months EBITDA, as defined by the debt agreement, of not more than a 3.25 to 1.0 ratio. The revolving loan agreement requires the Company’s trailing twelve months EBITDA to interest expense of not less than a 3.0 to 1.0 ratio (interest expense coverage). As of July 31, 2012, the Company was in compliance with the financial covenants of the revolving loan agreement, with the ratio of debt to EBITDA, as defined by the agreement, equal to 1.5 to 1.0 and the interest expense coverage ratio equal to 11.4 to 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obligations consist of the following as of July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Euro-denominated notes payable in 2017 at a fixed rate of 3.71%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Euro-denominated notes payable in 2020 at a fixed rate of 4.24%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USD-denominated notes payable through 2014 at a fixed rate of 5.14%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USD-denominated notes payable through 2016 at a fixed rate of 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104,571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130,714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USD-denominated notes payable through 2017 at a fixed rate of 5.33%</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316,208</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393,178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(61,264)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254,944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331,914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estimated fair value of the Company’s long-term obligations was $338,668 and $416,694 at July 31, 2012 and July 31, 2011, respectively, as compared to the carrying value of $316,208 and $393,178 at July 31, 2012 and July 31, 2011, respectively. The fair value of the long-term obligations, which were determined using the market approach based upon the interest rates available to the Company for borrowings with similar terms and maturities, were determined to be Level 2 under the fair value hierarchy.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on long-term debt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July 31,</w:t>
            </w: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2014</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2016</w:t>
            </w: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Thereafter</w:t>
            </w:r>
          </w:p>
        </w:tc>
        <w:tc>
          <w:tcPr>
            <w:tcW w:w="5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316,208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outstanding letters of credit of $3,762 and $1,466 at July 31, 2012 and 2011,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Investment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Company’s capital stock at July 31, 2012 and 2011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July 31, 2012</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9"/>
              </w:rPr>
              <w:t>July 31, 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60" w:type="dxa"/>
            <w:vAlign w:val="bottom"/>
          </w:tcPr>
          <w:p>
            <w:pPr>
              <w:spacing w:after="0"/>
              <w:rPr>
                <w:sz w:val="11"/>
                <w:szCs w:val="11"/>
                <w:color w:val="auto"/>
              </w:rPr>
            </w:pPr>
          </w:p>
        </w:tc>
        <w:tc>
          <w:tcPr>
            <w:tcW w:w="9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1"/>
                <w:szCs w:val="11"/>
                <w:color w:val="auto"/>
              </w:rPr>
            </w:pPr>
          </w:p>
        </w:tc>
        <w:tc>
          <w:tcPr>
            <w:tcW w:w="116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(thousands)</w:t>
            </w:r>
          </w:p>
        </w:tc>
        <w:tc>
          <w:tcPr>
            <w:tcW w:w="320" w:type="dxa"/>
            <w:vAlign w:val="bottom"/>
          </w:tcPr>
          <w:p>
            <w:pPr>
              <w:spacing w:after="0"/>
              <w:rPr>
                <w:sz w:val="11"/>
                <w:szCs w:val="11"/>
                <w:color w:val="auto"/>
              </w:rPr>
            </w:pPr>
          </w:p>
        </w:tc>
        <w:tc>
          <w:tcPr>
            <w:tcW w:w="10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1"/>
                <w:szCs w:val="11"/>
                <w:color w:val="auto"/>
              </w:rPr>
            </w:pPr>
          </w:p>
        </w:tc>
        <w:tc>
          <w:tcPr>
            <w:tcW w:w="84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1"/>
                <w:szCs w:val="11"/>
                <w:color w:val="auto"/>
              </w:rPr>
            </w:pPr>
          </w:p>
        </w:tc>
      </w:tr>
      <w:tr>
        <w:trPr>
          <w:trHeight w:val="161"/>
        </w:trPr>
        <w:tc>
          <w:tcPr>
            <w:tcW w:w="486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4"/>
                <w:szCs w:val="14"/>
                <w:b w:val="1"/>
                <w:bCs w:val="1"/>
                <w:color w:val="auto"/>
              </w:rPr>
              <w:t>Authorized</w:t>
            </w:r>
          </w:p>
        </w:tc>
        <w:tc>
          <w:tcPr>
            <w:tcW w:w="30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Authorized</w:t>
            </w:r>
          </w:p>
        </w:tc>
        <w:tc>
          <w:tcPr>
            <w:tcW w:w="20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Issued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Preferred Stock, $.01 par value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Cumulative Preferred Stock: 6% Cumulative</w:t>
            </w: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1972 Series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1979 Series</w:t>
            </w: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 Class A Nonvoting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51,261,487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100,000,000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51,261,487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Class B Voting</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3,538,628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10,000,000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3,538,628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other activity in stockholders’ investment for the years ended July 31, 2012, 2011, and 2010:</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jc w:val="center"/>
              <w:ind w:right="198"/>
              <w:spacing w:after="0"/>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Shares Held</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80" w:type="dxa"/>
            <w:vAlign w:val="bottom"/>
            <w:gridSpan w:val="2"/>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Restricted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2"/>
                <w:szCs w:val="12"/>
                <w:color w:val="auto"/>
              </w:rPr>
            </w:pPr>
          </w:p>
        </w:tc>
        <w:tc>
          <w:tcPr>
            <w:tcW w:w="940" w:type="dxa"/>
            <w:vAlign w:val="bottom"/>
            <w:gridSpan w:val="2"/>
          </w:tcPr>
          <w:p>
            <w:pPr>
              <w:jc w:val="right"/>
              <w:ind w:right="338"/>
              <w:spacing w:after="0" w:line="149" w:lineRule="exact"/>
              <w:rPr>
                <w:sz w:val="20"/>
                <w:szCs w:val="20"/>
                <w:color w:val="auto"/>
              </w:rPr>
            </w:pPr>
            <w:r>
              <w:rPr>
                <w:rFonts w:ascii="Arial" w:cs="Arial" w:eastAsia="Arial" w:hAnsi="Arial"/>
                <w:sz w:val="14"/>
                <w:szCs w:val="14"/>
                <w:b w:val="1"/>
                <w:bCs w:val="1"/>
                <w:color w:val="auto"/>
                <w:w w:val="90"/>
              </w:rPr>
              <w:t>in Rabbi</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jc w:val="center"/>
              <w:ind w:right="198"/>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Trust, at cost</w:t>
            </w:r>
          </w:p>
        </w:tc>
        <w:tc>
          <w:tcPr>
            <w:tcW w:w="220" w:type="dxa"/>
            <w:vAlign w:val="bottom"/>
          </w:tcPr>
          <w:p>
            <w:pPr>
              <w:spacing w:after="0"/>
              <w:rPr>
                <w:sz w:val="14"/>
                <w:szCs w:val="14"/>
                <w:color w:val="auto"/>
              </w:rPr>
            </w:pPr>
          </w:p>
        </w:tc>
        <w:tc>
          <w:tcPr>
            <w:tcW w:w="66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at July 31, 2009</w:t>
            </w:r>
          </w:p>
        </w:tc>
        <w:tc>
          <w:tcPr>
            <w:tcW w:w="17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(4,747</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(13,027</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(4,492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Shares at July 31, 2009</w:t>
            </w:r>
          </w:p>
        </w:tc>
        <w:tc>
          <w:tcPr>
            <w:tcW w:w="1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671,650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671,650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72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Arial" w:cs="Arial" w:eastAsia="Arial" w:hAnsi="Arial"/>
                <w:sz w:val="18"/>
                <w:szCs w:val="18"/>
                <w:color w:val="auto"/>
              </w:rPr>
              <w:t>(813)</w:t>
            </w:r>
          </w:p>
        </w:tc>
        <w:tc>
          <w:tcPr>
            <w:tcW w:w="220" w:type="dxa"/>
            <w:vAlign w:val="bottom"/>
          </w:tcPr>
          <w:p>
            <w:pPr>
              <w:spacing w:after="0"/>
              <w:rPr>
                <w:sz w:val="18"/>
                <w:szCs w:val="18"/>
                <w:color w:val="auto"/>
              </w:rPr>
            </w:pPr>
          </w:p>
        </w:tc>
        <w:tc>
          <w:tcPr>
            <w:tcW w:w="66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1,374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Balances at July 31, 2010</w:t>
            </w:r>
          </w:p>
        </w:tc>
        <w:tc>
          <w:tcPr>
            <w:tcW w:w="1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8"/>
                <w:szCs w:val="18"/>
                <w:color w:val="auto"/>
                <w:w w:val="88"/>
              </w:rPr>
              <w:t>$ (3,373)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12,848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58"/>
              <w:spacing w:after="0"/>
              <w:rPr>
                <w:sz w:val="20"/>
                <w:szCs w:val="20"/>
                <w:color w:val="auto"/>
              </w:rPr>
            </w:pPr>
            <w:r>
              <w:rPr>
                <w:rFonts w:ascii="Arial" w:cs="Arial" w:eastAsia="Arial" w:hAnsi="Arial"/>
                <w:sz w:val="18"/>
                <w:szCs w:val="18"/>
                <w:color w:val="auto"/>
              </w:rPr>
              <w:t>(12,304)</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2010</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614,988</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614,988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Sale of shares at cost</w:t>
            </w:r>
          </w:p>
        </w:tc>
        <w:tc>
          <w:tcPr>
            <w:tcW w:w="1720" w:type="dxa"/>
            <w:vAlign w:val="bottom"/>
          </w:tcPr>
          <w:p>
            <w:pPr>
              <w:spacing w:after="0" w:line="20" w:lineRule="exact"/>
              <w:rPr>
                <w:sz w:val="1"/>
                <w:szCs w:val="1"/>
                <w:color w:val="auto"/>
              </w:rPr>
            </w:pPr>
          </w:p>
        </w:tc>
        <w:tc>
          <w:tcPr>
            <w:tcW w:w="880" w:type="dxa"/>
            <w:vAlign w:val="bottom"/>
            <w:gridSpan w:val="2"/>
            <w:vMerge w:val="restart"/>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209"/>
        </w:trPr>
        <w:tc>
          <w:tcPr>
            <w:tcW w:w="348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1,375</w:t>
            </w:r>
          </w:p>
        </w:tc>
        <w:tc>
          <w:tcPr>
            <w:tcW w:w="3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at cost</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2600" w:type="dxa"/>
            <w:vAlign w:val="bottom"/>
            <w:gridSpan w:val="3"/>
          </w:tcPr>
          <w:p>
            <w:pPr>
              <w:jc w:val="right"/>
              <w:ind w:right="138"/>
              <w:spacing w:after="0"/>
              <w:rPr>
                <w:sz w:val="20"/>
                <w:szCs w:val="20"/>
                <w:color w:val="auto"/>
              </w:rPr>
            </w:pPr>
            <w:r>
              <w:rPr>
                <w:rFonts w:ascii="Arial" w:cs="Arial" w:eastAsia="Arial" w:hAnsi="Arial"/>
                <w:sz w:val="18"/>
                <w:szCs w:val="18"/>
                <w:color w:val="auto"/>
              </w:rPr>
              <w:t>(2,835)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Balances at July 31, 2011</w:t>
            </w:r>
          </w:p>
        </w:tc>
        <w:tc>
          <w:tcPr>
            <w:tcW w:w="1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8"/>
                <w:szCs w:val="18"/>
                <w:color w:val="auto"/>
                <w:w w:val="88"/>
              </w:rPr>
              <w:t>$ (5,362)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58"/>
              <w:spacing w:after="0"/>
              <w:rPr>
                <w:sz w:val="20"/>
                <w:szCs w:val="20"/>
                <w:color w:val="auto"/>
              </w:rPr>
            </w:pPr>
            <w:r>
              <w:rPr>
                <w:rFonts w:ascii="Arial" w:cs="Arial" w:eastAsia="Arial" w:hAnsi="Arial"/>
                <w:sz w:val="18"/>
                <w:szCs w:val="18"/>
                <w:color w:val="auto"/>
              </w:rPr>
              <w:t>(11,595)</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2011</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560,078</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560,078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Sale of shares at cost</w:t>
            </w:r>
          </w:p>
        </w:tc>
        <w:tc>
          <w:tcPr>
            <w:tcW w:w="1720" w:type="dxa"/>
            <w:vAlign w:val="bottom"/>
          </w:tcPr>
          <w:p>
            <w:pPr>
              <w:spacing w:after="0" w:line="20" w:lineRule="exact"/>
              <w:rPr>
                <w:sz w:val="1"/>
                <w:szCs w:val="1"/>
                <w:color w:val="auto"/>
              </w:rPr>
            </w:pPr>
          </w:p>
        </w:tc>
        <w:tc>
          <w:tcPr>
            <w:tcW w:w="880" w:type="dxa"/>
            <w:vAlign w:val="bottom"/>
            <w:gridSpan w:val="2"/>
            <w:vMerge w:val="restart"/>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09"/>
        </w:trPr>
        <w:tc>
          <w:tcPr>
            <w:tcW w:w="348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at cost</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720" w:type="dxa"/>
            <w:vAlign w:val="bottom"/>
          </w:tcPr>
          <w:p>
            <w:pPr>
              <w:spacing w:after="0"/>
              <w:rPr>
                <w:sz w:val="18"/>
                <w:szCs w:val="18"/>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2012</w:t>
            </w:r>
          </w:p>
        </w:tc>
        <w:tc>
          <w:tcPr>
            <w:tcW w:w="1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88"/>
              </w:rPr>
              <w:t>$ (3,763)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(11,151)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Arial" w:cs="Arial" w:eastAsia="Arial" w:hAnsi="Arial"/>
                <w:sz w:val="18"/>
                <w:szCs w:val="18"/>
                <w:color w:val="auto"/>
              </w:rPr>
              <w:t>Shares at July 31, 2012</w:t>
            </w: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8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517,105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517,105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720" w:type="dxa"/>
            <w:vAlign w:val="bottom"/>
            <w:vMerge w:val="restart"/>
          </w:tcPr>
          <w:p>
            <w:pPr>
              <w:jc w:val="right"/>
              <w:ind w:right="232"/>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4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Prior to 2002, all Brady Corporation deferred compensation was invested in the Company’s Class A Nonvoting Common Stock. In 2002, the Company adopted a new deferred compensation plan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At July 31, 2012,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 on May 1, 2006. The balance of shares held in the Rabbi Trust represents the investment in the Company’s Class A Nonvoting Common Stock at the original cost of all the Company’s Class A Nonvoting Common Stock held in deferred compensation plans.</w:t>
      </w:r>
    </w:p>
    <w:p>
      <w:pPr>
        <w:spacing w:after="0" w:line="12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and non-employee directors.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 Restricted shares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These shares are referred to herein as “performance-based restricted shares.”</w:t>
      </w:r>
    </w:p>
    <w:p>
      <w:pPr>
        <w:spacing w:after="0" w:line="12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July 31, 2012, the Company has reserved 6,536,751 shares of Class A Nonvoting Common Stock for outstanding stock options and restricted shares and 5,008,350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options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Options</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 Price</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Outstanding</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July 31, 2009</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$13.31–$40.37</w:t>
            </w: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3,980,606</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7"/>
              </w:rPr>
              <w:t>24.78 – 33.28</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1,446,500</w:t>
            </w:r>
          </w:p>
        </w:tc>
        <w:tc>
          <w:tcPr>
            <w:tcW w:w="4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14.16 – 31.54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(241,403)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Options cancelled</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15.28 – 38.31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(76,967)</w:t>
            </w:r>
          </w:p>
        </w:tc>
        <w:tc>
          <w:tcPr>
            <w:tcW w:w="540" w:type="dxa"/>
            <w:vAlign w:val="bottom"/>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2010</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$13.31–$40.37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5,108,736</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7"/>
              </w:rPr>
              <w:t>28.35 – 37.95</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1,365,500</w:t>
            </w:r>
          </w:p>
        </w:tc>
        <w:tc>
          <w:tcPr>
            <w:tcW w:w="4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14.16 – 29.78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(417,888)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Options cancelled</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16.39 – 38.31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(330,331)</w:t>
            </w:r>
          </w:p>
        </w:tc>
        <w:tc>
          <w:tcPr>
            <w:tcW w:w="54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2011</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$13.31–$40.37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5,726,017</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7"/>
              </w:rPr>
              <w:t>27.00 – 33.54</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1,212,450</w:t>
            </w:r>
          </w:p>
        </w:tc>
        <w:tc>
          <w:tcPr>
            <w:tcW w:w="4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13.31 – 29.78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(266,991)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Options cancelled</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16.00 – 38.31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(417,725)</w:t>
            </w:r>
          </w:p>
        </w:tc>
        <w:tc>
          <w:tcPr>
            <w:tcW w:w="54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2012</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$13.31–$40.37</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6,253,751</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total fair value of options vested during the fiscal years ended July 31, 2012, 2011, and 2010 was $8,016, $6,822, and $5,548, respectively. The total intrinsic value of options exercised during the fiscal years ended July 31, 2012, 2011, and 2010 was $3,096, $5,701, and $3,004, respectively.</w:t>
      </w:r>
    </w:p>
    <w:p>
      <w:pPr>
        <w:spacing w:after="0" w:line="85"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There were 3,503,963, 3,316,815, and 3,100,955 options exercisable with a weighted average exercise price of $29.69, $29.83, and $28.85 at July 31, 2012, 2011, and 2010, respectively. The cash received from the exercise of options during the fiscal years ended July 31, 2012, 2011, and 2010 was $3,864, $8,193, and $3,717, respectively. The tax benefit on options exercised during the fiscal years ended July 31, 2012, 2011, and 2010 was $777, $682, and $866,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at July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Options Outstanding and</w:t>
            </w: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70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Options Outstanding</w:t>
            </w:r>
          </w:p>
        </w:tc>
        <w:tc>
          <w:tcPr>
            <w:tcW w:w="5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84"/>
              </w:rPr>
              <w:t>Exercisable</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Weighted</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Weighted</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4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43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at</w:t>
            </w:r>
          </w:p>
        </w:tc>
        <w:tc>
          <w:tcPr>
            <w:tcW w:w="4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Life</w:t>
            </w: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at July 31,</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8"/>
        </w:trPr>
        <w:tc>
          <w:tcPr>
            <w:tcW w:w="1520" w:type="dxa"/>
            <w:vAlign w:val="bottom"/>
            <w:tcBorders>
              <w:bottom w:val="single" w:sz="8" w:color="auto"/>
            </w:tcBorders>
            <w:vMerge w:val="continue"/>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July 31, 2012</w:t>
            </w:r>
          </w:p>
        </w:tc>
        <w:tc>
          <w:tcPr>
            <w:tcW w:w="480" w:type="dxa"/>
            <w:vAlign w:val="bottom"/>
          </w:tcPr>
          <w:p>
            <w:pPr>
              <w:spacing w:after="0"/>
              <w:rPr>
                <w:sz w:val="14"/>
                <w:szCs w:val="14"/>
                <w:color w:val="auto"/>
              </w:rPr>
            </w:pPr>
          </w:p>
        </w:tc>
        <w:tc>
          <w:tcPr>
            <w:tcW w:w="118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(in years)</w:t>
            </w:r>
          </w:p>
        </w:tc>
        <w:tc>
          <w:tcPr>
            <w:tcW w:w="10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Pr>
          <w:p>
            <w:pPr>
              <w:spacing w:after="0"/>
              <w:rPr>
                <w:sz w:val="14"/>
                <w:szCs w:val="14"/>
                <w:color w:val="auto"/>
              </w:rPr>
            </w:pPr>
          </w:p>
        </w:tc>
        <w:tc>
          <w:tcPr>
            <w:tcW w:w="6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Up to $14.99</w:t>
            </w:r>
          </w:p>
        </w:tc>
        <w:tc>
          <w:tcPr>
            <w:tcW w:w="4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w:t>
            </w:r>
          </w:p>
        </w:tc>
        <w:tc>
          <w:tcPr>
            <w:tcW w:w="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$ 13.31</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4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$ 13.31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$15.00 to $29.99</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4,634,451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27.08</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1,914,296</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$30.00 and up</w:t>
            </w:r>
          </w:p>
        </w:tc>
        <w:tc>
          <w:tcPr>
            <w:tcW w:w="43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4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1,464,667</w:t>
            </w: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Total</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6,253,751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29.24</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3,503,963</w:t>
            </w: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July 31, 2012, the aggregate intrinsic value (defined as the amount by which the fair value of the underlying stock exceeds the exercise price of an option) of options outstanding and the options exercisable was $7,327 and $7,326,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evaluates short-term segment performance based on segment profit or loss and customer sales. Segment profit or loss does not include certain administrative costs, such as the cost of finance, information technology, human resources, and executive leadership which are managed as global functions. Restructuring charges, impairment charges, equity compensation costs, interest, investment and other income and income taxes are also excluded when evaluating segment performance. Intersegment sales and transfers are recorded at cost plus a standard percentage markup.</w:t>
      </w:r>
    </w:p>
    <w:p>
      <w:pPr>
        <w:spacing w:after="0" w:line="113"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segment information for the years ended July 31, 2012, 2011, and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Corporate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3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Americas</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EMEA</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Asia-Pacific</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Region</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6"/>
              </w:rPr>
              <w:t>Total Company</w:t>
            </w: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July 31, 2012:</w:t>
            </w: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Revenues from external customers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$589,925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$389,156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$ 345,188</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$1,324,269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1,324,269</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73,815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(73,815)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13,706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16,447</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37,664</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6,323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43,987</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293,004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285,676</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Assets</w:t>
            </w:r>
          </w:p>
        </w:tc>
        <w:tc>
          <w:tcPr>
            <w:tcW w:w="680" w:type="dxa"/>
            <w:vAlign w:val="bottom"/>
          </w:tcPr>
          <w:p>
            <w:pPr>
              <w:jc w:val="right"/>
              <w:spacing w:after="0"/>
              <w:rPr>
                <w:sz w:val="20"/>
                <w:szCs w:val="20"/>
                <w:color w:val="auto"/>
              </w:rPr>
            </w:pPr>
            <w:r>
              <w:rPr>
                <w:rFonts w:ascii="Arial" w:cs="Arial" w:eastAsia="Arial" w:hAnsi="Arial"/>
                <w:sz w:val="18"/>
                <w:szCs w:val="18"/>
                <w:color w:val="auto"/>
              </w:rPr>
              <w:t>708,216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332,936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248,965</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1,290,117</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317,602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1,607,719</w:t>
            </w:r>
          </w:p>
        </w:tc>
        <w:tc>
          <w:tcPr>
            <w:tcW w:w="100" w:type="dxa"/>
            <w:vAlign w:val="bottom"/>
          </w:tcPr>
          <w:p>
            <w:pPr>
              <w:spacing w:after="0"/>
              <w:rPr>
                <w:sz w:val="18"/>
                <w:szCs w:val="18"/>
                <w:color w:val="auto"/>
              </w:rPr>
            </w:pPr>
          </w:p>
        </w:tc>
      </w:tr>
      <w:tr>
        <w:trPr>
          <w:trHeight w:val="208"/>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Expenditures for property, plant and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24,147</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24,147</w:t>
            </w:r>
          </w:p>
        </w:tc>
        <w:tc>
          <w:tcPr>
            <w:tcW w:w="100" w:type="dxa"/>
            <w:vAlign w:val="bottom"/>
            <w:shd w:val="clear" w:color="auto" w:fill="CCEEFF"/>
          </w:tcPr>
          <w:p>
            <w:pPr>
              <w:spacing w:after="0"/>
              <w:rPr>
                <w:sz w:val="19"/>
                <w:szCs w:val="19"/>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Year ended July 31, 2011: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Revenues from external customers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$577,428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$404,955</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$ 357,214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$1,339,597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1,339,597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41,638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24,500</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69,192</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(69,192)</w:t>
            </w:r>
          </w:p>
        </w:tc>
        <w:tc>
          <w:tcPr>
            <w:tcW w:w="14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39,344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9,483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48,827</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Segment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145,516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112,047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50,105</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307,668</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(15,742)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291,926</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333,977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389,465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1,458,445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403,060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1,861,505</w:t>
            </w:r>
          </w:p>
        </w:tc>
        <w:tc>
          <w:tcPr>
            <w:tcW w:w="100" w:type="dxa"/>
            <w:vAlign w:val="bottom"/>
            <w:shd w:val="clear" w:color="auto" w:fill="CCEEFF"/>
          </w:tcPr>
          <w:p>
            <w:pPr>
              <w:spacing w:after="0"/>
              <w:rPr>
                <w:sz w:val="18"/>
                <w:szCs w:val="18"/>
                <w:color w:val="auto"/>
              </w:rPr>
            </w:pPr>
          </w:p>
        </w:tc>
      </w:tr>
      <w:tr>
        <w:trPr>
          <w:trHeight w:val="208"/>
        </w:trPr>
        <w:tc>
          <w:tcPr>
            <w:tcW w:w="5320" w:type="dxa"/>
            <w:vAlign w:val="bottom"/>
          </w:tcPr>
          <w:p>
            <w:pPr>
              <w:ind w:left="440"/>
              <w:spacing w:after="0"/>
              <w:rPr>
                <w:sz w:val="20"/>
                <w:szCs w:val="20"/>
                <w:color w:val="auto"/>
              </w:rPr>
            </w:pPr>
            <w:r>
              <w:rPr>
                <w:rFonts w:ascii="Arial" w:cs="Arial" w:eastAsia="Arial" w:hAnsi="Arial"/>
                <w:sz w:val="18"/>
                <w:szCs w:val="18"/>
                <w:color w:val="auto"/>
              </w:rPr>
              <w:t>Expenditures for property, plant and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320" w:type="dxa"/>
            <w:vAlign w:val="bottom"/>
          </w:tcPr>
          <w:p>
            <w:pPr>
              <w:ind w:left="660"/>
              <w:spacing w:after="0"/>
              <w:rPr>
                <w:sz w:val="20"/>
                <w:szCs w:val="20"/>
                <w:color w:val="auto"/>
              </w:rPr>
            </w:pPr>
            <w:r>
              <w:rPr>
                <w:rFonts w:ascii="Arial" w:cs="Arial" w:eastAsia="Arial" w:hAnsi="Arial"/>
                <w:sz w:val="18"/>
                <w:szCs w:val="18"/>
                <w:color w:val="auto"/>
              </w:rPr>
              <w:t>equipment</w:t>
            </w:r>
          </w:p>
        </w:tc>
        <w:tc>
          <w:tcPr>
            <w:tcW w:w="680" w:type="dxa"/>
            <w:vAlign w:val="bottom"/>
          </w:tcPr>
          <w:p>
            <w:pPr>
              <w:jc w:val="right"/>
              <w:spacing w:after="0"/>
              <w:rPr>
                <w:sz w:val="20"/>
                <w:szCs w:val="20"/>
                <w:color w:val="auto"/>
              </w:rPr>
            </w:pPr>
            <w:r>
              <w:rPr>
                <w:rFonts w:ascii="Arial" w:cs="Arial" w:eastAsia="Arial" w:hAnsi="Arial"/>
                <w:sz w:val="18"/>
                <w:szCs w:val="18"/>
                <w:color w:val="auto"/>
              </w:rPr>
              <w:t>8,212</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8,620</w:t>
            </w:r>
          </w:p>
        </w:tc>
        <w:tc>
          <w:tcPr>
            <w:tcW w:w="3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19,458</w:t>
            </w:r>
          </w:p>
        </w:tc>
        <w:tc>
          <w:tcPr>
            <w:tcW w:w="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20,532</w:t>
            </w:r>
          </w:p>
        </w:tc>
        <w:tc>
          <w:tcPr>
            <w:tcW w:w="100" w:type="dxa"/>
            <w:vAlign w:val="bottom"/>
          </w:tcPr>
          <w:p>
            <w:pPr>
              <w:spacing w:after="0"/>
              <w:rPr>
                <w:sz w:val="19"/>
                <w:szCs w:val="19"/>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2010: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Revenues from external customers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$551,185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$380,121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$ 327,790</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$1,259,096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1,259,096</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18,188</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65,780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(65,780)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21,142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8,088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15,749</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44,979</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8,043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53,022</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280,590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(14,131)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266,459</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Assets</w:t>
            </w:r>
          </w:p>
        </w:tc>
        <w:tc>
          <w:tcPr>
            <w:tcW w:w="680" w:type="dxa"/>
            <w:vAlign w:val="bottom"/>
          </w:tcPr>
          <w:p>
            <w:pPr>
              <w:jc w:val="right"/>
              <w:spacing w:after="0"/>
              <w:rPr>
                <w:sz w:val="20"/>
                <w:szCs w:val="20"/>
                <w:color w:val="auto"/>
              </w:rPr>
            </w:pPr>
            <w:r>
              <w:rPr>
                <w:rFonts w:ascii="Arial" w:cs="Arial" w:eastAsia="Arial" w:hAnsi="Arial"/>
                <w:sz w:val="18"/>
                <w:szCs w:val="18"/>
                <w:color w:val="auto"/>
              </w:rPr>
              <w:t>754,753</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313,204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362,653</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1,430,610</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315,921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1,746,531</w:t>
            </w:r>
          </w:p>
        </w:tc>
        <w:tc>
          <w:tcPr>
            <w:tcW w:w="100" w:type="dxa"/>
            <w:vAlign w:val="bottom"/>
          </w:tcPr>
          <w:p>
            <w:pPr>
              <w:spacing w:after="0"/>
              <w:rPr>
                <w:sz w:val="18"/>
                <w:szCs w:val="18"/>
                <w:color w:val="auto"/>
              </w:rPr>
            </w:pPr>
          </w:p>
        </w:tc>
      </w:tr>
      <w:tr>
        <w:trPr>
          <w:trHeight w:val="208"/>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Expenditures for property, plant and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19,983</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w:t>
            </w:r>
          </w:p>
        </w:tc>
        <w:tc>
          <w:tcPr>
            <w:tcW w:w="100" w:type="dxa"/>
            <w:vAlign w:val="bottom"/>
            <w:shd w:val="clear" w:color="auto" w:fill="CCEEFF"/>
          </w:tcPr>
          <w:p>
            <w:pPr>
              <w:spacing w:after="0"/>
              <w:rPr>
                <w:sz w:val="19"/>
                <w:szCs w:val="19"/>
                <w:color w:val="auto"/>
              </w:rPr>
            </w:pPr>
          </w:p>
        </w:tc>
      </w:tr>
      <w:tr>
        <w:trPr>
          <w:trHeight w:val="363"/>
        </w:trPr>
        <w:tc>
          <w:tcPr>
            <w:tcW w:w="5320" w:type="dxa"/>
            <w:vAlign w:val="bottom"/>
          </w:tcPr>
          <w:p>
            <w:pPr>
              <w:spacing w:after="0"/>
              <w:rPr>
                <w:sz w:val="24"/>
                <w:szCs w:val="24"/>
                <w:color w:val="auto"/>
              </w:rPr>
            </w:pPr>
          </w:p>
        </w:tc>
        <w:tc>
          <w:tcPr>
            <w:tcW w:w="680" w:type="dxa"/>
            <w:vAlign w:val="bottom"/>
          </w:tcPr>
          <w:p>
            <w:pPr>
              <w:jc w:val="right"/>
              <w:ind w:right="113"/>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9"/>
          </w:tcPr>
          <w:p>
            <w:pPr>
              <w:jc w:val="right"/>
              <w:ind w:right="1120"/>
              <w:spacing w:after="0"/>
              <w:rPr>
                <w:sz w:val="20"/>
                <w:szCs w:val="20"/>
                <w:color w:val="auto"/>
              </w:rPr>
            </w:pPr>
            <w:r>
              <w:rPr>
                <w:rFonts w:ascii="Arial" w:cs="Arial" w:eastAsia="Arial" w:hAnsi="Arial"/>
                <w:sz w:val="14"/>
                <w:szCs w:val="14"/>
                <w:b w:val="1"/>
                <w:bCs w:val="1"/>
                <w:color w:val="auto"/>
                <w:w w:val="85"/>
              </w:rPr>
              <w:t>Years Ended July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reconciliation:</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profit for reportable segments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8"/>
          </w:tcPr>
          <w:p>
            <w:pPr>
              <w:jc w:val="right"/>
              <w:ind w:right="280"/>
              <w:spacing w:after="0"/>
              <w:rPr>
                <w:sz w:val="20"/>
                <w:szCs w:val="20"/>
                <w:color w:val="auto"/>
              </w:rPr>
            </w:pPr>
            <w:r>
              <w:rPr>
                <w:rFonts w:ascii="Arial" w:cs="Arial" w:eastAsia="Arial" w:hAnsi="Arial"/>
                <w:sz w:val="18"/>
                <w:szCs w:val="18"/>
                <w:color w:val="auto"/>
              </w:rPr>
              <w:t>$ 293,004</w:t>
            </w: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$ 307,668</w:t>
            </w: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$ 280,590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(7,328)</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(15,742)</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Unallocated amounts: Administrative costs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w w:val="85"/>
              </w:rPr>
              <w:t>(118,120)</w:t>
            </w:r>
          </w:p>
        </w:tc>
        <w:tc>
          <w:tcPr>
            <w:tcW w:w="1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(120,546)</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(121,689)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(12,110)</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(9,188)</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(15,314)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Impairment charge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w w:val="85"/>
              </w:rPr>
              <w:t>(115,688)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2,082</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3,990</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w w:val="98"/>
              </w:rPr>
              <w:t>(19,090)</w:t>
            </w:r>
          </w:p>
        </w:tc>
        <w:tc>
          <w:tcPr>
            <w:tcW w:w="1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(22,124)</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(21,222)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22,750</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144,058</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109,402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w w:val="98"/>
              </w:rPr>
              <w:t>(40,661)</w:t>
            </w:r>
          </w:p>
        </w:tc>
        <w:tc>
          <w:tcPr>
            <w:tcW w:w="1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(35,406)</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(27,446)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8"/>
              </w:rPr>
              <w:t>(17,911)</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$ 108,652</w:t>
            </w: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81,956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Revenues*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Long-Lived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Years Ended July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11"/>
          </w:tcPr>
          <w:p>
            <w:pPr>
              <w:ind w:left="660"/>
              <w:spacing w:after="0"/>
              <w:rPr>
                <w:sz w:val="20"/>
                <w:szCs w:val="20"/>
                <w:color w:val="auto"/>
              </w:rPr>
            </w:pPr>
            <w:r>
              <w:rPr>
                <w:rFonts w:ascii="Arial" w:cs="Arial" w:eastAsia="Arial" w:hAnsi="Arial"/>
                <w:sz w:val="14"/>
                <w:szCs w:val="14"/>
                <w:b w:val="1"/>
                <w:bCs w:val="1"/>
                <w:color w:val="auto"/>
              </w:rPr>
              <w:t>As of Years Ended July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left="157"/>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Geographic information:</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553,209</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535,412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521,318</w:t>
            </w: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$479,791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488,571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507,481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133,209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156,842</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46,797</w:t>
            </w:r>
          </w:p>
        </w:tc>
        <w:tc>
          <w:tcPr>
            <w:tcW w:w="11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118,945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711,665</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708,737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646,716</w:t>
            </w: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364,337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422,703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Eliminations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(73,814)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(65,780)</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880"/>
              <w:spacing w:after="0"/>
              <w:rPr>
                <w:sz w:val="20"/>
                <w:szCs w:val="20"/>
                <w:color w:val="auto"/>
              </w:rPr>
            </w:pPr>
            <w:r>
              <w:rPr>
                <w:rFonts w:ascii="Arial" w:cs="Arial" w:eastAsia="Arial" w:hAnsi="Arial"/>
                <w:sz w:val="18"/>
                <w:szCs w:val="18"/>
                <w:color w:val="auto"/>
              </w:rPr>
              <w:t>Consolidated 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1,324,269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1,339,597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1,259,096</w:t>
            </w:r>
          </w:p>
        </w:tc>
        <w:tc>
          <w:tcPr>
            <w:tcW w:w="1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890,925</w:t>
            </w: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1,030,219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1,017,648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are attributed based on country of origin.</w:t>
      </w:r>
    </w:p>
    <w:p>
      <w:pPr>
        <w:spacing w:after="0" w:line="15" w:lineRule="exact"/>
        <w:rPr>
          <w:sz w:val="20"/>
          <w:szCs w:val="20"/>
          <w:color w:val="auto"/>
        </w:rPr>
      </w:pPr>
    </w:p>
    <w:p>
      <w:pPr>
        <w:ind w:left="460" w:right="3580" w:hanging="452"/>
        <w:spacing w:after="0" w:line="546" w:lineRule="auto"/>
        <w:tabs>
          <w:tab w:leader="none" w:pos="4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Long-lived assets consist of property, plant, and equipment, other intangible assets and goodwill. Following is a summary of sales by business platform for the years ended July 31, 2012, 2011, and 2010: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3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3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ID Solutions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746,608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742,299</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688,364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Direct Marketing</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355,916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357,734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333,924</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Die-Cut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221,745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239,564</w:t>
            </w:r>
          </w:p>
        </w:tc>
        <w:tc>
          <w:tcPr>
            <w:tcW w:w="6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236,808</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1,324,269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1,339,597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1,259,096</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Common Share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income per Common Share is computed by dividing net income (after deducting restricted stock dividends and the applicable preferential Class A Common Stock dividends) by the weighted average Common Shares outstanding of 52,453,285 for 2012, 52,639,355 for 2011, and 52,402,387 for 2010. The preferential dividend on the Class A Common Stock of $.01665 per share has been added to the net income per Class A Common Share for all years presented.</w:t>
      </w:r>
    </w:p>
    <w:p>
      <w:pPr>
        <w:spacing w:after="0" w:line="10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included in the basic and diluted earnings per share calculations for the respective periods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8"/>
              </w:rPr>
              <w:t>Years ended July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w w:val="95"/>
              </w:rPr>
              <w:t>Net (loss) income (numerator for basic and diluted Class A net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(17,911)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108,652</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81,956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Restricted stock dividends</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(2029)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A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(18,140)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108,429</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81,809</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40"/>
              <w:spacing w:after="0"/>
              <w:rPr>
                <w:sz w:val="20"/>
                <w:szCs w:val="20"/>
                <w:color w:val="auto"/>
              </w:rPr>
            </w:pPr>
            <w:r>
              <w:rPr>
                <w:rFonts w:ascii="Arial" w:cs="Arial" w:eastAsia="Arial" w:hAnsi="Arial"/>
                <w:sz w:val="18"/>
                <w:szCs w:val="18"/>
                <w:color w:val="auto"/>
              </w:rPr>
              <w:t>Less: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Preferential dividends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Preferential dividends on dilutive stock options</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and diluted Class B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(18,963)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107,603</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80,982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basic net (loss) income per share for both Class A and B</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52,402</w:t>
            </w:r>
          </w:p>
        </w:tc>
        <w:tc>
          <w:tcPr>
            <w:tcW w:w="0" w:type="dxa"/>
            <w:vAlign w:val="bottom"/>
          </w:tcPr>
          <w:p>
            <w:pPr>
              <w:spacing w:after="0"/>
              <w:rPr>
                <w:sz w:val="1"/>
                <w:szCs w:val="1"/>
                <w:color w:val="auto"/>
              </w:rPr>
            </w:pPr>
          </w:p>
        </w:tc>
      </w:tr>
      <w:tr>
        <w:trPr>
          <w:trHeight w:val="223"/>
        </w:trPr>
        <w:tc>
          <w:tcPr>
            <w:tcW w:w="6660" w:type="dxa"/>
            <w:vAlign w:val="bottom"/>
          </w:tcPr>
          <w:p>
            <w:pPr>
              <w:ind w:left="440"/>
              <w:spacing w:after="0"/>
              <w:rPr>
                <w:sz w:val="20"/>
                <w:szCs w:val="20"/>
                <w:color w:val="auto"/>
              </w:rPr>
            </w:pPr>
            <w:r>
              <w:rPr>
                <w:rFonts w:ascii="Arial" w:cs="Arial" w:eastAsia="Arial" w:hAnsi="Arial"/>
                <w:sz w:val="18"/>
                <w:szCs w:val="18"/>
                <w:color w:val="auto"/>
              </w:rPr>
              <w:t>Plus: effect of dilutive stock options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diluted net (loss) income per share for both Class A and B</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52,946</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40"/>
              <w:spacing w:after="0"/>
              <w:rPr>
                <w:sz w:val="20"/>
                <w:szCs w:val="20"/>
                <w:color w:val="auto"/>
              </w:rPr>
            </w:pPr>
            <w:r>
              <w:rPr>
                <w:rFonts w:ascii="Arial" w:cs="Arial" w:eastAsia="Arial" w:hAnsi="Arial"/>
                <w:sz w:val="18"/>
                <w:szCs w:val="18"/>
                <w:color w:val="auto"/>
              </w:rPr>
              <w:t>Class A common stock net (loss) income per share calculation: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common stock net (loss) income per share calculation: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accordance with ASC 260, “Earnings per Share,” dilutive options were not included in the computation of diluted loss per share for fiscal 2012 since to do so would reduce the calculated loss per share.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Options to purchase 4,592,486, 3,049,611 and 2,832,337 shares of Class A Nonvoting Common Stock for fiscal years ended July 31, 2012, 2011 and 2010, respectively, were not included in the computation of diluted net loss or net gain per share because the impact of the inclusion of the options would have been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operations on a straight-line basis was $17,609, $22,213, and $23,712 for the years ended July 31, 2012, 2011, and 2010, respectively. Future minimum lease payments required under such leases in effect at July 31, 2012 are as follows, for the years ending July 31:</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2014</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13,917</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2016</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3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16,752</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69,308</w:t>
            </w:r>
          </w:p>
        </w:tc>
        <w:tc>
          <w:tcPr>
            <w:tcW w:w="100" w:type="dxa"/>
            <w:vAlign w:val="bottom"/>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Level 1 — Assets or liabilities for which fair value is based on quoted market prices in active markets for identical instruments as of the reporting date.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Level 2 — Assets or liabilities for which fair value is based on valuation models for which pricing inputs were either directly or indirectly observable.</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Level 3 — Assets or liabilities for which fair value is based on valuation models with significant unobservable pricing inputs and which result in the use of management estimates.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tables set forth by level within the fair value hierarchy, the Company’s financial assets and liabilities that were accounted for at fair value on a recurring basis at July 31, 2012, and July 31, 2011, according to the valuation techniques the Company used to determine their fair values.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8"/>
          </w:tcPr>
          <w:p>
            <w:pPr>
              <w:jc w:val="center"/>
              <w:ind w:right="55"/>
              <w:spacing w:after="0"/>
              <w:rPr>
                <w:sz w:val="20"/>
                <w:szCs w:val="20"/>
                <w:color w:val="auto"/>
              </w:rPr>
            </w:pPr>
            <w:r>
              <w:rPr>
                <w:rFonts w:ascii="Arial" w:cs="Arial" w:eastAsia="Arial" w:hAnsi="Arial"/>
                <w:sz w:val="14"/>
                <w:szCs w:val="14"/>
                <w:b w:val="1"/>
                <w:bCs w:val="1"/>
                <w:color w:val="auto"/>
                <w:w w:val="87"/>
              </w:rPr>
              <w:t>Fair Value Measurements Using Inputs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b w:val="1"/>
                <w:bCs w:val="1"/>
                <w:color w:val="auto"/>
                <w:w w:val="84"/>
              </w:rPr>
              <w:t>Considered as</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in Active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Markets</w:t>
            </w:r>
          </w:p>
        </w:tc>
        <w:tc>
          <w:tcPr>
            <w:tcW w:w="4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for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83"/>
              </w:rPr>
              <w:t>Significant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Identical</w:t>
            </w:r>
          </w:p>
        </w:tc>
        <w:tc>
          <w:tcPr>
            <w:tcW w:w="4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78"/>
              </w:rPr>
              <w:t>Assets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35"/>
              <w:spacing w:after="0" w:line="135" w:lineRule="exact"/>
              <w:rPr>
                <w:sz w:val="20"/>
                <w:szCs w:val="20"/>
                <w:color w:val="auto"/>
              </w:rPr>
            </w:pPr>
            <w:r>
              <w:rPr>
                <w:rFonts w:ascii="Arial" w:cs="Arial" w:eastAsia="Arial" w:hAnsi="Arial"/>
                <w:sz w:val="14"/>
                <w:szCs w:val="14"/>
                <w:b w:val="1"/>
                <w:bCs w:val="1"/>
                <w:color w:val="auto"/>
              </w:rPr>
              <w:t>Inputs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(Level 1)</w:t>
            </w:r>
          </w:p>
        </w:tc>
        <w:tc>
          <w:tcPr>
            <w:tcW w:w="40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(Level 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2680" w:type="dxa"/>
            <w:vAlign w:val="bottom"/>
          </w:tcPr>
          <w:p>
            <w:pPr>
              <w:ind w:left="94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July 31, 2012: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Trading Securities</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12,676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12,676</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 — cash flow hedges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Prepaid expenses and other current</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w w:val="92"/>
              </w:rPr>
              <w:t>Prepaid expenses and other current</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8"/>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83"/>
              </w:rPr>
              <w:t>12,676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1,234</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13,910</w:t>
            </w:r>
          </w:p>
        </w:tc>
        <w:tc>
          <w:tcPr>
            <w:tcW w:w="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Foreign exchange contracts— cash flow hedges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2"/>
            <w:vMerge w:val="restart"/>
          </w:tcPr>
          <w:p>
            <w:pPr>
              <w:ind w:left="20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line="20" w:lineRule="exact"/>
              <w:rPr>
                <w:sz w:val="1"/>
                <w:szCs w:val="1"/>
                <w:color w:val="auto"/>
              </w:rPr>
            </w:pPr>
          </w:p>
        </w:tc>
      </w:tr>
      <w:tr>
        <w:trPr>
          <w:trHeight w:val="208"/>
        </w:trPr>
        <w:tc>
          <w:tcPr>
            <w:tcW w:w="4040" w:type="dxa"/>
            <w:vAlign w:val="bottom"/>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2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3"/>
              </w:rPr>
              <w:t>Foreign exchange contracts — net investment hedges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322"/>
        </w:trPr>
        <w:tc>
          <w:tcPr>
            <w:tcW w:w="40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3"/>
              </w:rPr>
              <w:t>Foreign currency denominated debt — net investment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Long term obligations, less current</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99,081</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0" w:type="dxa"/>
            <w:vAlign w:val="bottom"/>
          </w:tcPr>
          <w:p>
            <w:pPr>
              <w:spacing w:after="0"/>
              <w:rPr>
                <w:sz w:val="1"/>
                <w:szCs w:val="1"/>
                <w:color w:val="auto"/>
              </w:rPr>
            </w:pPr>
          </w:p>
        </w:tc>
      </w:tr>
      <w:tr>
        <w:trPr>
          <w:trHeight w:val="223"/>
        </w:trPr>
        <w:tc>
          <w:tcPr>
            <w:tcW w:w="404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Trading Securities</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20"/>
              <w:spacing w:after="0"/>
              <w:rPr>
                <w:sz w:val="20"/>
                <w:szCs w:val="20"/>
                <w:color w:val="auto"/>
              </w:rPr>
            </w:pPr>
            <w:r>
              <w:rPr>
                <w:rFonts w:ascii="Arial" w:cs="Arial" w:eastAsia="Arial" w:hAnsi="Arial"/>
                <w:sz w:val="18"/>
                <w:szCs w:val="18"/>
                <w:color w:val="auto"/>
                <w:w w:val="83"/>
              </w:rPr>
              <w:t>10,897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10,897</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 — cash flow hedges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Prepaid expenses and other current</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w w:val="92"/>
              </w:rPr>
              <w:t>Prepaid expenses and other current</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8"/>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w w:val="83"/>
              </w:rPr>
              <w:t>10,897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10,916</w:t>
            </w:r>
          </w:p>
        </w:tc>
        <w:tc>
          <w:tcPr>
            <w:tcW w:w="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Foreign exchange contracts — cash flow hedges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2"/>
            <w:vMerge w:val="restart"/>
          </w:tcPr>
          <w:p>
            <w:pPr>
              <w:ind w:left="20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line="20" w:lineRule="exact"/>
              <w:rPr>
                <w:sz w:val="1"/>
                <w:szCs w:val="1"/>
                <w:color w:val="auto"/>
              </w:rPr>
            </w:pPr>
          </w:p>
        </w:tc>
      </w:tr>
      <w:tr>
        <w:trPr>
          <w:trHeight w:val="208"/>
        </w:trPr>
        <w:tc>
          <w:tcPr>
            <w:tcW w:w="4040" w:type="dxa"/>
            <w:vAlign w:val="bottom"/>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830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2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exchange contracts – net investment hedges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5,295</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88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3"/>
              </w:rPr>
              <w:t>Foreign currency denominated debt — net investment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Long term obligations, less current</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hedge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107,985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107,985</w:t>
            </w:r>
          </w:p>
        </w:tc>
        <w:tc>
          <w:tcPr>
            <w:tcW w:w="2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maturities</w:t>
            </w:r>
          </w:p>
        </w:tc>
        <w:tc>
          <w:tcPr>
            <w:tcW w:w="0" w:type="dxa"/>
            <w:vAlign w:val="bottom"/>
          </w:tcPr>
          <w:p>
            <w:pPr>
              <w:spacing w:after="0"/>
              <w:rPr>
                <w:sz w:val="1"/>
                <w:szCs w:val="1"/>
                <w:color w:val="auto"/>
              </w:rPr>
            </w:pPr>
          </w:p>
        </w:tc>
      </w:tr>
      <w:tr>
        <w:trPr>
          <w:trHeight w:val="223"/>
        </w:trPr>
        <w:tc>
          <w:tcPr>
            <w:tcW w:w="404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114,112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114,112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center"/>
              <w:ind w:right="74"/>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i w:val="1"/>
          <w:iCs w:val="1"/>
          <w:color w:val="auto"/>
        </w:rPr>
        <w:t xml:space="preserve">Trading Securities: </w:t>
      </w:r>
      <w:r>
        <w:rPr>
          <w:rFonts w:ascii="Arial" w:cs="Arial" w:eastAsia="Arial" w:hAnsi="Arial"/>
          <w:sz w:val="16"/>
          <w:szCs w:val="16"/>
          <w:color w:val="auto"/>
        </w:rPr>
        <w:t>The Company’s deferred compensation investments consist of investments in mutual funds. These investments were classified as Level 1 as</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of these investments trade with sufficient frequency and volume to enable the Company to obtain pricing information on an ongoing basis.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currency exchange contacts: </w:t>
      </w:r>
      <w:r>
        <w:rPr>
          <w:rFonts w:ascii="Arial" w:cs="Arial" w:eastAsia="Arial" w:hAnsi="Arial"/>
          <w:sz w:val="18"/>
          <w:szCs w:val="18"/>
          <w:color w:val="auto"/>
        </w:rPr>
        <w:t>The Company’s foreign currency exchange contracts were classified as Level 2, as the fair value was based on the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future cash flows using external models that use observable inputs, such as interest rates, yield curves and foreign currency exchange rates. See Note 12, “Derivatives and Hedging Activities” for additional information.</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Foreign currency denominated debt — net investment hedge: </w:t>
      </w:r>
      <w:r>
        <w:rPr>
          <w:rFonts w:ascii="Arial" w:cs="Arial" w:eastAsia="Arial" w:hAnsi="Arial"/>
          <w:sz w:val="16"/>
          <w:szCs w:val="16"/>
          <w:color w:val="auto"/>
        </w:rPr>
        <w:t>The Company’s foreign currency denominated debt designated as a net investment hedge was</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Level 2, as the fair value was based on the present value of the future cash flows using external models that use observable inputs, such as interest rates, yield curves and foreign currency exchange rates. See Note 12, “Derivatives and Hedging Activities” for additional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transfers of assets or liabilities between the fair value hierarchy levels, outlined above, during the fiscal years ended July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and cash equivalents, accounts receivable, accounts payable, accrued liabilities and short-term and long-term debt. See Note 5, “Long-Term Obligations” for fair value of long-term debt. The fair values of cash and cash equivalents, accounts receivable, accounts payable, and accrued liabilities approximated carrying values because of the short-term nature of these instruments.</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fiscal 2012, goodwill with a carrying amount of $163,702 in the former North/South Asia reporting unit was written down to its estimated implied fair value of $48,014, resulting in a non-cash impairment charge of $115,688. In order to arrive at the implied fair value of goodwill, the Company assigned the fair value to all of the assets and liabilities of the reporting unit as if the reporting unit had been acquired in a business combination. Intangible assets consisted of customer lists, and were valued using the income approach based upon customers in existence at the valuation date. After assigning fair value to the assets and liabilities of the reporting unit, the result was the implied fair value of goodwill of $48,014, which represented a Level 3 asset measured at fair value on a nonrecurring basis subsequent to its original recognition.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fiscal 2010, the Company continued the execution of its restructuring actions announced in fiscal 2009. As a result of these actions, the Company recorded restructuring charges of $15,314 in fiscal 2010. The restructuring charges included $10,850 of employee separation costs, $2,260 of non-cash fixed asset write-offs, $1,493 of other facility closure related costs, and $711 of contract termination costs. Of the $15,314 of restructuring charges recorded during the fiscal year ended July 31, 2010, $7,158 was incurred in the Americas, $5,350 was incurred in EMEA, and $2,806 was incurred in Asia-Pacific.</w:t>
      </w:r>
    </w:p>
    <w:p>
      <w:pPr>
        <w:spacing w:after="0" w:line="11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fiscal 2011, the Company continued executing its restructuring actions initiated in the prior periods and recorded restructuring charges of $9,188. The fiscal 2011 restructuring charges consisted of $6,341 of employee separation costs, $2,155 of non-cash fixed asset write-offs, $449 of other facility closure related costs, and $243 of contract termination costs. Of the $9,188 of restructuring charges recorded during the fiscal year ended July 31, 2011, $5,445 was incurred in the Americas, $3,340 was incurred in EMEA, and $403 was incurred in Asia-Pacific. The costs related to these restructuring activities have been recorded on the consolidated statements of income as restructuring charges.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During fiscal 2012, the Company took various measures to address its cost structure in response to weaker sales forecasts across the Company. As a result of these actions, the Company recorded restructuring charges of $12,110, which consisted of $10,944 of employee separation costs, $458 of fixed asset write-offs, $521 of other facility closure related costs, and $187 of contract termination costs. Of the $12,110 of restructuring charges recorded during fiscal 2012, $3,531 was incurred in the Americas, $6,898 was incurred in EMEA, and $1,681 was incurred in Asia-Pacific. The increase in restructuring charges in EMEA during fiscal 2012 compared to fiscal 2011 was related to the die-cut facility in Sweden. The costs related to these restructuring activities have been recorded on the consolidated statements of income as restructuring charges. The Company expects the majority of the remaining cash payments to be made during the next twelve months.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restructuring activity for fiscal 2010, 2011 and 2012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Employee</w:t>
            </w: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Related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July 31, 2009</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Restructuring charge</w:t>
            </w: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10,850</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15,314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Non-cash write-offs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(2,260)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payments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(9,240)</w:t>
            </w:r>
          </w:p>
        </w:tc>
        <w:tc>
          <w:tcPr>
            <w:tcW w:w="12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(2,975)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2010</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Restructuring charge</w:t>
            </w: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gridSpan w:val="2"/>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6,341</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Non-cash write-offs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(2,155)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payments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(10,189)</w:t>
            </w:r>
          </w:p>
        </w:tc>
        <w:tc>
          <w:tcPr>
            <w:tcW w:w="12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(749)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2011</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Restructuring charge</w:t>
            </w: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gridSpan w:val="2"/>
            <w:vMerge w:val="continue"/>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10,944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458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Non-cash write-offs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payments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2012</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9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and net investments. These contracts typically require the exchange of a foreign currency for U.S. dollars at a fixed rate at a future date, with maturities of 18 months or less, which qualify as either cash flow hedges or net investment hedges under the accounting guidance for derivative instruments and hedging activities. The primary objectives of the Company’s foreign currency exchange risk management are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July 31, 2012 and July 31, 2011, the notional amount of outstanding forward exchange contracts was $61,169 and $80,807, respectively.</w:t>
      </w:r>
    </w:p>
    <w:p>
      <w:pPr>
        <w:spacing w:after="0" w:line="14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twelve-month periods ended July 31, 2012 and 2011.</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Japanese Yen, Swiss Franc, Malaysian Ringgit and Singapore Dollar. Generally, these risk management transactions will involve the use of foreign currency derivatives to protect against exposure resulting from sales and identified inventory or other asset purchases.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has designated a portion of its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2012 and 2011, unrealized gains of $1,348 and unrealized losses of $1,535 have been included in OCI, respectively. All balances are expected to be reclassified from OCI to earnings during the next fifteen months when the hedged transactions impact earnings.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At July 31, 2012 and July 31, 2011, the Company had $1,156 and $16, respectively, of forward exchange contracts designated as cash flow hedges included in “Prepaid expenses and other current assets” on the accompanying Consolidated Balance Sheets. At July 31, 2012 and July 31, 2011, the Company had $210 and $830, respectively, of forward exchange contracts designated as cash flow hedges included in “Other current liabilities” on the accompanying Consolidated Balance Sheets. At July 31, 2012 and July 31, 2011, the U.S. dollar equivalent of these outstanding forward foreign exchange contracts totaled $39,458 and $30,519, respectively, including contracts to sell Euros, Canadian Dollars, Australian Dollars, British Pounds and U.S. Dollars.</w:t>
      </w:r>
    </w:p>
    <w:p>
      <w:pPr>
        <w:spacing w:after="0" w:line="1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During the year ended July 31, 2012, the Company designated €4,581 of intercompany loans as net investment hedges to hedge portions of its net investment in European foreign operations. No intercompany loans were designated as net investment hedges as of July 31, 2011. On May 13, 2010, the Company completed the private placement of €75.0 million aggregate principal amount of senior unsecured notes to accredited institutional investors. This Euro-denominated debt obligation was designated as a net investment hedge to hedge portions of the Company’s net investment in Euro-denominated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Euro-denominated operations. The Company’s foreign denominated debt obligations are valued under a market approach using published spot prices.</w:t>
      </w:r>
    </w:p>
    <w:p>
      <w:pPr>
        <w:spacing w:after="0" w:line="11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During the three and twelve month period ended July 31, 2012, the Company used forward foreign exchange currency contracts designated as net investment hedges to hedge portions of the Company’s net investments in Euro denominated, Singapore Dollar denominated, and Malaysian Ringgit denominated foreign operations. For hedges that meet the effectiveness requirements, the net gains or losses attributable to changes in spot exchange rates are recorded in the foreign exchange translation adjustment component of accumulated other comprehensive income where it offsets gains and losses recorded on the Company’s net investment in these foreign operations. Any ineffective portions are recognized in earnings. Recognition in earnings of amounts previously recorded in cumulative translation is limited to circumstances such as complete or substantially complete liquidation of the net investment in the hedged foreign operation. At July 31, 2012 and July 31, 2011, the Company had $71 and $5,295, respectively, of forward foreign exchange currency contracts designated as net investment hedges included in “Other current liabilities” on the Consolidated Balance Sheet. At July 31, 2012 and July 31, 2011, the U.S dollar equivalent of these outstanding forward foreign exchange contracts totaled $10,650 and $50,000,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 values of derivative instruments in the Consolidated Balance Sheets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Asset Derivatives</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380" w:type="dxa"/>
            <w:vAlign w:val="bottom"/>
            <w:tcBorders>
              <w:bottom w:val="single" w:sz="8" w:color="auto"/>
            </w:tcBorders>
            <w:gridSpan w:val="2"/>
          </w:tcPr>
          <w:p>
            <w:pPr>
              <w:ind w:left="620"/>
              <w:spacing w:after="0" w:line="156" w:lineRule="exact"/>
              <w:rPr>
                <w:sz w:val="20"/>
                <w:szCs w:val="20"/>
                <w:color w:val="auto"/>
              </w:rPr>
            </w:pPr>
            <w:r>
              <w:rPr>
                <w:rFonts w:ascii="Arial" w:cs="Arial" w:eastAsia="Arial" w:hAnsi="Arial"/>
                <w:sz w:val="14"/>
                <w:szCs w:val="14"/>
                <w:b w:val="1"/>
                <w:bCs w:val="1"/>
                <w:color w:val="auto"/>
                <w:w w:val="85"/>
              </w:rPr>
              <w:t>July 31, 2012</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gridSpan w:val="2"/>
          </w:tcPr>
          <w:p>
            <w:pPr>
              <w:ind w:left="660"/>
              <w:spacing w:after="0" w:line="156" w:lineRule="exact"/>
              <w:rPr>
                <w:sz w:val="20"/>
                <w:szCs w:val="20"/>
                <w:color w:val="auto"/>
              </w:rPr>
            </w:pPr>
            <w:r>
              <w:rPr>
                <w:rFonts w:ascii="Arial" w:cs="Arial" w:eastAsia="Arial" w:hAnsi="Arial"/>
                <w:sz w:val="14"/>
                <w:szCs w:val="14"/>
                <w:b w:val="1"/>
                <w:bCs w:val="1"/>
                <w:color w:val="auto"/>
                <w:w w:val="87"/>
              </w:rPr>
              <w:t>July 31, 2011</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gridSpan w:val="2"/>
          </w:tcPr>
          <w:p>
            <w:pPr>
              <w:jc w:val="right"/>
              <w:ind w:right="40"/>
              <w:spacing w:after="0" w:line="156" w:lineRule="exact"/>
              <w:rPr>
                <w:sz w:val="20"/>
                <w:szCs w:val="20"/>
                <w:color w:val="auto"/>
              </w:rPr>
            </w:pPr>
            <w:r>
              <w:rPr>
                <w:rFonts w:ascii="Arial" w:cs="Arial" w:eastAsia="Arial" w:hAnsi="Arial"/>
                <w:sz w:val="14"/>
                <w:szCs w:val="14"/>
                <w:b w:val="1"/>
                <w:bCs w:val="1"/>
                <w:color w:val="auto"/>
              </w:rPr>
              <w:t>July 31, 2012</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gridSpan w:val="2"/>
          </w:tcPr>
          <w:p>
            <w:pPr>
              <w:ind w:left="680"/>
              <w:spacing w:after="0" w:line="156" w:lineRule="exact"/>
              <w:rPr>
                <w:sz w:val="20"/>
                <w:szCs w:val="20"/>
                <w:color w:val="auto"/>
              </w:rPr>
            </w:pPr>
            <w:r>
              <w:rPr>
                <w:rFonts w:ascii="Arial" w:cs="Arial" w:eastAsia="Arial" w:hAnsi="Arial"/>
                <w:sz w:val="14"/>
                <w:szCs w:val="14"/>
                <w:b w:val="1"/>
                <w:bCs w:val="1"/>
                <w:color w:val="auto"/>
                <w:w w:val="87"/>
              </w:rPr>
              <w:t>July 31, 2011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600" w:type="dxa"/>
            <w:vAlign w:val="bottom"/>
            <w:gridSpan w:val="3"/>
            <w:vMerge w:val="continue"/>
          </w:tcPr>
          <w:p>
            <w:pPr>
              <w:spacing w:after="0"/>
              <w:rPr>
                <w:sz w:val="10"/>
                <w:szCs w:val="10"/>
                <w:color w:val="auto"/>
              </w:rPr>
            </w:pPr>
          </w:p>
        </w:tc>
        <w:tc>
          <w:tcPr>
            <w:tcW w:w="1380" w:type="dxa"/>
            <w:vAlign w:val="bottom"/>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99"/>
              </w:rPr>
              <w:t>Balance Sheet</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40"/>
              <w:spacing w:after="0" w:line="116" w:lineRule="exact"/>
              <w:rPr>
                <w:sz w:val="20"/>
                <w:szCs w:val="20"/>
                <w:color w:val="auto"/>
              </w:rPr>
            </w:pPr>
            <w:r>
              <w:rPr>
                <w:rFonts w:ascii="Arial" w:cs="Arial" w:eastAsia="Arial" w:hAnsi="Arial"/>
                <w:sz w:val="12"/>
                <w:szCs w:val="12"/>
                <w:b w:val="1"/>
                <w:bCs w:val="1"/>
                <w:color w:val="auto"/>
                <w:w w:val="97"/>
              </w:rPr>
              <w:t>Balance Sheet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right"/>
              <w:ind w:right="360"/>
              <w:spacing w:after="0" w:line="116" w:lineRule="exact"/>
              <w:rPr>
                <w:sz w:val="20"/>
                <w:szCs w:val="20"/>
                <w:color w:val="auto"/>
              </w:rPr>
            </w:pPr>
            <w:r>
              <w:rPr>
                <w:rFonts w:ascii="Arial" w:cs="Arial" w:eastAsia="Arial" w:hAnsi="Arial"/>
                <w:sz w:val="12"/>
                <w:szCs w:val="12"/>
                <w:b w:val="1"/>
                <w:bCs w:val="1"/>
                <w:color w:val="auto"/>
              </w:rPr>
              <w:t>Balance Sheet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40"/>
              <w:spacing w:after="0" w:line="116" w:lineRule="exact"/>
              <w:rPr>
                <w:sz w:val="20"/>
                <w:szCs w:val="20"/>
                <w:color w:val="auto"/>
              </w:rPr>
            </w:pPr>
            <w:r>
              <w:rPr>
                <w:rFonts w:ascii="Arial" w:cs="Arial" w:eastAsia="Arial" w:hAnsi="Arial"/>
                <w:sz w:val="12"/>
                <w:szCs w:val="12"/>
                <w:b w:val="1"/>
                <w:bCs w:val="1"/>
                <w:color w:val="auto"/>
                <w:w w:val="99"/>
              </w:rPr>
              <w:t>Balance Sheet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6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hedging instruments</w:t>
            </w:r>
          </w:p>
        </w:tc>
        <w:tc>
          <w:tcPr>
            <w:tcW w:w="138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5"/>
              </w:rPr>
              <w:t>Location</w:t>
            </w:r>
          </w:p>
        </w:tc>
        <w:tc>
          <w:tcPr>
            <w:tcW w:w="7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Fair Value</w:t>
            </w:r>
          </w:p>
        </w:tc>
        <w:tc>
          <w:tcPr>
            <w:tcW w:w="144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9"/>
              </w:rPr>
              <w:t>Location</w:t>
            </w:r>
          </w:p>
        </w:tc>
        <w:tc>
          <w:tcPr>
            <w:tcW w:w="40" w:type="dxa"/>
            <w:vAlign w:val="bottom"/>
          </w:tcPr>
          <w:p>
            <w:pPr>
              <w:spacing w:after="0"/>
              <w:rPr>
                <w:sz w:val="14"/>
                <w:szCs w:val="14"/>
                <w:color w:val="auto"/>
              </w:rPr>
            </w:pPr>
          </w:p>
        </w:tc>
        <w:tc>
          <w:tcPr>
            <w:tcW w:w="7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Fair Value</w:t>
            </w:r>
          </w:p>
        </w:tc>
        <w:tc>
          <w:tcPr>
            <w:tcW w:w="1460" w:type="dxa"/>
            <w:vAlign w:val="bottom"/>
            <w:gridSpan w:val="2"/>
          </w:tcPr>
          <w:p>
            <w:pPr>
              <w:jc w:val="right"/>
              <w:ind w:right="500"/>
              <w:spacing w:after="0" w:line="141" w:lineRule="exact"/>
              <w:rPr>
                <w:sz w:val="20"/>
                <w:szCs w:val="20"/>
                <w:color w:val="auto"/>
              </w:rPr>
            </w:pPr>
            <w:r>
              <w:rPr>
                <w:rFonts w:ascii="Arial" w:cs="Arial" w:eastAsia="Arial" w:hAnsi="Arial"/>
                <w:sz w:val="14"/>
                <w:szCs w:val="14"/>
                <w:b w:val="1"/>
                <w:bCs w:val="1"/>
                <w:color w:val="auto"/>
              </w:rPr>
              <w:t>Location</w:t>
            </w:r>
          </w:p>
        </w:tc>
        <w:tc>
          <w:tcPr>
            <w:tcW w:w="40" w:type="dxa"/>
            <w:vAlign w:val="bottom"/>
          </w:tcPr>
          <w:p>
            <w:pPr>
              <w:spacing w:after="0"/>
              <w:rPr>
                <w:sz w:val="14"/>
                <w:szCs w:val="14"/>
                <w:color w:val="auto"/>
              </w:rPr>
            </w:pPr>
          </w:p>
        </w:tc>
        <w:tc>
          <w:tcPr>
            <w:tcW w:w="76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Fair Value</w:t>
            </w:r>
          </w:p>
        </w:tc>
        <w:tc>
          <w:tcPr>
            <w:tcW w:w="146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85"/>
              </w:rPr>
              <w:t>Location</w:t>
            </w:r>
          </w:p>
        </w:tc>
        <w:tc>
          <w:tcPr>
            <w:tcW w:w="40" w:type="dxa"/>
            <w:vAlign w:val="bottom"/>
          </w:tcPr>
          <w:p>
            <w:pPr>
              <w:spacing w:after="0"/>
              <w:rPr>
                <w:sz w:val="14"/>
                <w:szCs w:val="14"/>
                <w:color w:val="auto"/>
              </w:rPr>
            </w:pPr>
          </w:p>
        </w:tc>
        <w:tc>
          <w:tcPr>
            <w:tcW w:w="6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5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color w:val="auto"/>
              </w:rPr>
              <w:t>Cash flow hedges</w:t>
            </w: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Foreign exchange contracts</w:t>
            </w:r>
          </w:p>
        </w:tc>
        <w:tc>
          <w:tcPr>
            <w:tcW w:w="13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1"/>
              </w:rPr>
              <w:t>Prepaid expenses and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Prepaid expenses</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1,156</w:t>
            </w:r>
          </w:p>
        </w:tc>
        <w:tc>
          <w:tcPr>
            <w:tcW w:w="14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1"/>
              </w:rPr>
              <w:t>and other current assets</w:t>
            </w:r>
          </w:p>
        </w:tc>
        <w:tc>
          <w:tcPr>
            <w:tcW w:w="3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16</w:t>
            </w:r>
          </w:p>
        </w:tc>
        <w:tc>
          <w:tcPr>
            <w:tcW w:w="1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9"/>
              </w:rPr>
              <w:t>Other current liabilities</w:t>
            </w:r>
          </w:p>
        </w:tc>
        <w:tc>
          <w:tcPr>
            <w:tcW w:w="12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210</w:t>
            </w:r>
          </w:p>
        </w:tc>
        <w:tc>
          <w:tcPr>
            <w:tcW w:w="1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Other current liabilities</w:t>
            </w:r>
          </w:p>
        </w:tc>
        <w:tc>
          <w:tcPr>
            <w:tcW w:w="1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830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investment hedges</w:t>
            </w: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Foreign exchange contracts</w:t>
            </w:r>
          </w:p>
        </w:tc>
        <w:tc>
          <w:tcPr>
            <w:tcW w:w="13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1"/>
              </w:rPr>
              <w:t>Prepaid expenses and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w w:val="99"/>
              </w:rPr>
              <w:t>Prepaid expenses and</w:t>
            </w:r>
          </w:p>
        </w:tc>
        <w:tc>
          <w:tcPr>
            <w:tcW w:w="3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other current assets</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9"/>
              </w:rPr>
              <w:t>Other current liabilities</w:t>
            </w:r>
          </w:p>
        </w:tc>
        <w:tc>
          <w:tcPr>
            <w:tcW w:w="12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71</w:t>
            </w:r>
          </w:p>
        </w:tc>
        <w:tc>
          <w:tcPr>
            <w:tcW w:w="1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Other current liabilities</w:t>
            </w:r>
          </w:p>
        </w:tc>
        <w:tc>
          <w:tcPr>
            <w:tcW w:w="1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5,295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rPr>
              <w:t>Foreign currency denominated debt</w:t>
            </w:r>
          </w:p>
        </w:tc>
        <w:tc>
          <w:tcPr>
            <w:tcW w:w="13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91"/>
              </w:rPr>
              <w:t>Prepaid expenses and</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w w:val="99"/>
              </w:rPr>
              <w:t>Prepaid expenses and</w:t>
            </w: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Long term obligations,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Long term obligations,</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other current assets</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less current maturities</w:t>
            </w:r>
          </w:p>
        </w:tc>
        <w:tc>
          <w:tcPr>
            <w:tcW w:w="1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99,081</w:t>
            </w:r>
          </w:p>
        </w:tc>
        <w:tc>
          <w:tcPr>
            <w:tcW w:w="14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less current maturities</w:t>
            </w:r>
          </w:p>
        </w:tc>
        <w:tc>
          <w:tcPr>
            <w:tcW w:w="1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107,985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00" w:type="dxa"/>
            <w:vAlign w:val="bottom"/>
            <w:gridSpan w:val="3"/>
          </w:tcPr>
          <w:p>
            <w:pPr>
              <w:spacing w:after="0" w:line="145" w:lineRule="exact"/>
              <w:rPr>
                <w:sz w:val="20"/>
                <w:szCs w:val="20"/>
                <w:color w:val="auto"/>
              </w:rPr>
            </w:pPr>
            <w:r>
              <w:rPr>
                <w:rFonts w:ascii="Arial" w:cs="Arial" w:eastAsia="Arial" w:hAnsi="Arial"/>
                <w:sz w:val="14"/>
                <w:szCs w:val="14"/>
                <w:color w:val="auto"/>
                <w:w w:val="98"/>
              </w:rPr>
              <w:t>Total  derivatives  designated  as  hedging</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instruments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1,156</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16</w:t>
            </w: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99,362</w:t>
            </w: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4"/>
              </w:rPr>
              <w:t>114,110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gridSpan w:val="2"/>
            <w:shd w:val="clear" w:color="auto" w:fill="CCEEFF"/>
          </w:tcPr>
          <w:p>
            <w:pPr>
              <w:ind w:left="200"/>
              <w:spacing w:after="0" w:line="132" w:lineRule="exact"/>
              <w:rPr>
                <w:sz w:val="20"/>
                <w:szCs w:val="20"/>
                <w:color w:val="auto"/>
              </w:rPr>
            </w:pPr>
            <w:r>
              <w:rPr>
                <w:rFonts w:ascii="Arial" w:cs="Arial" w:eastAsia="Arial" w:hAnsi="Arial"/>
                <w:sz w:val="14"/>
                <w:szCs w:val="14"/>
                <w:color w:val="auto"/>
                <w:w w:val="93"/>
              </w:rPr>
              <w:t>Derivatives  not  designated  as  hedging</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instruments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Foreign exchange contracts</w:t>
            </w:r>
          </w:p>
        </w:tc>
        <w:tc>
          <w:tcPr>
            <w:tcW w:w="138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1"/>
              </w:rPr>
              <w:t>Prepaid expenses and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w w:val="99"/>
              </w:rPr>
              <w:t>Prepaid expenses and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78</w:t>
            </w:r>
          </w:p>
        </w:tc>
        <w:tc>
          <w:tcPr>
            <w:tcW w:w="14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other current assets</w:t>
            </w:r>
          </w:p>
        </w:tc>
        <w:tc>
          <w:tcPr>
            <w:tcW w:w="3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w:t>
            </w:r>
          </w:p>
        </w:tc>
        <w:tc>
          <w:tcPr>
            <w:tcW w:w="1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9"/>
              </w:rPr>
              <w:t>Other current liabilities</w:t>
            </w:r>
          </w:p>
        </w:tc>
        <w:tc>
          <w:tcPr>
            <w:tcW w:w="12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Other current liabilities</w:t>
            </w:r>
          </w:p>
        </w:tc>
        <w:tc>
          <w:tcPr>
            <w:tcW w:w="1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Total derivatives not designated as hedging</w:t>
            </w: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instruments</w:t>
            </w: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78</w:t>
            </w:r>
          </w:p>
        </w:tc>
        <w:tc>
          <w:tcPr>
            <w:tcW w:w="1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w:t>
            </w:r>
          </w:p>
        </w:tc>
        <w:tc>
          <w:tcPr>
            <w:tcW w:w="1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pre-tax effects of derivative instruments designated as cash flow hedges on the Consolidated Statements of Income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5"/>
          </w:tcPr>
          <w:p>
            <w:pPr>
              <w:jc w:val="center"/>
              <w:ind w:right="238"/>
              <w:spacing w:after="0"/>
              <w:rPr>
                <w:sz w:val="20"/>
                <w:szCs w:val="20"/>
                <w:color w:val="auto"/>
              </w:rPr>
            </w:pPr>
            <w:r>
              <w:rPr>
                <w:rFonts w:ascii="Arial" w:cs="Arial" w:eastAsia="Arial" w:hAnsi="Arial"/>
                <w:sz w:val="14"/>
                <w:szCs w:val="14"/>
                <w:b w:val="1"/>
                <w:bCs w:val="1"/>
                <w:color w:val="auto"/>
                <w:w w:val="89"/>
              </w:rPr>
              <w:t>Amount of Gain</w:t>
            </w: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Location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0" w:type="dxa"/>
            <w:vAlign w:val="bottom"/>
            <w:gridSpan w:val="4"/>
          </w:tcPr>
          <w:p>
            <w:pPr>
              <w:jc w:val="center"/>
              <w:ind w:right="138"/>
              <w:spacing w:after="0" w:line="135" w:lineRule="exact"/>
              <w:rPr>
                <w:sz w:val="20"/>
                <w:szCs w:val="20"/>
                <w:color w:val="auto"/>
              </w:rPr>
            </w:pPr>
            <w:r>
              <w:rPr>
                <w:rFonts w:ascii="Arial" w:cs="Arial" w:eastAsia="Arial" w:hAnsi="Arial"/>
                <w:sz w:val="14"/>
                <w:szCs w:val="14"/>
                <w:b w:val="1"/>
                <w:bCs w:val="1"/>
                <w:color w:val="auto"/>
                <w:w w:val="89"/>
              </w:rPr>
              <w:t>Amount of Gain or</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jc w:val="center"/>
              <w:ind w:right="618"/>
              <w:spacing w:after="0" w:line="135" w:lineRule="exact"/>
              <w:rPr>
                <w:sz w:val="20"/>
                <w:szCs w:val="20"/>
                <w:color w:val="auto"/>
              </w:rPr>
            </w:pPr>
            <w:r>
              <w:rPr>
                <w:rFonts w:ascii="Arial" w:cs="Arial" w:eastAsia="Arial" w:hAnsi="Arial"/>
                <w:sz w:val="14"/>
                <w:szCs w:val="14"/>
                <w:b w:val="1"/>
                <w:bCs w:val="1"/>
                <w:color w:val="auto"/>
                <w:w w:val="86"/>
              </w:rPr>
              <w:t>or (Loss)</w:t>
            </w:r>
          </w:p>
        </w:tc>
        <w:tc>
          <w:tcPr>
            <w:tcW w:w="1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6"/>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3"/>
          </w:tcPr>
          <w:p>
            <w:pPr>
              <w:jc w:val="center"/>
              <w:ind w:right="618"/>
              <w:spacing w:after="0" w:line="14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5"/>
          </w:tcPr>
          <w:p>
            <w:pPr>
              <w:jc w:val="center"/>
              <w:ind w:right="218"/>
              <w:spacing w:after="0" w:line="149" w:lineRule="exact"/>
              <w:rPr>
                <w:sz w:val="20"/>
                <w:szCs w:val="20"/>
                <w:color w:val="auto"/>
              </w:rPr>
            </w:pPr>
            <w:r>
              <w:rPr>
                <w:rFonts w:ascii="Arial" w:cs="Arial" w:eastAsia="Arial" w:hAnsi="Arial"/>
                <w:sz w:val="14"/>
                <w:szCs w:val="14"/>
                <w:b w:val="1"/>
                <w:bCs w:val="1"/>
                <w:color w:val="auto"/>
                <w:w w:val="86"/>
              </w:rPr>
              <w:t>Reclassified From</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Gain or (Loss)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0" w:type="dxa"/>
            <w:vAlign w:val="bottom"/>
            <w:gridSpan w:val="4"/>
          </w:tcPr>
          <w:p>
            <w:pPr>
              <w:jc w:val="center"/>
              <w:ind w:right="118"/>
              <w:spacing w:after="0" w:line="149" w:lineRule="exact"/>
              <w:rPr>
                <w:sz w:val="20"/>
                <w:szCs w:val="20"/>
                <w:color w:val="auto"/>
              </w:rPr>
            </w:pPr>
            <w:r>
              <w:rPr>
                <w:rFonts w:ascii="Arial" w:cs="Arial" w:eastAsia="Arial" w:hAnsi="Arial"/>
                <w:sz w:val="14"/>
                <w:szCs w:val="14"/>
                <w:b w:val="1"/>
                <w:bCs w:val="1"/>
                <w:color w:val="auto"/>
                <w:w w:val="88"/>
              </w:rPr>
              <w:t>Recognized in OCI on</w:t>
            </w:r>
          </w:p>
        </w:tc>
        <w:tc>
          <w:tcPr>
            <w:tcW w:w="120" w:type="dxa"/>
            <w:vAlign w:val="bottom"/>
          </w:tcPr>
          <w:p>
            <w:pPr>
              <w:spacing w:after="0"/>
              <w:rPr>
                <w:sz w:val="12"/>
                <w:szCs w:val="12"/>
                <w:color w:val="auto"/>
              </w:rPr>
            </w:pP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1620" w:type="dxa"/>
            <w:vAlign w:val="bottom"/>
            <w:gridSpan w:val="5"/>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Accumulated OCI</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00" w:type="dxa"/>
            <w:vAlign w:val="bottom"/>
          </w:tcPr>
          <w:p>
            <w:pPr>
              <w:spacing w:after="0"/>
              <w:rPr>
                <w:sz w:val="12"/>
                <w:szCs w:val="12"/>
                <w:color w:val="auto"/>
              </w:rPr>
            </w:pPr>
          </w:p>
        </w:tc>
        <w:tc>
          <w:tcPr>
            <w:tcW w:w="13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0" w:type="dxa"/>
            <w:vAlign w:val="bottom"/>
            <w:gridSpan w:val="4"/>
          </w:tcPr>
          <w:p>
            <w:pPr>
              <w:jc w:val="center"/>
              <w:ind w:right="118"/>
              <w:spacing w:after="0" w:line="149" w:lineRule="exact"/>
              <w:rPr>
                <w:sz w:val="20"/>
                <w:szCs w:val="20"/>
                <w:color w:val="auto"/>
              </w:rPr>
            </w:pPr>
            <w:r>
              <w:rPr>
                <w:rFonts w:ascii="Arial" w:cs="Arial" w:eastAsia="Arial" w:hAnsi="Arial"/>
                <w:sz w:val="14"/>
                <w:szCs w:val="14"/>
                <w:b w:val="1"/>
                <w:bCs w:val="1"/>
                <w:color w:val="auto"/>
                <w:w w:val="89"/>
              </w:rPr>
              <w:t>Derivative</w:t>
            </w: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(Loss) Reclassified</w:t>
            </w:r>
          </w:p>
        </w:tc>
        <w:tc>
          <w:tcPr>
            <w:tcW w:w="1620" w:type="dxa"/>
            <w:vAlign w:val="bottom"/>
            <w:gridSpan w:val="5"/>
          </w:tcPr>
          <w:p>
            <w:pPr>
              <w:jc w:val="center"/>
              <w:ind w:right="238"/>
              <w:spacing w:after="0" w:line="149" w:lineRule="exact"/>
              <w:rPr>
                <w:sz w:val="20"/>
                <w:szCs w:val="20"/>
                <w:color w:val="auto"/>
              </w:rPr>
            </w:pPr>
            <w:r>
              <w:rPr>
                <w:rFonts w:ascii="Arial" w:cs="Arial" w:eastAsia="Arial" w:hAnsi="Arial"/>
                <w:sz w:val="14"/>
                <w:szCs w:val="14"/>
                <w:b w:val="1"/>
                <w:bCs w:val="1"/>
                <w:color w:val="auto"/>
                <w:w w:val="89"/>
              </w:rPr>
              <w:t>Into Income</w:t>
            </w:r>
          </w:p>
        </w:tc>
        <w:tc>
          <w:tcPr>
            <w:tcW w:w="1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Income on</w:t>
            </w:r>
          </w:p>
        </w:tc>
        <w:tc>
          <w:tcPr>
            <w:tcW w:w="146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Income on Derivative</w:t>
            </w:r>
          </w:p>
        </w:tc>
        <w:tc>
          <w:tcPr>
            <w:tcW w:w="0" w:type="dxa"/>
            <w:vAlign w:val="bottom"/>
          </w:tcPr>
          <w:p>
            <w:pPr>
              <w:spacing w:after="0"/>
              <w:rPr>
                <w:sz w:val="1"/>
                <w:szCs w:val="1"/>
                <w:color w:val="auto"/>
              </w:rPr>
            </w:pPr>
          </w:p>
        </w:tc>
      </w:tr>
      <w:tr>
        <w:trPr>
          <w:trHeight w:val="17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Derivatives in</w:t>
            </w:r>
          </w:p>
        </w:tc>
        <w:tc>
          <w:tcPr>
            <w:tcW w:w="820" w:type="dxa"/>
            <w:vAlign w:val="bottom"/>
          </w:tcPr>
          <w:p>
            <w:pPr>
              <w:spacing w:after="0"/>
              <w:rPr>
                <w:sz w:val="15"/>
                <w:szCs w:val="15"/>
                <w:color w:val="auto"/>
              </w:rPr>
            </w:pPr>
          </w:p>
        </w:tc>
        <w:tc>
          <w:tcPr>
            <w:tcW w:w="1600" w:type="dxa"/>
            <w:vAlign w:val="bottom"/>
            <w:gridSpan w:val="4"/>
          </w:tcPr>
          <w:p>
            <w:pPr>
              <w:jc w:val="center"/>
              <w:ind w:right="118"/>
              <w:spacing w:after="0"/>
              <w:rPr>
                <w:sz w:val="20"/>
                <w:szCs w:val="20"/>
                <w:color w:val="auto"/>
              </w:rPr>
            </w:pPr>
            <w:r>
              <w:rPr>
                <w:rFonts w:ascii="Arial" w:cs="Arial" w:eastAsia="Arial" w:hAnsi="Arial"/>
                <w:sz w:val="14"/>
                <w:szCs w:val="14"/>
                <w:b w:val="1"/>
                <w:bCs w:val="1"/>
                <w:color w:val="auto"/>
                <w:w w:val="89"/>
              </w:rPr>
              <w:t>(Effective Portion)</w:t>
            </w:r>
          </w:p>
        </w:tc>
        <w:tc>
          <w:tcPr>
            <w:tcW w:w="12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From Accumulated</w:t>
            </w:r>
          </w:p>
        </w:tc>
        <w:tc>
          <w:tcPr>
            <w:tcW w:w="1620" w:type="dxa"/>
            <w:vAlign w:val="bottom"/>
            <w:gridSpan w:val="5"/>
          </w:tcPr>
          <w:p>
            <w:pPr>
              <w:jc w:val="center"/>
              <w:ind w:right="218"/>
              <w:spacing w:after="0"/>
              <w:rPr>
                <w:sz w:val="20"/>
                <w:szCs w:val="20"/>
                <w:color w:val="auto"/>
              </w:rPr>
            </w:pPr>
            <w:r>
              <w:rPr>
                <w:rFonts w:ascii="Arial" w:cs="Arial" w:eastAsia="Arial" w:hAnsi="Arial"/>
                <w:sz w:val="14"/>
                <w:szCs w:val="14"/>
                <w:b w:val="1"/>
                <w:bCs w:val="1"/>
                <w:color w:val="auto"/>
                <w:w w:val="89"/>
              </w:rPr>
              <w:t>(Effective Portion)</w:t>
            </w: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5"/>
                <w:szCs w:val="15"/>
                <w:color w:val="auto"/>
              </w:rPr>
            </w:pPr>
          </w:p>
        </w:tc>
        <w:tc>
          <w:tcPr>
            <w:tcW w:w="13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142"/>
        </w:trPr>
        <w:tc>
          <w:tcPr>
            <w:tcW w:w="2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 Hedging</w:t>
            </w:r>
          </w:p>
        </w:tc>
        <w:tc>
          <w:tcPr>
            <w:tcW w:w="820" w:type="dxa"/>
            <w:vAlign w:val="bottom"/>
          </w:tcPr>
          <w:p>
            <w:pPr>
              <w:spacing w:after="0"/>
              <w:rPr>
                <w:sz w:val="12"/>
                <w:szCs w:val="12"/>
                <w:color w:val="auto"/>
              </w:rPr>
            </w:pPr>
          </w:p>
        </w:tc>
        <w:tc>
          <w:tcPr>
            <w:tcW w:w="14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Year Ended July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OCI into Income</w:t>
            </w:r>
          </w:p>
        </w:tc>
        <w:tc>
          <w:tcPr>
            <w:tcW w:w="130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Year Ended July 31,</w:t>
            </w:r>
          </w:p>
        </w:tc>
        <w:tc>
          <w:tcPr>
            <w:tcW w:w="320" w:type="dxa"/>
            <w:vAlign w:val="bottom"/>
          </w:tcPr>
          <w:p>
            <w:pPr>
              <w:spacing w:after="0"/>
              <w:rPr>
                <w:sz w:val="12"/>
                <w:szCs w:val="12"/>
                <w:color w:val="auto"/>
              </w:rPr>
            </w:pPr>
          </w:p>
        </w:tc>
        <w:tc>
          <w:tcPr>
            <w:tcW w:w="15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(Ineffective</w:t>
            </w: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5"/>
          </w:tcPr>
          <w:p>
            <w:pPr>
              <w:jc w:val="center"/>
              <w:ind w:right="19"/>
              <w:spacing w:after="0" w:line="142" w:lineRule="exact"/>
              <w:rPr>
                <w:sz w:val="20"/>
                <w:szCs w:val="20"/>
                <w:color w:val="auto"/>
              </w:rPr>
            </w:pPr>
            <w:r>
              <w:rPr>
                <w:rFonts w:ascii="Arial" w:cs="Arial" w:eastAsia="Arial" w:hAnsi="Arial"/>
                <w:sz w:val="14"/>
                <w:szCs w:val="14"/>
                <w:b w:val="1"/>
                <w:bCs w:val="1"/>
                <w:color w:val="auto"/>
                <w:w w:val="87"/>
              </w:rPr>
              <w:t>Year Ended July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Relationships</w:t>
            </w:r>
          </w:p>
        </w:tc>
        <w:tc>
          <w:tcPr>
            <w:tcW w:w="1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92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90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5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Portion)</w:t>
            </w:r>
          </w:p>
        </w:tc>
        <w:tc>
          <w:tcPr>
            <w:tcW w:w="100" w:type="dxa"/>
            <w:vAlign w:val="bottom"/>
          </w:tcPr>
          <w:p>
            <w:pPr>
              <w:spacing w:after="0"/>
              <w:rPr>
                <w:sz w:val="12"/>
                <w:szCs w:val="12"/>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8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$ 1,348</w:t>
            </w: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(1,535</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Cost of goods sold</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$ 494</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(1,781</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Cost of goods sold</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center"/>
              <w:ind w:left="732"/>
              <w:spacing w:after="0"/>
              <w:rPr>
                <w:sz w:val="20"/>
                <w:szCs w:val="20"/>
                <w:color w:val="auto"/>
              </w:rPr>
            </w:pPr>
            <w:r>
              <w:rPr>
                <w:rFonts w:ascii="Arial" w:cs="Arial" w:eastAsia="Arial" w:hAnsi="Arial"/>
                <w:sz w:val="18"/>
                <w:szCs w:val="18"/>
                <w:color w:val="auto"/>
                <w:w w:val="83"/>
              </w:rPr>
              <w:t>$ 1,348</w:t>
            </w:r>
          </w:p>
        </w:tc>
        <w:tc>
          <w:tcPr>
            <w:tcW w:w="1100" w:type="dxa"/>
            <w:vAlign w:val="bottom"/>
            <w:gridSpan w:val="3"/>
          </w:tcPr>
          <w:p>
            <w:pPr>
              <w:jc w:val="right"/>
              <w:ind w:right="38"/>
              <w:spacing w:after="0"/>
              <w:rPr>
                <w:sz w:val="20"/>
                <w:szCs w:val="20"/>
                <w:color w:val="auto"/>
              </w:rPr>
            </w:pPr>
            <w:r>
              <w:rPr>
                <w:rFonts w:ascii="Arial" w:cs="Arial" w:eastAsia="Arial" w:hAnsi="Arial"/>
                <w:sz w:val="18"/>
                <w:szCs w:val="18"/>
                <w:color w:val="auto"/>
              </w:rPr>
              <w:t>$ (1,535)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84"/>
              </w:rPr>
              <w:t>$ 494</w:t>
            </w:r>
          </w:p>
        </w:tc>
        <w:tc>
          <w:tcPr>
            <w:tcW w:w="1220" w:type="dxa"/>
            <w:vAlign w:val="bottom"/>
            <w:gridSpan w:val="3"/>
          </w:tcPr>
          <w:p>
            <w:pPr>
              <w:jc w:val="right"/>
              <w:ind w:right="178"/>
              <w:spacing w:after="0"/>
              <w:rPr>
                <w:sz w:val="20"/>
                <w:szCs w:val="20"/>
                <w:color w:val="auto"/>
              </w:rPr>
            </w:pPr>
            <w:r>
              <w:rPr>
                <w:rFonts w:ascii="Arial" w:cs="Arial" w:eastAsia="Arial" w:hAnsi="Arial"/>
                <w:sz w:val="18"/>
                <w:szCs w:val="18"/>
                <w:color w:val="auto"/>
              </w:rPr>
              <w:t>$ (1,781)</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vMerge w:val="restart"/>
          </w:tcPr>
          <w:p>
            <w:pPr>
              <w:jc w:val="right"/>
              <w:ind w:right="749"/>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pre-tax effects of derivative instruments designated as net investment hedges on the Consolidated Balance Sheet consisted of the following: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Derivatives in</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Investment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Hedging</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 of Gain or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Recognized in OCI on</w:t>
      </w:r>
    </w:p>
    <w:p>
      <w:pPr>
        <w:jc w:val="center"/>
        <w:spacing w:after="0" w:line="221" w:lineRule="auto"/>
        <w:rPr>
          <w:sz w:val="20"/>
          <w:szCs w:val="20"/>
          <w:color w:val="auto"/>
        </w:rPr>
      </w:pPr>
      <w:r>
        <w:rPr>
          <w:rFonts w:ascii="Arial" w:cs="Arial" w:eastAsia="Arial" w:hAnsi="Arial"/>
          <w:sz w:val="14"/>
          <w:szCs w:val="14"/>
          <w:b w:val="1"/>
          <w:bCs w:val="1"/>
          <w:color w:val="auto"/>
        </w:rPr>
        <w:t>Derivative</w:t>
      </w:r>
    </w:p>
    <w:p>
      <w:pPr>
        <w:jc w:val="center"/>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9861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9861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20"/>
        <w:spacing w:after="0" w:line="203" w:lineRule="auto"/>
        <w:tabs>
          <w:tab w:leader="none" w:pos="106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Amount of Gain</w:t>
            </w:r>
          </w:p>
        </w:tc>
        <w:tc>
          <w:tcPr>
            <w:tcW w:w="182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87"/>
              </w:rPr>
              <w:t>Location of</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jc w:val="center"/>
              <w:ind w:right="352"/>
              <w:spacing w:after="0" w:line="135" w:lineRule="exact"/>
              <w:rPr>
                <w:sz w:val="20"/>
                <w:szCs w:val="20"/>
                <w:color w:val="auto"/>
              </w:rPr>
            </w:pPr>
            <w:r>
              <w:rPr>
                <w:rFonts w:ascii="Arial" w:cs="Arial" w:eastAsia="Arial" w:hAnsi="Arial"/>
                <w:sz w:val="14"/>
                <w:szCs w:val="14"/>
                <w:b w:val="1"/>
                <w:bCs w:val="1"/>
                <w:color w:val="auto"/>
                <w:w w:val="83"/>
              </w:rPr>
              <w:t>or (Loss)</w:t>
            </w:r>
          </w:p>
        </w:tc>
        <w:tc>
          <w:tcPr>
            <w:tcW w:w="1820" w:type="dxa"/>
            <w:vAlign w:val="bottom"/>
            <w:vMerge w:val="continue"/>
          </w:tcPr>
          <w:p>
            <w:pPr>
              <w:spacing w:after="0"/>
              <w:rPr>
                <w:sz w:val="11"/>
                <w:szCs w:val="11"/>
                <w:color w:val="auto"/>
              </w:rPr>
            </w:pPr>
          </w:p>
        </w:tc>
        <w:tc>
          <w:tcPr>
            <w:tcW w:w="1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Amount of Gain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Reclassified From</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 or (Loss)</w:t>
            </w:r>
          </w:p>
        </w:tc>
        <w:tc>
          <w:tcPr>
            <w:tcW w:w="440" w:type="dxa"/>
            <w:vAlign w:val="bottom"/>
          </w:tcPr>
          <w:p>
            <w:pPr>
              <w:spacing w:after="0"/>
              <w:rPr>
                <w:sz w:val="12"/>
                <w:szCs w:val="12"/>
                <w:color w:val="auto"/>
              </w:rPr>
            </w:pPr>
          </w:p>
        </w:tc>
        <w:tc>
          <w:tcPr>
            <w:tcW w:w="1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3"/>
              </w:rPr>
              <w:t>or (Loss)</w:t>
            </w:r>
          </w:p>
        </w:tc>
        <w:tc>
          <w:tcPr>
            <w:tcW w:w="0" w:type="dxa"/>
            <w:vAlign w:val="bottom"/>
          </w:tcPr>
          <w:p>
            <w:pPr>
              <w:spacing w:after="0"/>
              <w:rPr>
                <w:sz w:val="1"/>
                <w:szCs w:val="1"/>
                <w:color w:val="auto"/>
              </w:rPr>
            </w:pPr>
          </w:p>
        </w:tc>
      </w:tr>
      <w:tr>
        <w:trPr>
          <w:trHeight w:val="149"/>
        </w:trPr>
        <w:tc>
          <w:tcPr>
            <w:tcW w:w="144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7"/>
              </w:rPr>
              <w:t>Location of Gain or</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OCI</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0" w:type="dxa"/>
            <w:vAlign w:val="bottom"/>
          </w:tcPr>
          <w:p>
            <w:pPr>
              <w:spacing w:after="0"/>
              <w:rPr>
                <w:sz w:val="1"/>
                <w:szCs w:val="1"/>
                <w:color w:val="auto"/>
              </w:rPr>
            </w:pPr>
          </w:p>
        </w:tc>
      </w:tr>
      <w:tr>
        <w:trPr>
          <w:trHeight w:val="149"/>
        </w:trPr>
        <w:tc>
          <w:tcPr>
            <w:tcW w:w="144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4"/>
              </w:rPr>
              <w:t>(Loss) Reclassified</w:t>
            </w: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Into Income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Income on</w:t>
            </w: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Income on Derivative</w:t>
            </w:r>
          </w:p>
        </w:tc>
        <w:tc>
          <w:tcPr>
            <w:tcW w:w="0" w:type="dxa"/>
            <w:vAlign w:val="bottom"/>
          </w:tcPr>
          <w:p>
            <w:pPr>
              <w:spacing w:after="0"/>
              <w:rPr>
                <w:sz w:val="1"/>
                <w:szCs w:val="1"/>
                <w:color w:val="auto"/>
              </w:rPr>
            </w:pPr>
          </w:p>
        </w:tc>
      </w:tr>
      <w:tr>
        <w:trPr>
          <w:trHeight w:val="175"/>
        </w:trPr>
        <w:tc>
          <w:tcPr>
            <w:tcW w:w="1440" w:type="dxa"/>
            <w:vAlign w:val="bottom"/>
          </w:tcPr>
          <w:p>
            <w:pPr>
              <w:jc w:val="center"/>
              <w:ind w:right="252"/>
              <w:spacing w:after="0"/>
              <w:rPr>
                <w:sz w:val="20"/>
                <w:szCs w:val="20"/>
                <w:color w:val="auto"/>
              </w:rPr>
            </w:pPr>
            <w:r>
              <w:rPr>
                <w:rFonts w:ascii="Arial" w:cs="Arial" w:eastAsia="Arial" w:hAnsi="Arial"/>
                <w:sz w:val="14"/>
                <w:szCs w:val="14"/>
                <w:b w:val="1"/>
                <w:bCs w:val="1"/>
                <w:color w:val="auto"/>
                <w:w w:val="88"/>
              </w:rPr>
              <w:t>From Accumulated</w:t>
            </w: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9"/>
              </w:rPr>
              <w:t>Derivative</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(Ineffective Portion)</w:t>
            </w:r>
          </w:p>
        </w:tc>
        <w:tc>
          <w:tcPr>
            <w:tcW w:w="0" w:type="dxa"/>
            <w:vAlign w:val="bottom"/>
          </w:tcPr>
          <w:p>
            <w:pPr>
              <w:spacing w:after="0"/>
              <w:rPr>
                <w:sz w:val="1"/>
                <w:szCs w:val="1"/>
                <w:color w:val="auto"/>
              </w:rPr>
            </w:pPr>
          </w:p>
        </w:tc>
      </w:tr>
      <w:tr>
        <w:trPr>
          <w:trHeight w:val="142"/>
        </w:trPr>
        <w:tc>
          <w:tcPr>
            <w:tcW w:w="1440" w:type="dxa"/>
            <w:vAlign w:val="bottom"/>
          </w:tcPr>
          <w:p>
            <w:pPr>
              <w:jc w:val="center"/>
              <w:ind w:right="252"/>
              <w:spacing w:after="0" w:line="142" w:lineRule="exact"/>
              <w:rPr>
                <w:sz w:val="20"/>
                <w:szCs w:val="20"/>
                <w:color w:val="auto"/>
              </w:rPr>
            </w:pPr>
            <w:r>
              <w:rPr>
                <w:rFonts w:ascii="Arial" w:cs="Arial" w:eastAsia="Arial" w:hAnsi="Arial"/>
                <w:sz w:val="14"/>
                <w:szCs w:val="14"/>
                <w:b w:val="1"/>
                <w:bCs w:val="1"/>
                <w:color w:val="auto"/>
                <w:w w:val="89"/>
              </w:rPr>
              <w:t>OCI into Income</w:t>
            </w:r>
          </w:p>
        </w:tc>
        <w:tc>
          <w:tcPr>
            <w:tcW w:w="14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Year Ended July 31,</w:t>
            </w:r>
          </w:p>
        </w:tc>
        <w:tc>
          <w:tcPr>
            <w:tcW w:w="1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(Ineffective</w:t>
            </w:r>
          </w:p>
        </w:tc>
        <w:tc>
          <w:tcPr>
            <w:tcW w:w="1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Year Ended July 31,</w:t>
            </w:r>
          </w:p>
        </w:tc>
        <w:tc>
          <w:tcPr>
            <w:tcW w:w="0" w:type="dxa"/>
            <w:vAlign w:val="bottom"/>
          </w:tcPr>
          <w:p>
            <w:pPr>
              <w:spacing w:after="0"/>
              <w:rPr>
                <w:sz w:val="1"/>
                <w:szCs w:val="1"/>
                <w:color w:val="auto"/>
              </w:rPr>
            </w:pPr>
          </w:p>
        </w:tc>
      </w:tr>
      <w:tr>
        <w:trPr>
          <w:trHeight w:val="129"/>
        </w:trPr>
        <w:tc>
          <w:tcPr>
            <w:tcW w:w="1440" w:type="dxa"/>
            <w:vAlign w:val="bottom"/>
          </w:tcPr>
          <w:p>
            <w:pPr>
              <w:jc w:val="center"/>
              <w:ind w:right="252"/>
              <w:spacing w:after="0" w:line="129" w:lineRule="exact"/>
              <w:rPr>
                <w:sz w:val="20"/>
                <w:szCs w:val="20"/>
                <w:color w:val="auto"/>
              </w:rPr>
            </w:pPr>
            <w:r>
              <w:rPr>
                <w:rFonts w:ascii="Arial" w:cs="Arial" w:eastAsia="Arial" w:hAnsi="Arial"/>
                <w:sz w:val="14"/>
                <w:szCs w:val="14"/>
                <w:b w:val="1"/>
                <w:bCs w:val="1"/>
                <w:color w:val="auto"/>
                <w:w w:val="89"/>
              </w:rPr>
              <w:t>(Effective Portion)</w:t>
            </w: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0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1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Portion)</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06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2520" w:space="720"/>
            <w:col w:w="1520" w:space="420"/>
            <w:col w:w="6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220" w:type="dxa"/>
            <w:vAlign w:val="bottom"/>
            <w:gridSpan w:val="4"/>
            <w:shd w:val="clear" w:color="auto" w:fill="CCEEFF"/>
          </w:tcPr>
          <w:p>
            <w:pPr>
              <w:spacing w:after="0" w:line="105" w:lineRule="exact"/>
              <w:rPr>
                <w:sz w:val="20"/>
                <w:szCs w:val="20"/>
                <w:color w:val="auto"/>
              </w:rPr>
            </w:pPr>
            <w:r>
              <w:rPr>
                <w:rFonts w:ascii="Arial" w:cs="Arial" w:eastAsia="Arial" w:hAnsi="Arial"/>
                <w:sz w:val="12"/>
                <w:szCs w:val="12"/>
                <w:color w:val="auto"/>
              </w:rPr>
              <w:t>Foreign exchange contracts</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Investment and other</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gridSpan w:val="7"/>
            <w:shd w:val="clear" w:color="auto" w:fill="CCEEFF"/>
          </w:tcPr>
          <w:p>
            <w:pPr>
              <w:spacing w:after="0" w:line="105" w:lineRule="exact"/>
              <w:rPr>
                <w:sz w:val="20"/>
                <w:szCs w:val="20"/>
                <w:color w:val="auto"/>
              </w:rPr>
            </w:pPr>
            <w:r>
              <w:rPr>
                <w:rFonts w:ascii="Arial" w:cs="Arial" w:eastAsia="Arial" w:hAnsi="Arial"/>
                <w:sz w:val="12"/>
                <w:szCs w:val="12"/>
                <w:color w:val="auto"/>
              </w:rPr>
              <w:t>Investment and other</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9"/>
              </w:rPr>
              <w:t>(1,041)</w:t>
            </w:r>
          </w:p>
        </w:tc>
        <w:tc>
          <w:tcPr>
            <w:tcW w:w="320" w:type="dxa"/>
            <w:vAlign w:val="bottom"/>
            <w:gridSpan w:val="2"/>
            <w:shd w:val="clear" w:color="auto" w:fill="CCEEFF"/>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(4,589)</w:t>
            </w:r>
          </w:p>
        </w:tc>
        <w:tc>
          <w:tcPr>
            <w:tcW w:w="13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income — net</w:t>
            </w:r>
          </w:p>
        </w:tc>
        <w:tc>
          <w:tcPr>
            <w:tcW w:w="40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ind w:left="60"/>
              <w:spacing w:after="0" w:line="159" w:lineRule="exact"/>
              <w:rPr>
                <w:sz w:val="20"/>
                <w:szCs w:val="20"/>
                <w:color w:val="auto"/>
              </w:rPr>
            </w:pPr>
            <w:r>
              <w:rPr>
                <w:rFonts w:ascii="Arial" w:cs="Arial" w:eastAsia="Arial" w:hAnsi="Arial"/>
                <w:sz w:val="14"/>
                <w:szCs w:val="14"/>
                <w:color w:val="auto"/>
                <w:w w:val="92"/>
              </w:rPr>
              <w:t>income — net</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4"/>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4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20" w:type="dxa"/>
            <w:vAlign w:val="bottom"/>
            <w:gridSpan w:val="4"/>
            <w:vMerge w:val="restart"/>
          </w:tcPr>
          <w:p>
            <w:pPr>
              <w:spacing w:after="0"/>
              <w:rPr>
                <w:sz w:val="20"/>
                <w:szCs w:val="20"/>
                <w:color w:val="auto"/>
              </w:rPr>
            </w:pPr>
            <w:r>
              <w:rPr>
                <w:rFonts w:ascii="Arial" w:cs="Arial" w:eastAsia="Arial" w:hAnsi="Arial"/>
                <w:sz w:val="14"/>
                <w:szCs w:val="14"/>
                <w:color w:val="auto"/>
              </w:rPr>
              <w:t>Foreign currency intercompany debt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color w:val="auto"/>
                <w:w w:val="86"/>
              </w:rPr>
              <w:t>Investment and other</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9"/>
            <w:vMerge w:val="restart"/>
          </w:tcPr>
          <w:p>
            <w:pPr>
              <w:ind w:left="60"/>
              <w:spacing w:after="0"/>
              <w:rPr>
                <w:sz w:val="20"/>
                <w:szCs w:val="20"/>
                <w:color w:val="auto"/>
              </w:rPr>
            </w:pPr>
            <w:r>
              <w:rPr>
                <w:rFonts w:ascii="Arial" w:cs="Arial" w:eastAsia="Arial" w:hAnsi="Arial"/>
                <w:sz w:val="14"/>
                <w:szCs w:val="14"/>
                <w:color w:val="auto"/>
                <w:w w:val="91"/>
              </w:rPr>
              <w:t>Investment and other</w:t>
            </w: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2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9"/>
            <w:vMerge w:val="continue"/>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547</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3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income — net</w:t>
            </w:r>
          </w:p>
        </w:tc>
        <w:tc>
          <w:tcPr>
            <w:tcW w:w="400" w:type="dxa"/>
            <w:vAlign w:val="bottom"/>
            <w:gridSpan w:val="4"/>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6"/>
          </w:tcPr>
          <w:p>
            <w:pPr>
              <w:ind w:left="60"/>
              <w:spacing w:after="0" w:line="159" w:lineRule="exact"/>
              <w:rPr>
                <w:sz w:val="20"/>
                <w:szCs w:val="20"/>
                <w:color w:val="auto"/>
              </w:rPr>
            </w:pPr>
            <w:r>
              <w:rPr>
                <w:rFonts w:ascii="Arial" w:cs="Arial" w:eastAsia="Arial" w:hAnsi="Arial"/>
                <w:sz w:val="14"/>
                <w:szCs w:val="14"/>
                <w:color w:val="auto"/>
                <w:w w:val="92"/>
              </w:rPr>
              <w:t>income — net</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4"/>
          </w:tcPr>
          <w:p>
            <w:pPr>
              <w:jc w:val="center"/>
              <w:spacing w:after="0" w:line="159" w:lineRule="exact"/>
              <w:rPr>
                <w:sz w:val="20"/>
                <w:szCs w:val="20"/>
                <w:color w:val="auto"/>
              </w:rPr>
            </w:pPr>
            <w:r>
              <w:rPr>
                <w:rFonts w:ascii="Arial" w:cs="Arial" w:eastAsia="Arial" w:hAnsi="Arial"/>
                <w:sz w:val="14"/>
                <w:szCs w:val="14"/>
                <w:color w:val="auto"/>
                <w:w w:val="99"/>
              </w:rPr>
              <w:t>—</w:t>
            </w:r>
          </w:p>
        </w:tc>
        <w:tc>
          <w:tcPr>
            <w:tcW w:w="40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220" w:type="dxa"/>
            <w:vAlign w:val="bottom"/>
            <w:gridSpan w:val="4"/>
            <w:shd w:val="clear" w:color="auto" w:fill="CCEEFF"/>
          </w:tcPr>
          <w:p>
            <w:pPr>
              <w:spacing w:after="0" w:line="132" w:lineRule="exact"/>
              <w:rPr>
                <w:sz w:val="20"/>
                <w:szCs w:val="20"/>
                <w:color w:val="auto"/>
              </w:rPr>
            </w:pPr>
            <w:r>
              <w:rPr>
                <w:rFonts w:ascii="Arial" w:cs="Arial" w:eastAsia="Arial" w:hAnsi="Arial"/>
                <w:sz w:val="14"/>
                <w:szCs w:val="14"/>
                <w:color w:val="auto"/>
              </w:rPr>
              <w:t>Foreign currency denominated debt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160"/>
              <w:spacing w:after="0" w:line="132" w:lineRule="exact"/>
              <w:rPr>
                <w:sz w:val="20"/>
                <w:szCs w:val="20"/>
                <w:color w:val="auto"/>
              </w:rPr>
            </w:pPr>
            <w:r>
              <w:rPr>
                <w:rFonts w:ascii="Arial" w:cs="Arial" w:eastAsia="Arial" w:hAnsi="Arial"/>
                <w:sz w:val="14"/>
                <w:szCs w:val="14"/>
                <w:color w:val="auto"/>
                <w:w w:val="86"/>
              </w:rPr>
              <w:t>Investment and other</w:t>
            </w: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9"/>
            <w:shd w:val="clear" w:color="auto" w:fill="CCEEFF"/>
          </w:tcPr>
          <w:p>
            <w:pPr>
              <w:ind w:left="60"/>
              <w:spacing w:after="0" w:line="132" w:lineRule="exact"/>
              <w:rPr>
                <w:sz w:val="20"/>
                <w:szCs w:val="20"/>
                <w:color w:val="auto"/>
              </w:rPr>
            </w:pPr>
            <w:r>
              <w:rPr>
                <w:rFonts w:ascii="Arial" w:cs="Arial" w:eastAsia="Arial" w:hAnsi="Arial"/>
                <w:sz w:val="14"/>
                <w:szCs w:val="14"/>
                <w:color w:val="auto"/>
                <w:w w:val="91"/>
              </w:rPr>
              <w:t>Investment and other</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8"/>
              </w:rPr>
              <w:t>15,705</w:t>
            </w:r>
          </w:p>
        </w:tc>
        <w:tc>
          <w:tcPr>
            <w:tcW w:w="2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99"/>
              </w:rPr>
              <w:t>(13,070)</w:t>
            </w:r>
          </w:p>
        </w:tc>
        <w:tc>
          <w:tcPr>
            <w:tcW w:w="13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income — net</w:t>
            </w:r>
          </w:p>
        </w:tc>
        <w:tc>
          <w:tcPr>
            <w:tcW w:w="40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ind w:left="60"/>
              <w:spacing w:after="0" w:line="159" w:lineRule="exact"/>
              <w:rPr>
                <w:sz w:val="20"/>
                <w:szCs w:val="20"/>
                <w:color w:val="auto"/>
              </w:rPr>
            </w:pPr>
            <w:r>
              <w:rPr>
                <w:rFonts w:ascii="Arial" w:cs="Arial" w:eastAsia="Arial" w:hAnsi="Arial"/>
                <w:sz w:val="14"/>
                <w:szCs w:val="14"/>
                <w:color w:val="auto"/>
                <w:w w:val="92"/>
              </w:rPr>
              <w:t>income — net</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4"/>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4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20" w:type="dxa"/>
            <w:vAlign w:val="bottom"/>
            <w:gridSpan w:val="4"/>
            <w:vMerge w:val="restart"/>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20" w:type="dxa"/>
            <w:vAlign w:val="bottom"/>
            <w:gridSpan w:val="4"/>
            <w:vMerge w:val="continue"/>
          </w:tcPr>
          <w:p>
            <w:pPr>
              <w:spacing w:after="0"/>
              <w:rPr>
                <w:sz w:val="12"/>
                <w:szCs w:val="12"/>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8"/>
              </w:rPr>
              <w:t>15,211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99"/>
              </w:rPr>
              <w:t>(17,659)</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gridSpan w:val="4"/>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38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3"/>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4"/>
          </w:tcPr>
          <w:p>
            <w:pPr>
              <w:jc w:val="center"/>
              <w:spacing w:after="0" w:line="143" w:lineRule="exact"/>
              <w:rPr>
                <w:sz w:val="20"/>
                <w:szCs w:val="20"/>
                <w:color w:val="auto"/>
              </w:rPr>
            </w:pPr>
            <w:r>
              <w:rPr>
                <w:rFonts w:ascii="Arial" w:cs="Arial" w:eastAsia="Arial" w:hAnsi="Arial"/>
                <w:sz w:val="14"/>
                <w:szCs w:val="14"/>
                <w:color w:val="auto"/>
                <w:w w:val="99"/>
              </w:rPr>
              <w:t>—</w:t>
            </w:r>
          </w:p>
        </w:tc>
        <w:tc>
          <w:tcPr>
            <w:tcW w:w="40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20" w:type="dxa"/>
            <w:vAlign w:val="bottom"/>
            <w:gridSpan w:val="49"/>
          </w:tcPr>
          <w:p>
            <w:pPr>
              <w:ind w:left="460"/>
              <w:spacing w:after="0"/>
              <w:rPr>
                <w:sz w:val="20"/>
                <w:szCs w:val="20"/>
                <w:color w:val="auto"/>
              </w:rPr>
            </w:pPr>
            <w:r>
              <w:rPr>
                <w:rFonts w:ascii="Arial" w:cs="Arial" w:eastAsia="Arial" w:hAnsi="Arial"/>
                <w:sz w:val="18"/>
                <w:szCs w:val="18"/>
                <w:color w:val="auto"/>
                <w:w w:val="89"/>
              </w:rPr>
              <w:t>The pre-tax effects of derivative instruments not designated as hedging instruments on the Consolidated Statements of Income consisted of the following:</w:t>
            </w:r>
          </w:p>
        </w:tc>
        <w:tc>
          <w:tcPr>
            <w:tcW w:w="0" w:type="dxa"/>
            <w:vAlign w:val="bottom"/>
          </w:tcPr>
          <w:p>
            <w:pPr>
              <w:spacing w:after="0"/>
              <w:rPr>
                <w:sz w:val="1"/>
                <w:szCs w:val="1"/>
                <w:color w:val="auto"/>
              </w:rPr>
            </w:pPr>
          </w:p>
        </w:tc>
      </w:tr>
      <w:tr>
        <w:trPr>
          <w:trHeight w:val="340"/>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88"/>
              </w:rPr>
              <w:t>Location of Gain or</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12"/>
          </w:tcPr>
          <w:p>
            <w:pPr>
              <w:jc w:val="center"/>
              <w:ind w:right="138"/>
              <w:spacing w:after="0"/>
              <w:rPr>
                <w:sz w:val="20"/>
                <w:szCs w:val="20"/>
                <w:color w:val="auto"/>
              </w:rPr>
            </w:pPr>
            <w:r>
              <w:rPr>
                <w:rFonts w:ascii="Arial" w:cs="Arial" w:eastAsia="Arial" w:hAnsi="Arial"/>
                <w:sz w:val="14"/>
                <w:szCs w:val="14"/>
                <w:b w:val="1"/>
                <w:bCs w:val="1"/>
                <w:color w:val="auto"/>
                <w:w w:val="92"/>
              </w:rPr>
              <w:t>Amount of Gain or</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8"/>
          </w:tcPr>
          <w:p>
            <w:pPr>
              <w:jc w:val="center"/>
              <w:ind w:right="300"/>
              <w:spacing w:after="0" w:line="135" w:lineRule="exact"/>
              <w:rPr>
                <w:sz w:val="20"/>
                <w:szCs w:val="20"/>
                <w:color w:val="auto"/>
              </w:rPr>
            </w:pPr>
            <w:r>
              <w:rPr>
                <w:rFonts w:ascii="Arial" w:cs="Arial" w:eastAsia="Arial" w:hAnsi="Arial"/>
                <w:sz w:val="14"/>
                <w:szCs w:val="14"/>
                <w:b w:val="1"/>
                <w:bCs w:val="1"/>
                <w:color w:val="auto"/>
                <w:w w:val="83"/>
              </w:rPr>
              <w:t>(Loss) Recognized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12"/>
          </w:tcPr>
          <w:p>
            <w:pPr>
              <w:jc w:val="center"/>
              <w:ind w:right="118"/>
              <w:spacing w:after="0" w:line="135" w:lineRule="exact"/>
              <w:rPr>
                <w:sz w:val="20"/>
                <w:szCs w:val="20"/>
                <w:color w:val="auto"/>
              </w:rPr>
            </w:pPr>
            <w:r>
              <w:rPr>
                <w:rFonts w:ascii="Arial" w:cs="Arial" w:eastAsia="Arial" w:hAnsi="Arial"/>
                <w:sz w:val="14"/>
                <w:szCs w:val="14"/>
                <w:b w:val="1"/>
                <w:bCs w:val="1"/>
                <w:color w:val="auto"/>
                <w:w w:val="85"/>
              </w:rPr>
              <w:t>(Loss) Recognized in</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Designated as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7"/>
              </w:rPr>
              <w:t>in Income on</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12"/>
          </w:tcPr>
          <w:p>
            <w:pPr>
              <w:jc w:val="center"/>
              <w:ind w:right="118"/>
              <w:spacing w:after="0"/>
              <w:rPr>
                <w:sz w:val="20"/>
                <w:szCs w:val="20"/>
                <w:color w:val="auto"/>
              </w:rPr>
            </w:pPr>
            <w:r>
              <w:rPr>
                <w:rFonts w:ascii="Arial" w:cs="Arial" w:eastAsia="Arial" w:hAnsi="Arial"/>
                <w:sz w:val="14"/>
                <w:szCs w:val="14"/>
                <w:b w:val="1"/>
                <w:bCs w:val="1"/>
                <w:color w:val="auto"/>
                <w:w w:val="88"/>
              </w:rPr>
              <w:t>Income on Derivative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Hedging Instruments</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7"/>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Derivative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2012</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2011</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gridSpan w:val="10"/>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Other income (expense)</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3"/>
            <w:shd w:val="clear" w:color="auto" w:fill="CCEEFF"/>
          </w:tcPr>
          <w:p>
            <w:pPr>
              <w:jc w:val="center"/>
              <w:ind w:left="47"/>
              <w:spacing w:after="0" w:line="203" w:lineRule="exact"/>
              <w:rPr>
                <w:sz w:val="20"/>
                <w:szCs w:val="20"/>
                <w:color w:val="auto"/>
              </w:rPr>
            </w:pPr>
            <w:r>
              <w:rPr>
                <w:rFonts w:ascii="Arial" w:cs="Arial" w:eastAsia="Arial" w:hAnsi="Arial"/>
                <w:sz w:val="18"/>
                <w:szCs w:val="18"/>
                <w:color w:val="auto"/>
                <w:w w:val="88"/>
              </w:rPr>
              <w:t>(945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4"/>
          </w:tcPr>
          <w:p>
            <w:pPr>
              <w:ind w:left="38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13. Unaudited Quarterly Financial Information</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60" w:type="dxa"/>
            <w:vAlign w:val="bottom"/>
            <w:gridSpan w:val="9"/>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Quarters</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2"/>
              </w:rPr>
              <w:t>Second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7"/>
          </w:tcPr>
          <w:p>
            <w:pPr>
              <w:jc w:val="right"/>
              <w:ind w:right="358"/>
              <w:spacing w:after="0" w:line="142" w:lineRule="exact"/>
              <w:rPr>
                <w:sz w:val="20"/>
                <w:szCs w:val="20"/>
                <w:color w:val="auto"/>
              </w:rPr>
            </w:pPr>
            <w:r>
              <w:rPr>
                <w:rFonts w:ascii="Arial" w:cs="Arial" w:eastAsia="Arial" w:hAnsi="Arial"/>
                <w:sz w:val="14"/>
                <w:szCs w:val="14"/>
                <w:b w:val="1"/>
                <w:bCs w:val="1"/>
                <w:color w:val="auto"/>
                <w:w w:val="94"/>
              </w:rPr>
              <w:t>Fourth</w:t>
            </w:r>
          </w:p>
        </w:tc>
        <w:tc>
          <w:tcPr>
            <w:tcW w:w="20" w:type="dxa"/>
            <w:vAlign w:val="bottom"/>
          </w:tcPr>
          <w:p>
            <w:pPr>
              <w:spacing w:after="0"/>
              <w:rPr>
                <w:sz w:val="12"/>
                <w:szCs w:val="12"/>
                <w:color w:val="auto"/>
              </w:rPr>
            </w:pPr>
          </w:p>
        </w:tc>
        <w:tc>
          <w:tcPr>
            <w:tcW w:w="800" w:type="dxa"/>
            <w:vAlign w:val="bottom"/>
            <w:gridSpan w:val="3"/>
          </w:tcPr>
          <w:p>
            <w:pPr>
              <w:jc w:val="right"/>
              <w:ind w:right="18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gridSpan w:val="7"/>
          </w:tcPr>
          <w:p>
            <w:pPr>
              <w:jc w:val="right"/>
              <w:ind w:right="140"/>
              <w:spacing w:after="0"/>
              <w:rPr>
                <w:sz w:val="20"/>
                <w:szCs w:val="20"/>
                <w:color w:val="auto"/>
              </w:rPr>
            </w:pPr>
            <w:r>
              <w:rPr>
                <w:rFonts w:ascii="Arial" w:cs="Arial" w:eastAsia="Arial" w:hAnsi="Arial"/>
                <w:sz w:val="18"/>
                <w:szCs w:val="18"/>
                <w:color w:val="auto"/>
              </w:rPr>
              <w:t>$349,508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320,584</w:t>
            </w:r>
          </w:p>
        </w:tc>
        <w:tc>
          <w:tcPr>
            <w:tcW w:w="12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$331,629</w:t>
            </w:r>
          </w:p>
        </w:tc>
        <w:tc>
          <w:tcPr>
            <w:tcW w:w="980" w:type="dxa"/>
            <w:vAlign w:val="bottom"/>
            <w:gridSpan w:val="7"/>
          </w:tcPr>
          <w:p>
            <w:pPr>
              <w:jc w:val="right"/>
              <w:spacing w:after="0"/>
              <w:rPr>
                <w:sz w:val="20"/>
                <w:szCs w:val="20"/>
                <w:color w:val="auto"/>
              </w:rPr>
            </w:pPr>
            <w:r>
              <w:rPr>
                <w:rFonts w:ascii="Arial" w:cs="Arial" w:eastAsia="Arial" w:hAnsi="Arial"/>
                <w:sz w:val="18"/>
                <w:szCs w:val="18"/>
                <w:color w:val="auto"/>
              </w:rPr>
              <w:t>$322,548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w w:val="88"/>
              </w:rPr>
              <w:t>$1,324,269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167,831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153,305</w:t>
            </w:r>
          </w:p>
        </w:tc>
        <w:tc>
          <w:tcPr>
            <w:tcW w:w="12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160,047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155,123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636,306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49,090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(77,198)</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40,953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26,913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39,758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32,732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(89,954)</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27,652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11,659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(17,911)</w:t>
            </w: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Net Income (Loss) Per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Class A Common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0.62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(1.72)</w:t>
            </w:r>
          </w:p>
        </w:tc>
        <w:tc>
          <w:tcPr>
            <w:tcW w:w="3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400" w:type="dxa"/>
            <w:vAlign w:val="bottom"/>
            <w:gridSpan w:val="3"/>
          </w:tcPr>
          <w:p>
            <w:pPr>
              <w:jc w:val="center"/>
              <w:ind w:left="212"/>
              <w:spacing w:after="0"/>
              <w:rPr>
                <w:sz w:val="20"/>
                <w:szCs w:val="20"/>
                <w:color w:val="auto"/>
              </w:rPr>
            </w:pPr>
            <w:r>
              <w:rPr>
                <w:rFonts w:ascii="Arial" w:cs="Arial" w:eastAsia="Arial" w:hAnsi="Arial"/>
                <w:sz w:val="18"/>
                <w:szCs w:val="18"/>
                <w:color w:val="auto"/>
                <w:w w:val="99"/>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13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(0.35)</w:t>
            </w: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(0.35)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$329,588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329,009</w:t>
            </w:r>
          </w:p>
        </w:tc>
        <w:tc>
          <w:tcPr>
            <w:tcW w:w="12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$337,896</w:t>
            </w:r>
          </w:p>
        </w:tc>
        <w:tc>
          <w:tcPr>
            <w:tcW w:w="9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$343,104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8"/>
              </w:rPr>
              <w:t>$1,339,597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gridSpan w:val="7"/>
          </w:tcPr>
          <w:p>
            <w:pPr>
              <w:jc w:val="right"/>
              <w:ind w:right="140"/>
              <w:spacing w:after="0"/>
              <w:rPr>
                <w:sz w:val="20"/>
                <w:szCs w:val="20"/>
                <w:color w:val="auto"/>
              </w:rPr>
            </w:pPr>
            <w:r>
              <w:rPr>
                <w:rFonts w:ascii="Arial" w:cs="Arial" w:eastAsia="Arial" w:hAnsi="Arial"/>
                <w:sz w:val="18"/>
                <w:szCs w:val="18"/>
                <w:color w:val="auto"/>
              </w:rPr>
              <w:t>164,512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159,010</w:t>
            </w:r>
          </w:p>
        </w:tc>
        <w:tc>
          <w:tcPr>
            <w:tcW w:w="12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167,638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165,036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656,196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41,603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37,080</w:t>
            </w:r>
          </w:p>
        </w:tc>
        <w:tc>
          <w:tcPr>
            <w:tcW w:w="12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40,871</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42,638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162,192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26,281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24,199</w:t>
            </w:r>
          </w:p>
        </w:tc>
        <w:tc>
          <w:tcPr>
            <w:tcW w:w="12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28,589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29,583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108,652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Per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Class A Common Share: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gridSpan w:val="4"/>
          </w:tcPr>
          <w:p>
            <w:pPr>
              <w:spacing w:after="0"/>
              <w:rPr>
                <w:sz w:val="20"/>
                <w:szCs w:val="20"/>
                <w:color w:val="auto"/>
              </w:rPr>
            </w:pPr>
            <w:r>
              <w:rPr>
                <w:rFonts w:ascii="Arial" w:cs="Arial" w:eastAsia="Arial" w:hAnsi="Arial"/>
                <w:sz w:val="18"/>
                <w:szCs w:val="18"/>
                <w:color w:val="auto"/>
              </w:rPr>
              <w:t>Diluted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Fiscal 2012 had before tax restructuring charges of $3,440 for the third quarter ended April 30, 2012, and $8,670 for the fourth quarter ended July 31, 2012, for a total of $12,110. Fiscal 2011 had before tax restructuring charges by quarter of $3,641, $2,134, $1,211, and $2,202 for a total of $9,188.</w:t>
      </w:r>
    </w:p>
    <w:p>
      <w:pPr>
        <w:spacing w:after="0" w:line="4" w:lineRule="exact"/>
        <w:rPr>
          <w:sz w:val="20"/>
          <w:szCs w:val="20"/>
          <w:color w:val="auto"/>
        </w:rPr>
      </w:pPr>
    </w:p>
    <w:p>
      <w:pPr>
        <w:jc w:val="both"/>
        <w:ind w:left="460" w:right="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the $115.7 million goodwill impairment charge recorded during the second quarter ended January 31, 2012, the Company recorded a net loss in the quarter of $90.0 million. Because of this loss, the sum of quarterly EPS does not equal the year-to-date total for fiscal 2012 due to the impact of dilution.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the quarters does not equal the year-to-date total for fiscal 2011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 </w:t>
      </w:r>
      <w:r>
        <w:rPr>
          <w:rFonts w:ascii="Arial" w:cs="Arial" w:eastAsia="Arial" w:hAnsi="Arial"/>
          <w:sz w:val="15"/>
          <w:szCs w:val="15"/>
          <w:b w:val="1"/>
          <w:bCs w:val="1"/>
          <w:i w:val="1"/>
          <w:iCs w:val="1"/>
          <w:color w:val="auto"/>
        </w:rPr>
        <w:t>Changes in and Disagreements with Accountants on Accounting and Financial Disclosure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45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Executive Vice President and Chief Financial Officer, of the effectiveness of the design and operation of the Company’s disclosure controls and procedures pursuant to Rule 13a-15 of the Exchange Act. Based on that evaluation, the Company’s President and Chief Executive Officer and Executive Vice President and Chief Financial Officer concluded that the Company’s disclosure controls and procedures are effective as of the end of the period covered by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With the participation of the Chief Executive Officer and the Chief Financial Officer, management conducted an evaluation of the effectiveness of our internal control over financial reporting as of July 31, 2012, based on the framework and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issued by the Committee of Sponsoring Organizations of the Treadway Commission</w:t>
      </w:r>
      <w:r>
        <w:rPr>
          <w:rFonts w:ascii="Arial" w:cs="Arial" w:eastAsia="Arial" w:hAnsi="Arial"/>
          <w:sz w:val="16"/>
          <w:szCs w:val="16"/>
          <w:i w:val="1"/>
          <w:iCs w:val="1"/>
          <w:color w:val="auto"/>
        </w:rPr>
        <w:t>.</w:t>
      </w:r>
      <w:r>
        <w:rPr>
          <w:rFonts w:ascii="Arial" w:cs="Arial" w:eastAsia="Arial" w:hAnsi="Arial"/>
          <w:sz w:val="16"/>
          <w:szCs w:val="16"/>
          <w:color w:val="auto"/>
        </w:rPr>
        <w:t xml:space="preserve"> Based on the assessment, management concluded that, as of July 31, 2012, the Company’s internal control over financial reporting is effective based on those criteria. The Company’s internal control over financial reporting, as of July 31, 2012, has been audited by Deloitte &amp; Touche LLP, an independent registered public accounting firm, as stated in their report, which is included herein.</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internal control over financial reporting of Brady Corporation and subsidiaries (the “Company”) as of July 31, 2012,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July 31, 2012, based on the criteria established in Internal Control — Integrated Framework issued by the Committee of Sponsoring Organizations of the Treadway Commission.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2012, of the Company and our report dated September 27, 2012, expressed an unqualified opinion on those financial statements and financial statement schedule.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522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CEO and 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Thomas J. Felmer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5220" w:type="dxa"/>
            <w:vAlign w:val="bottom"/>
          </w:tcPr>
          <w:p>
            <w:pPr>
              <w:spacing w:after="0"/>
              <w:rPr>
                <w:sz w:val="20"/>
                <w:szCs w:val="20"/>
                <w:color w:val="auto"/>
              </w:rPr>
            </w:pPr>
            <w:r>
              <w:rPr>
                <w:rFonts w:ascii="Arial" w:cs="Arial" w:eastAsia="Arial" w:hAnsi="Arial"/>
                <w:sz w:val="18"/>
                <w:szCs w:val="18"/>
                <w:color w:val="auto"/>
              </w:rPr>
              <w:t>Senior V.P., CFO</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Millar</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President — Brady Asia-Pacific and V.P., Brady Corporation</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Peter C. Sephton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5220" w:type="dxa"/>
            <w:vAlign w:val="bottom"/>
          </w:tcPr>
          <w:p>
            <w:pPr>
              <w:spacing w:after="0"/>
              <w:rPr>
                <w:sz w:val="20"/>
                <w:szCs w:val="20"/>
                <w:color w:val="auto"/>
              </w:rPr>
            </w:pPr>
            <w:r>
              <w:rPr>
                <w:rFonts w:ascii="Arial" w:cs="Arial" w:eastAsia="Arial" w:hAnsi="Arial"/>
                <w:sz w:val="18"/>
                <w:szCs w:val="18"/>
                <w:color w:val="auto"/>
              </w:rPr>
              <w:t>President — Brady EMEA and V.P., Brady Corporation</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President — Brady Americas and V.P., Brady Corporation</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Allan J. Klotsche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5220" w:type="dxa"/>
            <w:vAlign w:val="bottom"/>
          </w:tcPr>
          <w:p>
            <w:pPr>
              <w:spacing w:after="0"/>
              <w:rPr>
                <w:sz w:val="20"/>
                <w:szCs w:val="20"/>
                <w:color w:val="auto"/>
              </w:rPr>
            </w:pPr>
            <w:r>
              <w:rPr>
                <w:rFonts w:ascii="Arial" w:cs="Arial" w:eastAsia="Arial" w:hAnsi="Arial"/>
                <w:sz w:val="18"/>
                <w:szCs w:val="18"/>
                <w:color w:val="auto"/>
              </w:rPr>
              <w:t>Senior V.P. — Human Resources</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Tatterson</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V.P. and Chief Technology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Bentley N. Curran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5220" w:type="dxa"/>
            <w:vAlign w:val="bottom"/>
          </w:tcPr>
          <w:p>
            <w:pPr>
              <w:spacing w:after="0"/>
              <w:rPr>
                <w:sz w:val="20"/>
                <w:szCs w:val="20"/>
                <w:color w:val="auto"/>
              </w:rPr>
            </w:pPr>
            <w:r>
              <w:rPr>
                <w:rFonts w:ascii="Arial" w:cs="Arial" w:eastAsia="Arial" w:hAnsi="Arial"/>
                <w:sz w:val="18"/>
                <w:szCs w:val="18"/>
                <w:color w:val="auto"/>
              </w:rPr>
              <w:t>V.P. and Chief Information Officer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Johnson</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V.P. and Chief Accounting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Aaron J. Pearce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5220" w:type="dxa"/>
            <w:vAlign w:val="bottom"/>
          </w:tcPr>
          <w:p>
            <w:pPr>
              <w:spacing w:after="0"/>
              <w:rPr>
                <w:sz w:val="20"/>
                <w:szCs w:val="20"/>
                <w:color w:val="auto"/>
              </w:rPr>
            </w:pPr>
            <w:r>
              <w:rPr>
                <w:rFonts w:ascii="Arial" w:cs="Arial" w:eastAsia="Arial" w:hAnsi="Arial"/>
                <w:sz w:val="18"/>
                <w:szCs w:val="18"/>
                <w:color w:val="auto"/>
              </w:rPr>
              <w:t>V.P. and Treasurer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Gary S. Balkema</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W. Galbato</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Conrad G. Goodkind</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Elizabeth Pungello</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5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5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Frank M. Jaehnert — </w:t>
      </w:r>
      <w:r>
        <w:rPr>
          <w:rFonts w:ascii="Arial" w:cs="Arial" w:eastAsia="Arial" w:hAnsi="Arial"/>
          <w:sz w:val="16"/>
          <w:szCs w:val="16"/>
          <w:color w:val="auto"/>
        </w:rPr>
        <w:t>Mr. Jaehnert has served on the Company’s Board of Directors and as the Company’s President and CEO since 2003. Mr. Jaehnert</w:t>
      </w:r>
      <w:r>
        <w:rPr>
          <w:rFonts w:ascii="Arial" w:cs="Arial" w:eastAsia="Arial" w:hAnsi="Arial"/>
          <w:sz w:val="16"/>
          <w:szCs w:val="16"/>
          <w:i w:val="1"/>
          <w:iCs w:val="1"/>
          <w:color w:val="auto"/>
        </w:rPr>
        <w:t xml:space="preserve"> </w:t>
      </w:r>
      <w:r>
        <w:rPr>
          <w:rFonts w:ascii="Arial" w:cs="Arial" w:eastAsia="Arial" w:hAnsi="Arial"/>
          <w:sz w:val="16"/>
          <w:szCs w:val="16"/>
          <w:color w:val="auto"/>
        </w:rPr>
        <w:t>joined the Company in 1995 and served in leadership positions in a variety of different functions and businesses, including that of CFO from 1996 to 2002, before his promotion to President and CEO in 2003. Previously, he served in a variety of financial roles at Robert Bosch, GmbH, including treasurer of a subsidiary. His broad operating and functional experience and in-depth knowledge of Brady’s businesses are particularly valuable given the diverse nature of Brady’s portfolio. These experiences, combined with Mr. Jaehnert’s talent for leadership and his long-term strategic perspective, have helped drive the Company’s growth and performance during his tenure as Director and CEO. He currently sits on the Board of Regents of the Milwaukee School of Engineering; the Board of Trustees of the Manufacturers Alliance/MAPI; and the Business Advisory Council of the Sheldon B. Lubar School of Business at the University of Wisconsin — Milwaukee. In 2012, Mr. Jaehnert was elected to the Board of Directors for Nordson Corporation (NASDAQ:NDSN).</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Thomas J. Felmer — </w:t>
      </w:r>
      <w:r>
        <w:rPr>
          <w:rFonts w:ascii="Arial" w:cs="Arial" w:eastAsia="Arial" w:hAnsi="Arial"/>
          <w:sz w:val="16"/>
          <w:szCs w:val="16"/>
          <w:color w:val="auto"/>
        </w:rPr>
        <w:t>Mr. Felmer joined the Company in 1989 and has held several sales and marketing positions until being named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of Brady’s U.S. Signmark Division in 1994. In 1999, Mr. Felmer moved to Europe where he led the European Signmark business for two years, then gained additional responsibility for the European direct marketing business platforms, which he also led for two years. In 2003, Mr. Felmer returned to the United States where he was responsible for Brady’s global sales and marketing processes, Brady Software businesses, and integration leader of the EMED acquisition. In June 2004, he was appointed President-Direct Marketing Americas, and was named Chief Financial Officer in January 2008.</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Stephen Millar — </w:t>
      </w:r>
      <w:r>
        <w:rPr>
          <w:rFonts w:ascii="Arial" w:cs="Arial" w:eastAsia="Arial" w:hAnsi="Arial"/>
          <w:sz w:val="16"/>
          <w:szCs w:val="16"/>
          <w:color w:val="auto"/>
        </w:rPr>
        <w:t>Mr. Millar joined the Company in 1999 as Managing Director of Brady Australia, a position he held until 2008 when he joined Brady</w:t>
      </w:r>
      <w:r>
        <w:rPr>
          <w:rFonts w:ascii="Arial" w:cs="Arial" w:eastAsia="Arial" w:hAnsi="Arial"/>
          <w:sz w:val="16"/>
          <w:szCs w:val="16"/>
          <w:i w:val="1"/>
          <w:iCs w:val="1"/>
          <w:color w:val="auto"/>
        </w:rPr>
        <w:t xml:space="preserve"> </w:t>
      </w:r>
      <w:r>
        <w:rPr>
          <w:rFonts w:ascii="Arial" w:cs="Arial" w:eastAsia="Arial" w:hAnsi="Arial"/>
          <w:sz w:val="16"/>
          <w:szCs w:val="16"/>
          <w:color w:val="auto"/>
        </w:rPr>
        <w:t>Americas’ leadership team as Vice-President and General Manager responsible for its portfolio of people identification, medical and education businesses. In 2010, he returned to Asia in the role of MRO Director for the region. He was appointed to his current position, President-Brady Asia Pacific in March 2011. Prior to joining Brady, Mr. Millar served in a variety of leadership positions in Australia and New Zealand with GNB Technologies, a global manufacturer of automotive and industrial batteries. He holds a Bachelor of Commerce and Administration degree from Victoria University of Wellington, New Zealand and is a member of the institute of Chartered Accountants of New Zealand.</w:t>
      </w:r>
    </w:p>
    <w:p>
      <w:pPr>
        <w:spacing w:after="0" w:line="12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Peter C. Sephton — </w:t>
      </w:r>
      <w:r>
        <w:rPr>
          <w:rFonts w:ascii="Arial" w:cs="Arial" w:eastAsia="Arial" w:hAnsi="Arial"/>
          <w:sz w:val="18"/>
          <w:szCs w:val="18"/>
          <w:color w:val="auto"/>
        </w:rPr>
        <w:t>Mr. Sephton joined the Company in 1997 as Managing Director of Seton-U.K. In 2000 he additionally became responsible for the UK</w:t>
      </w:r>
      <w:r>
        <w:rPr>
          <w:rFonts w:ascii="Arial" w:cs="Arial" w:eastAsia="Arial" w:hAnsi="Arial"/>
          <w:sz w:val="18"/>
          <w:szCs w:val="18"/>
          <w:i w:val="1"/>
          <w:iCs w:val="1"/>
          <w:color w:val="auto"/>
        </w:rPr>
        <w:t xml:space="preserve"> </w:t>
      </w:r>
      <w:r>
        <w:rPr>
          <w:rFonts w:ascii="Arial" w:cs="Arial" w:eastAsia="Arial" w:hAnsi="Arial"/>
          <w:sz w:val="18"/>
          <w:szCs w:val="18"/>
          <w:color w:val="auto"/>
        </w:rPr>
        <w:t>Signmark division, and from 2001 to 2003 he served as Managing Director for Brady’s Identification Solutions Business in Europe. In April 2003, he was appointed to his current position, President-Brady EMEA. Before joining Brady, Mr. Sephton served in a variety of international leadership roles with leading industrial publicly traded FTSE 250 organizations such as Tate and Lyle Plc, Sutcliffe Speakman Plc and Morgan Crucible Plc. He is a graduate in accountancy and law from The University of Wales (UCC) and serves as a Non Executive Director of Constantine PLC, a UK domiciled company involved in specialized manufacturing and logistics and property.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Matthew O. Williamson — </w:t>
      </w:r>
      <w:r>
        <w:rPr>
          <w:rFonts w:ascii="Arial" w:cs="Arial" w:eastAsia="Arial" w:hAnsi="Arial"/>
          <w:sz w:val="16"/>
          <w:szCs w:val="16"/>
          <w:color w:val="auto"/>
        </w:rPr>
        <w:t>Mr. Williamson joined the Company in 1979. From 1979 to 1994, he served in a variety of sales and marketing leadership roles.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1995 to 2003, Mr. Williamson served as the V.P. and General Manager of Brady’s specialty tape and identification solution businesses.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President of the Brady Americas business. In addition to his role as President of the Brady Americas business, in January of 2008, Mr. Williamson assumed responsibility for the Direct Marketing Americas, and is currently serving as President of the Americas region. He holds a BBA in marketing from the University of Wisconsin-Milwaukee.</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Allan J. Klotsche — </w:t>
      </w:r>
      <w:r>
        <w:rPr>
          <w:rFonts w:ascii="Arial" w:cs="Arial" w:eastAsia="Arial" w:hAnsi="Arial"/>
          <w:sz w:val="18"/>
          <w:szCs w:val="18"/>
          <w:color w:val="auto"/>
        </w:rPr>
        <w:t>Mr. Klotsche joined the Company in 1989. He served in a variety of sales, marketing, technical, and management roles until 1998,</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was appointed V.P. and General Manager of the Precision Tapes Group. He served as President — Brady Asia Pacific from 2003 until his current appointment as Senior Vice President leading Brady’s global human resource function in October 2010. Mr. Klotsche also serves as President of the Brady Corporation Foundation. He holds an MBA from the University of Wisconsin-Milwaukee.</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Robert L. Tatterson — </w:t>
      </w:r>
      <w:r>
        <w:rPr>
          <w:rFonts w:ascii="Arial" w:cs="Arial" w:eastAsia="Arial" w:hAnsi="Arial"/>
          <w:sz w:val="18"/>
          <w:szCs w:val="18"/>
          <w:color w:val="auto"/>
        </w:rPr>
        <w:t>Dr. Tatterson joined the Company in 2006 as Vice President and Chief Technology Officer. Before joining Brady, he held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positions with increasing responsibility at GE since 1992. Most recently, Dr. Tatterson served as Technology General Manager for GE Plastics’ Display and Optical Film business in Mt. Vernon, Indiana. He is a 6 Sigma Master Blackbelt and holds a Ph.D. in chemical engineering from the University of Michigan in Ann Arbor.</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Bentley N. Curran — </w:t>
      </w:r>
      <w:r>
        <w:rPr>
          <w:rFonts w:ascii="Arial" w:cs="Arial" w:eastAsia="Arial" w:hAnsi="Arial"/>
          <w:sz w:val="18"/>
          <w:szCs w:val="18"/>
          <w:color w:val="auto"/>
        </w:rPr>
        <w:t>Mr. Curran joined the Company in 1999 and has held several technology leadership positions until being named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in 2005. In October 2007, he was appointed Chief Information Officer of Brady globally. In February 2012, he was appointed to his current position, Vice President of Digital Business and Chief Information Officer. Prior to joining Brady, Mr. Curran served in a variety of technology leadership roles for Compucom and the Speed Queen Company. He holds a Bachelor of business administration from Marian University and holds an associate of science degree in electronics and engineering systems.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Kathleen M. Johnson — </w:t>
      </w:r>
      <w:r>
        <w:rPr>
          <w:rFonts w:ascii="Arial" w:cs="Arial" w:eastAsia="Arial" w:hAnsi="Arial"/>
          <w:sz w:val="16"/>
          <w:szCs w:val="16"/>
          <w:color w:val="auto"/>
        </w:rPr>
        <w:t>Ms. Johnson joined the Company in 1989 as controller of a division of Brady and became group finance director in 1996. In 2000</w:t>
      </w:r>
      <w:r>
        <w:rPr>
          <w:rFonts w:ascii="Arial" w:cs="Arial" w:eastAsia="Arial" w:hAnsi="Arial"/>
          <w:sz w:val="16"/>
          <w:szCs w:val="16"/>
          <w:i w:val="1"/>
          <w:iCs w:val="1"/>
          <w:color w:val="auto"/>
        </w:rPr>
        <w:t xml:space="preserve"> </w:t>
      </w:r>
      <w:r>
        <w:rPr>
          <w:rFonts w:ascii="Arial" w:cs="Arial" w:eastAsia="Arial" w:hAnsi="Arial"/>
          <w:sz w:val="16"/>
          <w:szCs w:val="16"/>
          <w:color w:val="auto"/>
        </w:rPr>
        <w:t>she was appointed Vice President. In 2008 she was appointed Chief Accounting Officer. Prior to joining Brady, she spent six years with Kraft Food Service. She started her career as a CPA with Deloitte &amp; Touche LLP. She holds a bachelor’s degree in accounting from the University of Wisconsin-Whitewater.</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Aaron J. Pearce — </w:t>
      </w:r>
      <w:r>
        <w:rPr>
          <w:rFonts w:ascii="Arial" w:cs="Arial" w:eastAsia="Arial" w:hAnsi="Arial"/>
          <w:sz w:val="18"/>
          <w:szCs w:val="18"/>
          <w:color w:val="auto"/>
        </w:rPr>
        <w:t>Mr. Pearce joined the Company in 2004 as Director of Internal Audit. From 2006 to 2008, he served as Finance Director for Brady’s</w:t>
      </w:r>
      <w:r>
        <w:rPr>
          <w:rFonts w:ascii="Arial" w:cs="Arial" w:eastAsia="Arial" w:hAnsi="Arial"/>
          <w:sz w:val="18"/>
          <w:szCs w:val="18"/>
          <w:i w:val="1"/>
          <w:iCs w:val="1"/>
          <w:color w:val="auto"/>
        </w:rPr>
        <w:t xml:space="preserve"> </w:t>
      </w:r>
      <w:r>
        <w:rPr>
          <w:rFonts w:ascii="Arial" w:cs="Arial" w:eastAsia="Arial" w:hAnsi="Arial"/>
          <w:sz w:val="18"/>
          <w:szCs w:val="18"/>
          <w:color w:val="auto"/>
        </w:rPr>
        <w:t>Asia Pacific Region. From 2008 to 2009, he served as the Global Tax Director. In January 2010, he assumed the role of Treasurer and Director of Investor Relations. Prior to Brady, Mr. Pearce was with Deloitte &amp; Touche LLP and started his career in banking. He holds a bachelors degree in business administration from the University of Wisconsin-Milwaukee and is a certified public accountant.</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Patrick W. Allender — </w:t>
      </w:r>
      <w:r>
        <w:rPr>
          <w:rFonts w:ascii="Arial" w:cs="Arial" w:eastAsia="Arial" w:hAnsi="Arial"/>
          <w:sz w:val="16"/>
          <w:szCs w:val="16"/>
          <w:color w:val="auto"/>
        </w:rPr>
        <w:t>Mr. Allender was elected to the Board of Directors in 2007. He serves as the Chair of the Finance Committee and as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Audit and Corporate Governance Committees. He served as Executive Vice President and CFO of Danaher Corporation from 1998 to 2005 and Executive Vice President from 2005 to 2007. Additionally, he served as a public accountant at Arthur Andersen LLC from 1968 to 1985. He has served as a director of Colfax Corporation since 2008 and Diebold, Inc. since May 2011. Mr. Allender’s strong background in finance and accounting, as well as his past experience as the CFO of a public company, provides the Board with financial expertise and insight.</w:t>
      </w:r>
    </w:p>
    <w:p>
      <w:pPr>
        <w:spacing w:after="0" w:line="1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Gary S. Balkema — </w:t>
      </w:r>
      <w:r>
        <w:rPr>
          <w:rFonts w:ascii="Arial" w:cs="Arial" w:eastAsia="Arial" w:hAnsi="Arial"/>
          <w:sz w:val="18"/>
          <w:szCs w:val="18"/>
          <w:color w:val="auto"/>
        </w:rPr>
        <w:t>Mr. Balkema was elected to the Board of Directors in 2010. He currently serves as the Chair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is a member of the Technology Committee. From 2000 to 2011, he served as the President of Bayer Healthcare LLC and Worldwide Consumer Care Division, which has four billion dollars in sales and over 5,400 employees. He was also responsible for overseeing Bayer LLC USA’s compliance program. He has over 20 years of general management experience. Mr. Balkema brings strong experience in consumer marketing skills and mergers and acquisitions and integrations. His broad operating and functional experience are valuable to the Company given the diverse nature of the Company’s portfolio.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Chan W. Galbato — </w:t>
      </w:r>
      <w:r>
        <w:rPr>
          <w:rFonts w:ascii="Arial" w:cs="Arial" w:eastAsia="Arial" w:hAnsi="Arial"/>
          <w:sz w:val="16"/>
          <w:szCs w:val="16"/>
          <w:color w:val="auto"/>
        </w:rPr>
        <w:t>Mr. Galbato was elected to the Board of Directors in 2006. He currently serves as Brady’s Lead Independent Director and as a member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Audit, Management Development and Compensation, and Technology Committees. He has extensive executive leadership experience including his current role as Chief Executive Officer of Cerberus Operations and Advisory Company, LLC. Mr. Galbato was President and CEO of the Controls division of Invensys plc. Prior to that, Mr. Galbato held positions as President of Services at The Home Depot, President and CEO of Armstrong Floor Products, CEO of Choice Parts LLC, and CEO of Coregis Insurance Company, a GE Capital company. Mr. Galbato is Chairman of the Board of YP Holdings, Blue Bird Corporation, and North American Bus Industries, Inc., and NewPage Corporation and is a member of the Board of Tower International, Inc. His public company leadership experience gives him insight into business strategy, leadership and executive compensation and his public company and private equity experience give him insight into technology trends, acquisition strategy and financing, each of which represents an area of key strategic opportunity for the Company.</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Conrad G. Goodkind — </w:t>
      </w:r>
      <w:r>
        <w:rPr>
          <w:rFonts w:ascii="Arial" w:cs="Arial" w:eastAsia="Arial" w:hAnsi="Arial"/>
          <w:sz w:val="16"/>
          <w:szCs w:val="16"/>
          <w:color w:val="auto"/>
        </w:rPr>
        <w:t>Mr. Goodkind was elected to the Board of Directors in 2007. He currently serves as the Chair of the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as a member of the Finance and Audit Committees. He previously served as Secretary of the Company from 1999 to 2007. Mr. Goodkind was a partner in the law firm of Quarles &amp; Brady, LLP, where his practice concentrated in corporate and securities law from 1979 to 2009. Prior to 1979, he served as Wisconsin’s Deputy Commissioner of Securities.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provides the Board with expertise and insight into governance, business and compliance issues that the Company encounters.</w:t>
      </w:r>
    </w:p>
    <w:p>
      <w:pPr>
        <w:spacing w:after="0" w:line="12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Frank W. Harris, Ph.D — </w:t>
      </w:r>
      <w:r>
        <w:rPr>
          <w:rFonts w:ascii="Arial" w:cs="Arial" w:eastAsia="Arial" w:hAnsi="Arial"/>
          <w:sz w:val="18"/>
          <w:szCs w:val="18"/>
          <w:color w:val="auto"/>
        </w:rPr>
        <w:t>Dr. Harris was elected to the Board of Directors in 1991. He serves as the Chair of the Technology Committee and as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Management Development and Compensation Committee. He served as the Distinguished Professor of Polymer Science and Biomedical Engineering at the University of Akron from 1983 to 2008 and Professor of Chemistry at Wright State University from 1970 to 1983. He is the founder of several technology based companies including Akron Polymer Systems where he serves as President and CEO. Dr. Harris is the inventor of several commercialized products including an optical film that realized over one billion dollars in sales. His extensive experience in technology and engineering solutions provides the Board with important expertise in new product development.</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Elizabeth Pungello, Ph. D — </w:t>
      </w:r>
      <w:r>
        <w:rPr>
          <w:rFonts w:ascii="Arial" w:cs="Arial" w:eastAsia="Arial" w:hAnsi="Arial"/>
          <w:sz w:val="16"/>
          <w:szCs w:val="16"/>
          <w:color w:val="auto"/>
        </w:rPr>
        <w:t>Dr. Pungello was elected to the Board of Directors in 2003. She serves as a member of the Management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Corporate Governance, and Technology Committees. Dr. Pungello is a Scientist at the Frank Porter Graham Development Institute, a Research Assistant Professor in the Developmental Psychology Program at the University of North Carolina at Chapel Hill, and Mentor Faculty at the Center for Developmental Science. She serves on the editorial board of the Journal of Marriage and Family and as a reviewer for several other journals. Dr. Pungello is the President of the Brady Education Foundation in Chapel Hill, N.C. and serves on a number of other non-profit boards.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Bradley C. Richardson — </w:t>
      </w:r>
      <w:r>
        <w:rPr>
          <w:rFonts w:ascii="Arial" w:cs="Arial" w:eastAsia="Arial" w:hAnsi="Arial"/>
          <w:sz w:val="16"/>
          <w:szCs w:val="16"/>
          <w:color w:val="auto"/>
        </w:rPr>
        <w:t>Mr. Richardson was elected to the Board of Directors in 2007. He serves as the Chair of the Audit Committee and is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Corporate Governance and Finance Committees. He is the Executive Vice President and CFO of Diebold, Inc. He previously served as the Executive Vice President Corporate Strategy and CFO of Modine Manufacturing from 2003 to 2009. Prior to Modine, he spent 21 years with BP Amoco serving in various financial and operational roles with assignments in North America, South America, and Europe. Mr. Richardson has served on the boards of Modine Manufacturing and Tronox, Inc. He brings to the Company extensive knowledge and experience in the areas of operations, strategy, accounting, tax accounting, and finance, which are areas of critical importance to the Company as a global public company.</w:t>
      </w:r>
    </w:p>
    <w:p>
      <w:pPr>
        <w:spacing w:after="0" w:line="12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8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Board Leadership Structure — </w:t>
      </w:r>
      <w:r>
        <w:rPr>
          <w:rFonts w:ascii="Arial" w:cs="Arial" w:eastAsia="Arial" w:hAnsi="Arial"/>
          <w:sz w:val="16"/>
          <w:szCs w:val="16"/>
          <w:color w:val="auto"/>
        </w:rPr>
        <w:t>The Board does not have a formal policy regarding the separation of the roles of Chief Executive Officer and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as the Board believes it is in the best interests of the Company to make that determination based on the position and direction of the Company and the membership of the Board. The Board currently has not appointed a Chairman of the Board. In fiscal 2010, the Board formalized the position of Lead Independent Director, which is elected on an annual basis from among the independent Directors of the Board based upon the recommendation of the Corporate Governance Committee. In fiscal 2011, upon the recommendation of the Corporate Governance Committee, the Board enhanced the duties of the Lead Independent Director, which include, among others, chairing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 Mr. Galbato currently serves as the Lead Independent Director.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Board believes that its current leadership structure has enhanced the Board’s oversight of, and independence from, Company management; the ability of the Board to carry out its roles and responsibilities on behalf of our shareholders; and our overall corporate governance.</w:t>
      </w:r>
    </w:p>
    <w:p>
      <w:pPr>
        <w:spacing w:after="0" w:line="8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Risk Oversight — </w:t>
      </w:r>
      <w:r>
        <w:rPr>
          <w:rFonts w:ascii="Arial" w:cs="Arial" w:eastAsia="Arial" w:hAnsi="Arial"/>
          <w:sz w:val="16"/>
          <w:szCs w:val="16"/>
          <w:color w:val="auto"/>
        </w:rPr>
        <w:t>The Board oversees the Company’s risk management processes directly and through its committees. In general, the Board oversees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executives at the quarterly disclosure committee meeting. The significance of the risk is assessed by executive management and escalation to the respective board committee and Board of Directors is determined. The Company reviews its risk assessment with the Audit Committee annually.</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Company’s Board of Directors has determined that at least one Audit Committee financial expert is serving on</w:t>
      </w:r>
      <w:r>
        <w:rPr>
          <w:rFonts w:ascii="Arial" w:cs="Arial" w:eastAsia="Arial" w:hAnsi="Arial"/>
          <w:sz w:val="18"/>
          <w:szCs w:val="18"/>
          <w:i w:val="1"/>
          <w:iCs w:val="1"/>
          <w:color w:val="auto"/>
        </w:rPr>
        <w:t xml:space="preserve"> </w:t>
      </w:r>
      <w:r>
        <w:rPr>
          <w:rFonts w:ascii="Arial" w:cs="Arial" w:eastAsia="Arial" w:hAnsi="Arial"/>
          <w:sz w:val="18"/>
          <w:szCs w:val="18"/>
          <w:color w:val="auto"/>
        </w:rPr>
        <w:t>its Audit Committee. Messrs. Richardson, Chair of the Audit Committee, and Allender and Galbato, members of the Audit Committee, are financial experts and are independent as that term is used in Item 7(d)(3)(iv) of Schedule 14A under the Exchange Act.</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Director Independence — </w:t>
      </w:r>
      <w:r>
        <w:rPr>
          <w:rFonts w:ascii="Arial" w:cs="Arial" w:eastAsia="Arial" w:hAnsi="Arial"/>
          <w:sz w:val="18"/>
          <w:szCs w:val="18"/>
          <w:color w:val="auto"/>
        </w:rPr>
        <w:t>A majority of the directors must meet the criteria for independence established by the Board in accordance with the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Mr. Jaehnert, President and CEO, are deemed independent. All members of the Audit, Management Development and Compensation, and Corporate Governance Committees are deemed independent.</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Meetings of Non-management Directors — </w:t>
      </w:r>
      <w:r>
        <w:rPr>
          <w:rFonts w:ascii="Arial" w:cs="Arial" w:eastAsia="Arial" w:hAnsi="Arial"/>
          <w:sz w:val="16"/>
          <w:szCs w:val="16"/>
          <w:color w:val="auto"/>
        </w:rPr>
        <w:t>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The Lead Independent Director, currently Mr. Galbato, is the presiding Director at these sessions. In fiscal 2012, there were 6 executive sessions. Interested parties can raise concerns to be addressed at these meetings by calling the confidential Brady hotline at 1-800-368-3613.</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Audit Committee Members — </w:t>
      </w:r>
      <w:r>
        <w:rPr>
          <w:rFonts w:ascii="Arial" w:cs="Arial" w:eastAsia="Arial" w:hAnsi="Arial"/>
          <w:sz w:val="16"/>
          <w:szCs w:val="16"/>
          <w:color w:val="auto"/>
        </w:rPr>
        <w:t>The Audit Committee, which is a separately-designated standing committee of the Board of Directors, is composed of</w:t>
      </w:r>
      <w:r>
        <w:rPr>
          <w:rFonts w:ascii="Arial" w:cs="Arial" w:eastAsia="Arial" w:hAnsi="Arial"/>
          <w:sz w:val="16"/>
          <w:szCs w:val="16"/>
          <w:i w:val="1"/>
          <w:iCs w:val="1"/>
          <w:color w:val="auto"/>
        </w:rPr>
        <w:t xml:space="preserve"> </w:t>
      </w:r>
      <w:r>
        <w:rPr>
          <w:rFonts w:ascii="Arial" w:cs="Arial" w:eastAsia="Arial" w:hAnsi="Arial"/>
          <w:sz w:val="16"/>
          <w:szCs w:val="16"/>
          <w:color w:val="auto"/>
        </w:rPr>
        <w:t>Messrs. Richardson (Chairman), Galbato, Goodkind and Allender. Each member of the Audit Committee has been determined by the Board to be independent under the rules of the SEC and NYSE. The charter for the Audit Committee is available on the Company’s corporate website at www.bradycorp.com.</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Corporate Governance Guidelines — </w:t>
      </w:r>
      <w:r>
        <w:rPr>
          <w:rFonts w:ascii="Arial" w:cs="Arial" w:eastAsia="Arial" w:hAnsi="Arial"/>
          <w:sz w:val="16"/>
          <w:szCs w:val="16"/>
          <w:color w:val="auto"/>
        </w:rPr>
        <w:t>Brady’s Corporate Governance Principles, as well as the charters for the Audit Committee,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and Management Development and Compensation Committee, are available on the Company’s Corporate website, www.bradycorp.com. Shareholders may request printed copies of these documents from Brady Corporation, Investor Relations, P.O. Box 571, Milwaukee, WI 53201.</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Director Qualifications — </w:t>
      </w:r>
      <w:r>
        <w:rPr>
          <w:rFonts w:ascii="Arial" w:cs="Arial" w:eastAsia="Arial" w:hAnsi="Arial"/>
          <w:sz w:val="16"/>
          <w:szCs w:val="16"/>
          <w:color w:val="auto"/>
        </w:rPr>
        <w:t>Brady’s Corporate Governance Committee reviews the individual skills and characteristics of the Directors,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2012, all Section 16(a) filing requirements applicable to its officers, directors and greater than 10 percent beneficial owners were complied with, other than with respect to the following:</w:t>
      </w:r>
    </w:p>
    <w:p>
      <w:pPr>
        <w:spacing w:after="0" w:line="59"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Elizabeth Pungello’s Form 4 filing on February 3, 2012, contained three transactions made on January 1, 2012 that were inadvertently reported late.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Compensation Discussion and Analysis focuses upon the Brady Corporation total compensation philosophy, the role of the Management Development &amp; Compensation Committee (for purposes of the Compensation Discussion and Analysis section, the “Committee”), total compensation components, market and peer group data, and the approach used by the Committee when determining each element of the total compensation package inclusive of base salary, short-term incentives, long-term incentives, benefits, perquisites and employment agreements for our executive officers.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fiscal 2012, the following executive officers’ compensation is disclosed and discussed in this section (the “named executive officers” or “NEOs”):</w:t>
      </w:r>
    </w:p>
    <w:p>
      <w:pPr>
        <w:spacing w:after="0" w:line="113"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Frank M. Jaehnert, President, Chief Executive Officer and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Thomas J. Felmer, Senior Vice President and Chief Financial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Allan J. Klotsche, Senior Vice President—Human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Peter C. Sephton, President—Brady Europe and Vice President, Brady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Matthew O. Williamson, President—Brady Americas and Vice President, Brady Corporation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Since our founding in 1914, we have grown the company by developing innovative high-performing products, participating in growing markets, delivering on-time solutions and leveraging our core competencies across our businesses. Our strategy is to be the market leader in each of the geographic segments we are focused on.</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passion around market leadership is tempered only by the fact that when we win, we win the right way. Our values have been, and will be, the cornerstone of everything that we do at Brady. Focus on the Customer, Invest in our People, Embrace Teamwork, Excel at Everything We Do, Be Bold and Decisive, Protect Our Future and Win the Right Way describe the behaviors that we expect and reward at Brady.</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order to achieve our goals, we recognize it is critical to assemble and maintain a leadership team with the integrity, skills, and dedication needed to execute our strategic growth plan. We design and use our compensation plans to help us achieve these objectives and align our rewards with the intended behaviors and outcomes.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Fiscal 2012 Performance and Link to Pay Decisions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Despite the headwinds of challenging global economic conditions, we believe we positioned ourselves in 2012 for greater future cash returns to stockholders:</w:t>
      </w:r>
    </w:p>
    <w:p>
      <w:pPr>
        <w:spacing w:after="0" w:line="51" w:lineRule="exact"/>
        <w:rPr>
          <w:sz w:val="20"/>
          <w:szCs w:val="20"/>
          <w:color w:val="auto"/>
        </w:rPr>
      </w:pPr>
    </w:p>
    <w:p>
      <w:pPr>
        <w:ind w:left="900" w:right="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continued to generate strong cash flow during fiscal 2012. During fiscal 2012, we generated free cash flow of $120.6 million, which equates to 112% of net income, exclusive of the impairment charge and restructuring-related expenses.</w:t>
      </w:r>
    </w:p>
    <w:p>
      <w:pPr>
        <w:spacing w:after="0" w:line="50" w:lineRule="exact"/>
        <w:rPr>
          <w:rFonts w:ascii="Arial" w:cs="Arial" w:eastAsia="Arial" w:hAnsi="Arial"/>
          <w:sz w:val="18"/>
          <w:szCs w:val="18"/>
          <w:color w:val="auto"/>
        </w:rPr>
      </w:pPr>
    </w:p>
    <w:p>
      <w:pPr>
        <w:jc w:val="both"/>
        <w:ind w:left="900" w:hanging="325"/>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consistently strong cash flow enabled us to repurchase 1.9 million shares for $49.9 million and pay $38.9 million to our shareholders in the form of dividends. Recently, we announced an annual dividend rate of $0.76 per share, our 27th consecutive year of annual dividend increases, and announced an additional two million share repurchase program. We have 2.1 million shares authorized and available for repurchase as of the date of the new share repurchase program. Returning funds to our shareholders will continue to be an important use of our capital.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Challenging Fiscal 2012 Resulted in Below Target Cash Bonuses and No Performance-Based Stock Option or Restricted Stock Vesting for NEOs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fiscal 2012 results, summarized below, reflect among other things the uncertainties surrounding the European economy, compressed margins in the mobile handset industry, and the depreciation of certain foreign currencies versus the U.S. dollar:</w:t>
      </w:r>
    </w:p>
    <w:p>
      <w:pPr>
        <w:spacing w:after="0" w:line="51" w:lineRule="exact"/>
        <w:rPr>
          <w:sz w:val="20"/>
          <w:szCs w:val="20"/>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 GAAP basis, we incurred a fiscal 2012 net loss of $17.9 million. Net income, excluding the non-cash Asia goodwill impairment charge and restructuring charges, was down 1.3% to $107.3 million in fiscal 2012.</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sales for the full year were $1,324.3 million, down 1.1% from fiscal 2011. Organic sales were down 0.4%, the net impact of acquisitions and divestitures added 0.3% to sales, and foreign currency translation decreased sales by 1.0%.</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fiscal 2012, our gross margin was 48.0% of sales compared with 49.0% in fiscal 2011, and SG&amp;A decreased to 32.5% of sales in fiscal 2012 from 33.0% of sales in fiscal 2011.</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With the exception of our President and Chief Executive Officer, Mr. Jaehnert, base salaries for the other four NEOs increased two percent (2%) over fiscal 2011 levels. Mr. Jaehnert did not receive an increase in his base salary for fiscal 2012. No other changes were made to the target levels of annual cash incentive compensation or annual equity award values given to any of the NEOs for fiscal 2012 relative to fiscal 2011.</w:t>
      </w:r>
    </w:p>
    <w:p>
      <w:pPr>
        <w:spacing w:after="0" w:line="10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Net income and corporate sales growth financial metrics served as performance objectives under our fiscal 2012 bonus plan. Since we did not achieve the threshold level of performance relative to objectives, our NEOs did not receive the portions of bonus related to these metrics for fiscal 2012. Likewise, the regional sales and income from operations goals for the Europe, Middle East and Africa region were not achieved; therefore no bonus for components relative to this region was earned by Mr. Sephton. The achievement of the regional sales and income from operations goals for the Americas were above the threshold levels required for a bonus payment, but below the level required for a target level bonus payment. Accordingly, Mr. Williamson received a bonus payment equal to 33 percent (33%) of his target.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Finally, the earning per share goal established by the Committee for the 2008 award of performance-based restricted stock was not achieved; therefore, none of the shares have vested. The NEOs have an additional opportunity for these awards to vest through earnings per share growth for the fiscal years ending July 31, 2013, or July 31, 2014 and a service vesting requirement through July 31, 2014.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Approve 2012 Omnibus Incentive Stock Plan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By unanimous written consent effective September 26, 2011, the holders of the Company’s Class B Common Stock approved the Brady Corporation 2012 Omnibus Incentive Stock Plan (the “2012 Omnibus Plan”). Under the terms of the 2012 Omnibus Plan, pursuant to which 5,500,000 shares of the Company’s Class A Common Stock have been authorized for issuance, the Company may grant unrestricted stock, nonqualified stock options, incentive stock options, shares of restricted stock and restricted stock units to eligible employees and Directors of the Company and its affiliates. The 2012 Omnibus Plan, which became effective upon shareholder approval, provides that no further grants will be made under the Company’s 2010 Omnibus Incentive Stock Plan after December 31,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part of the Company’s pay for performance philosophy, the Company’s compensation program includes several features that maintain alignment with shareholders: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Emphasis on Variable Compensation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Over 70% of the named executive officers’ possible compensation is tied to Company performance which the Company believes drives shareholder value.</w:t>
      </w:r>
    </w:p>
    <w:p>
      <w:pPr>
        <w:spacing w:after="0" w:line="78" w:lineRule="exact"/>
        <w:rPr>
          <w:sz w:val="20"/>
          <w:szCs w:val="20"/>
          <w:color w:val="auto"/>
        </w:rPr>
      </w:pPr>
    </w:p>
    <w:p>
      <w:pPr>
        <w:sectPr>
          <w:pgSz w:w="11900" w:h="16838" w:orient="portrait"/>
          <w:cols w:equalWidth="0" w:num="2">
            <w:col w:w="2720" w:space="720"/>
            <w:col w:w="79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Ownership Requirements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chief executive officer is required to own at least 100,000 shares of stock in the Company and all other named executive officers are required to hold at least 30,000 shares of stock.</w:t>
      </w:r>
    </w:p>
    <w:p>
      <w:pPr>
        <w:spacing w:after="0" w:line="78" w:lineRule="exact"/>
        <w:rPr>
          <w:sz w:val="20"/>
          <w:szCs w:val="20"/>
          <w:color w:val="auto"/>
        </w:rPr>
      </w:pPr>
    </w:p>
    <w:p>
      <w:pPr>
        <w:sectPr>
          <w:pgSz w:w="11900" w:h="16838" w:orient="portrait"/>
          <w:cols w:equalWidth="0" w:num="2">
            <w:col w:w="2720" w:space="720"/>
            <w:col w:w="79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Clawback Provisions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Upon review of the Committee, the Company is in the process of establishing recoupment policies in the event of financial fraud and/or material inaccuracies for named executive officers.</w:t>
      </w:r>
    </w:p>
    <w:p>
      <w:pPr>
        <w:spacing w:after="0" w:line="78" w:lineRule="exact"/>
        <w:rPr>
          <w:sz w:val="20"/>
          <w:szCs w:val="20"/>
          <w:color w:val="auto"/>
        </w:rPr>
      </w:pPr>
    </w:p>
    <w:p>
      <w:pPr>
        <w:sectPr>
          <w:pgSz w:w="11900" w:h="16838" w:orient="portrait"/>
          <w:cols w:equalWidth="0" w:num="2">
            <w:col w:w="2720" w:space="720"/>
            <w:col w:w="79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Performance Thresholds and Caps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Generally, 100% of annual cash and more than 50% of annual equity incentive programs require the achievement of performance goals in order to result in any payment. In addition, the annual cash incentive plan has a maximum payment cap.</w:t>
      </w:r>
    </w:p>
    <w:p>
      <w:pPr>
        <w:spacing w:after="0" w:line="86" w:lineRule="exact"/>
        <w:rPr>
          <w:sz w:val="20"/>
          <w:szCs w:val="20"/>
          <w:color w:val="auto"/>
        </w:rPr>
      </w:pPr>
    </w:p>
    <w:p>
      <w:pPr>
        <w:sectPr>
          <w:pgSz w:w="11900" w:h="16838" w:orient="portrait"/>
          <w:cols w:equalWidth="0" w:num="2">
            <w:col w:w="2720" w:space="720"/>
            <w:col w:w="79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Securities Trading Policy</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Arial" w:cs="Arial" w:eastAsia="Arial" w:hAnsi="Arial"/>
          <w:sz w:val="18"/>
          <w:szCs w:val="18"/>
          <w:color w:val="auto"/>
        </w:rPr>
        <w:t>We prohibit executive officers from trading during certain periods at the end of each quarter until after we disclose our financial and operating results. We may impose additional restricted trading periods at any time if we believe trading by executives would not be appropriate because of developments that are, or could be, material.</w:t>
      </w:r>
    </w:p>
    <w:p>
      <w:pPr>
        <w:spacing w:after="0" w:line="89" w:lineRule="exact"/>
        <w:rPr>
          <w:sz w:val="20"/>
          <w:szCs w:val="20"/>
          <w:color w:val="auto"/>
        </w:rPr>
      </w:pPr>
    </w:p>
    <w:p>
      <w:pPr>
        <w:sectPr>
          <w:pgSz w:w="11900" w:h="16838" w:orient="portrait"/>
          <w:cols w:equalWidth="0" w:num="2">
            <w:col w:w="2720" w:space="720"/>
            <w:col w:w="79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Annual Risk Reviews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The Company conducts an annual risk review and presents findings and suggested risk mitigation actions to both the Audit and Management Development and Compensation Committees.</w:t>
      </w:r>
    </w:p>
    <w:p>
      <w:pPr>
        <w:spacing w:after="0" w:line="200" w:lineRule="exact"/>
        <w:rPr>
          <w:sz w:val="20"/>
          <w:szCs w:val="20"/>
          <w:color w:val="auto"/>
        </w:rPr>
      </w:pPr>
    </w:p>
    <w:p>
      <w:pPr>
        <w:sectPr>
          <w:pgSz w:w="11900" w:h="16838" w:orient="portrait"/>
          <w:cols w:equalWidth="0" w:num="2">
            <w:col w:w="2720" w:space="720"/>
            <w:col w:w="7980"/>
          </w:cols>
          <w:pgMar w:left="240" w:top="459" w:right="239" w:bottom="1440" w:gutter="0" w:footer="0" w:header="0"/>
          <w:type w:val="continuous"/>
        </w:sectPr>
      </w:pPr>
    </w:p>
    <w:p>
      <w:pPr>
        <w:spacing w:after="0" w:line="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compensation programs also maintain alignment with shareholders by not including certain features:</w:t>
      </w:r>
    </w:p>
    <w:p>
      <w:pPr>
        <w:sectPr>
          <w:pgSz w:w="11900" w:h="16838" w:orient="portrait"/>
          <w:cols w:equalWidth="0" w:num="1">
            <w:col w:w="11420"/>
          </w:cols>
          <w:pgMar w:left="240" w:top="459" w:right="2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No Excessive Change in Control Severance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chief executive officer, the maximum cash benefit is equal to 3x salary and the average bonus payment received in the three years immediately prior to the date the change of control occurs. For all other named executive officers, the maximum cash benefit is equal to 2x salary and the average bonus payment received in the three years immediately prior to the date the change of control occurs.</w:t>
      </w:r>
    </w:p>
    <w:p>
      <w:pPr>
        <w:spacing w:after="0" w:line="59" w:lineRule="exact"/>
        <w:rPr>
          <w:sz w:val="20"/>
          <w:szCs w:val="20"/>
          <w:color w:val="auto"/>
        </w:rPr>
      </w:pPr>
    </w:p>
    <w:p>
      <w:pPr>
        <w:sectPr>
          <w:pgSz w:w="11900" w:h="16838" w:orient="portrait"/>
          <w:cols w:equalWidth="0" w:num="2">
            <w:col w:w="3080" w:space="360"/>
            <w:col w:w="79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 Employment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Company does not maintain any employment agreements with its executives.</w:t>
      </w:r>
    </w:p>
    <w:p>
      <w:pPr>
        <w:spacing w:after="0" w:line="151" w:lineRule="exact"/>
        <w:rPr>
          <w:sz w:val="20"/>
          <w:szCs w:val="20"/>
          <w:color w:val="auto"/>
        </w:rPr>
      </w:pPr>
    </w:p>
    <w:p>
      <w:pPr>
        <w:sectPr>
          <w:pgSz w:w="11900" w:h="16838" w:orient="portrait"/>
          <w:cols w:equalWidth="0" w:num="2">
            <w:col w:w="2720" w:space="720"/>
            <w:col w:w="7980"/>
          </w:cols>
          <w:pgMar w:left="240" w:top="459" w:right="239" w:bottom="1440" w:gutter="0" w:footer="0" w:header="0"/>
          <w:type w:val="continuous"/>
        </w:sectPr>
      </w:pPr>
    </w:p>
    <w:p>
      <w:pPr>
        <w:ind w:left="220" w:hanging="215"/>
        <w:spacing w:after="0" w:line="268"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Options issued are not repriced, replaced, or regranted through cancellation or by lowering the option price of a previously granted option.</w:t>
      </w:r>
    </w:p>
    <w:p>
      <w:pPr>
        <w:spacing w:after="0" w:line="200" w:lineRule="exact"/>
        <w:rPr>
          <w:sz w:val="20"/>
          <w:szCs w:val="20"/>
          <w:color w:val="auto"/>
        </w:rPr>
      </w:pPr>
    </w:p>
    <w:p>
      <w:pPr>
        <w:sectPr>
          <w:pgSz w:w="11900" w:h="16838" w:orient="portrait"/>
          <w:cols w:equalWidth="0" w:num="2">
            <w:col w:w="3200" w:space="240"/>
            <w:col w:w="7980"/>
          </w:cols>
          <w:pgMar w:left="240" w:top="459"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seek to align the interests of our executives with those of our investors by evaluating performance on the basis of key financial measurements which we believe closely correlate to long-term shareholder value. To this end, we have structured our compensation program around the following principles:</w:t>
      </w:r>
    </w:p>
    <w:p>
      <w:pPr>
        <w:spacing w:after="0" w:line="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targeted at the median of our compensation peers;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Incentivize long-term shareholder value creation by encouraging behaviors which facilitate long-term success without undue risk taking;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Reinforce top-tier company performance through a merit-based, pay-for-performance culture that is aligned with our Company values.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and Compensation Committee’s Role</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Management Development and Compensation Committee of the Board of Directors is responsible for monitoring and approving the compensation of the Company’s named executive officers. The Committee approves compensation and benefit policies and strategies; approves corporate goals and objectives relative to the chief executive officer and other executive officer compensation; oversees the development process and reviews development plans of key executives; reviews compensation-related risk; administers our equity incentive plans including compliance with executive share ownership requirements; approves all severance policies; and consults with management regarding employee compensation generally. With respect to executive officers, at the beginning of each year, the Committee sets base salaries, approves the cash and equity incentive awards, and establishes the objective performance targets to be achieved for the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Committee has historically utilized the services of an independent executive compensation consulting firm, Pearl Meyer, to assist with the review and evaluation of compensation levels and policies on a bi-annual basis. Their expertise may also be utilized in modifying any existing or proposing any new compensation arrangements. The Committee last met with Pearl Meyer in fiscal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Chief Executive Officer makes recommendations to the Committee concerning compensation for each named executive officer other than himself. The Committee takes these recommendations, along with the results of the Company during the fiscal year, and the level of responsibility, demonstrated leadership capability and the external value of their experience as estimated with market data into consideration when approving compensation changes. Our chief executive officer does not attend the portion of any committee meeting during which the committee discusses matters related specifically to his compensation. In addition, in setting compensation for our executive officers, the Committee considers the results of our annual performance reviews which, for our chief executive officer, includes feedback from his direct reports and a self-appraisal.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Tally Sheets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Committee reviews executive officer compensation tally sheets each year. These summaries set forth the dollar amount of all components of each named executive officer’s compensation, including base salary, annual target and actual cash incentive compensation, annual equity incentive compensation, value of outstanding equity, stock option exercises during the year, value of Brady’s contribution to retirement plans, value of company-provided health and welfare benefits and taxes. Reviewing this information allows the Committee to see what an executive officer’s total compensation is and how a potential change to an element of our compensation program would affect an executive officer’s overall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total compensation program includes five components: base salary, annual cash incentives, long-term equity incentives, employee benefits and perquisites. Each component serves a particular purpose and, therefore, each is considered independent of the other components, although all five components combine to provide a holistic total compensation approach. We use these components of compensation to attract, retain, motivate, develop and reward our executives.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base salary, annual cash and long-term equity incentive components are determined through a pay-for-performance approach, targeted at market median for the achievement of performance goals with an opportunity for upper quartile pay when top-tier performance is achieved. The following table describes the purpose of each performance-based component and how that component is related to our pay-for-performance approach:</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Annual cash incentive awards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Purpose of Compensation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1780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jc w:val="both"/>
        <w:spacing w:after="0" w:line="298" w:lineRule="auto"/>
        <w:rPr>
          <w:sz w:val="20"/>
          <w:szCs w:val="20"/>
          <w:color w:val="auto"/>
        </w:rPr>
      </w:pPr>
      <w:r>
        <w:rPr>
          <w:rFonts w:ascii="Arial" w:cs="Arial" w:eastAsia="Arial" w:hAnsi="Arial"/>
          <w:sz w:val="16"/>
          <w:szCs w:val="16"/>
          <w:color w:val="auto"/>
        </w:rPr>
        <w:t>A fixed level of income security used to attract and retain employees by compensating them for the primary functions and responsibilities of the position.</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attract, retain, motivate and reward employees for achieving or exceeding annual performance goals at company and regional levels.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Component in Relation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31813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both"/>
        <w:ind w:right="20"/>
        <w:spacing w:after="0" w:line="259" w:lineRule="auto"/>
        <w:rPr>
          <w:sz w:val="20"/>
          <w:szCs w:val="20"/>
          <w:color w:val="auto"/>
        </w:rPr>
      </w:pPr>
      <w:r>
        <w:rPr>
          <w:rFonts w:ascii="Arial" w:cs="Arial" w:eastAsia="Arial" w:hAnsi="Arial"/>
          <w:sz w:val="18"/>
          <w:szCs w:val="18"/>
          <w:color w:val="auto"/>
        </w:rPr>
        <w:t>The base salary increase an employee receives depends upon the employee’s individual performance, and the employee’s displayed skills and competencies.</w:t>
      </w:r>
    </w:p>
    <w:p>
      <w:pPr>
        <w:spacing w:after="0" w:line="30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Financial performance determines the actual amount of the executive’s annual cash incentive award. Award amounts are “self-funded” because they are included in the financial performance results when determining actual financial performance.</w:t>
      </w:r>
    </w:p>
    <w:p>
      <w:pPr>
        <w:spacing w:after="0" w:line="59" w:lineRule="exact"/>
        <w:rPr>
          <w:sz w:val="20"/>
          <w:szCs w:val="20"/>
          <w:color w:val="auto"/>
        </w:rPr>
      </w:pPr>
    </w:p>
    <w:p>
      <w:pPr>
        <w:sectPr>
          <w:pgSz w:w="11900" w:h="16838" w:orient="portrait"/>
          <w:cols w:equalWidth="0" w:num="3">
            <w:col w:w="2160" w:space="720"/>
            <w:col w:w="3420" w:space="100"/>
            <w:col w:w="5020"/>
          </w:cols>
          <w:pgMar w:left="240" w:top="459" w:right="239" w:bottom="1440" w:gutter="0" w:footer="0" w:header="0"/>
          <w:type w:val="continuous"/>
        </w:sectPr>
      </w:pPr>
    </w:p>
    <w:p>
      <w:pPr>
        <w:spacing w:after="0"/>
        <w:tabs>
          <w:tab w:leader="none" w:pos="680" w:val="left"/>
          <w:tab w:leader="none" w:pos="1320" w:val="left"/>
          <w:tab w:leader="none" w:pos="2140" w:val="left"/>
        </w:tabs>
        <w:rPr>
          <w:sz w:val="20"/>
          <w:szCs w:val="20"/>
          <w:color w:val="auto"/>
        </w:rPr>
      </w:pPr>
      <w:r>
        <w:rPr>
          <w:rFonts w:ascii="Arial" w:cs="Arial" w:eastAsia="Arial" w:hAnsi="Arial"/>
          <w:sz w:val="18"/>
          <w:szCs w:val="18"/>
          <w:color w:val="auto"/>
        </w:rPr>
        <w:t>Annual</w:t>
        <w:tab/>
        <w:t>Equity</w:t>
        <w:tab/>
        <w:t>Incentive</w:t>
      </w:r>
      <w:r>
        <w:rPr>
          <w:sz w:val="20"/>
          <w:szCs w:val="20"/>
          <w:color w:val="auto"/>
        </w:rPr>
        <w:tab/>
      </w:r>
      <w:r>
        <w:rPr>
          <w:rFonts w:ascii="Arial" w:cs="Arial" w:eastAsia="Arial" w:hAnsi="Arial"/>
          <w:sz w:val="16"/>
          <w:szCs w:val="16"/>
          <w:color w:val="auto"/>
        </w:rPr>
        <w:t>Awards:  To attract, retain, motivate and reward top talent</w:t>
      </w:r>
    </w:p>
    <w:p>
      <w:pPr>
        <w:spacing w:after="0" w:line="15" w:lineRule="exact"/>
        <w:rPr>
          <w:sz w:val="20"/>
          <w:szCs w:val="20"/>
          <w:color w:val="auto"/>
        </w:rPr>
      </w:pPr>
    </w:p>
    <w:p>
      <w:pPr>
        <w:ind w:left="220"/>
        <w:spacing w:after="0"/>
        <w:tabs>
          <w:tab w:leader="none" w:pos="1180" w:val="left"/>
          <w:tab w:leader="none" w:pos="1740" w:val="left"/>
          <w:tab w:leader="none" w:pos="2460" w:val="left"/>
          <w:tab w:leader="none" w:pos="3240" w:val="left"/>
          <w:tab w:leader="none" w:pos="3620" w:val="left"/>
          <w:tab w:leader="none" w:pos="4520" w:val="left"/>
          <w:tab w:leader="none" w:pos="5260" w:val="left"/>
          <w:tab w:leader="none" w:pos="5580" w:val="left"/>
        </w:tabs>
        <w:rPr>
          <w:sz w:val="20"/>
          <w:szCs w:val="20"/>
          <w:color w:val="auto"/>
        </w:rPr>
      </w:pPr>
      <w:r>
        <w:rPr>
          <w:rFonts w:ascii="Arial" w:cs="Arial" w:eastAsia="Arial" w:hAnsi="Arial"/>
          <w:sz w:val="18"/>
          <w:szCs w:val="18"/>
          <w:color w:val="auto"/>
        </w:rPr>
        <w:t>Time-based</w:t>
        <w:tab/>
        <w:t>Stock</w:t>
        <w:tab/>
        <w:t>Options</w:t>
        <w:tab/>
        <w:t>and  for</w:t>
        <w:tab/>
        <w:t>the</w:t>
        <w:tab/>
        <w:t>successful</w:t>
        <w:tab/>
        <w:t>creation</w:t>
        <w:tab/>
        <w:t>of</w:t>
      </w:r>
      <w:r>
        <w:rPr>
          <w:sz w:val="20"/>
          <w:szCs w:val="20"/>
          <w:color w:val="auto"/>
        </w:rPr>
        <w:tab/>
      </w:r>
      <w:r>
        <w:rPr>
          <w:rFonts w:ascii="Arial" w:cs="Arial" w:eastAsia="Arial" w:hAnsi="Arial"/>
          <w:sz w:val="16"/>
          <w:szCs w:val="16"/>
          <w:color w:val="auto"/>
        </w:rPr>
        <w:t>long-term</w:t>
      </w:r>
    </w:p>
    <w:p>
      <w:pPr>
        <w:spacing w:after="0" w:line="9" w:lineRule="exact"/>
        <w:rPr>
          <w:sz w:val="20"/>
          <w:szCs w:val="20"/>
          <w:color w:val="auto"/>
        </w:rPr>
      </w:pPr>
    </w:p>
    <w:p>
      <w:pPr>
        <w:ind w:left="220"/>
        <w:spacing w:after="0"/>
        <w:tabs>
          <w:tab w:leader="none" w:pos="2860" w:val="left"/>
        </w:tabs>
        <w:rPr>
          <w:sz w:val="20"/>
          <w:szCs w:val="20"/>
          <w:color w:val="auto"/>
        </w:rPr>
      </w:pPr>
      <w:r>
        <w:rPr>
          <w:rFonts w:ascii="Arial" w:cs="Arial" w:eastAsia="Arial" w:hAnsi="Arial"/>
          <w:sz w:val="18"/>
          <w:szCs w:val="18"/>
          <w:color w:val="auto"/>
        </w:rPr>
        <w:t>Performance-based Stock Options</w:t>
      </w:r>
      <w:r>
        <w:rPr>
          <w:sz w:val="20"/>
          <w:szCs w:val="20"/>
          <w:color w:val="auto"/>
        </w:rPr>
        <w:tab/>
      </w:r>
      <w:r>
        <w:rPr>
          <w:rFonts w:ascii="Arial" w:cs="Arial" w:eastAsia="Arial" w:hAnsi="Arial"/>
          <w:sz w:val="15"/>
          <w:szCs w:val="15"/>
          <w:color w:val="auto"/>
        </w:rPr>
        <w:t>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Our Total Compensation Component Levels</w:t>
      </w:r>
    </w:p>
    <w:p>
      <w:pPr>
        <w:spacing w:after="0" w:line="20" w:lineRule="exact"/>
        <w:rPr>
          <w:sz w:val="20"/>
          <w:szCs w:val="20"/>
          <w:color w:val="auto"/>
        </w:rPr>
      </w:pPr>
      <w:r>
        <w:rPr>
          <w:sz w:val="20"/>
          <w:szCs w:val="20"/>
          <w:color w:val="auto"/>
        </w:rPr>
        <w:br w:type="column"/>
      </w:r>
    </w:p>
    <w:p>
      <w:pPr>
        <w:jc w:val="both"/>
        <w:spacing w:after="0" w:line="289" w:lineRule="auto"/>
        <w:rPr>
          <w:sz w:val="20"/>
          <w:szCs w:val="20"/>
          <w:color w:val="auto"/>
        </w:rPr>
      </w:pPr>
      <w:r>
        <w:rPr>
          <w:rFonts w:ascii="Arial" w:cs="Arial" w:eastAsia="Arial" w:hAnsi="Arial"/>
          <w:sz w:val="16"/>
          <w:szCs w:val="16"/>
          <w:color w:val="auto"/>
        </w:rPr>
        <w:t>Market competitive grant levels are used to determine the amount of equity granted to each executive, established within an equity grant budget. All of the equity granted is subject to Company performance. Stock options are inherently performance-based in that the stock price must increase over time to provide compensation value to the executive. Additional performance criteria are added to the performance-based stock options to further align our executive’s interests with those of our shareholders.</w:t>
      </w:r>
    </w:p>
    <w:p>
      <w:pPr>
        <w:spacing w:after="0" w:line="496" w:lineRule="exact"/>
        <w:rPr>
          <w:sz w:val="20"/>
          <w:szCs w:val="20"/>
          <w:color w:val="auto"/>
        </w:rPr>
      </w:pPr>
    </w:p>
    <w:p>
      <w:pPr>
        <w:sectPr>
          <w:pgSz w:w="11900" w:h="16838" w:orient="portrait"/>
          <w:cols w:equalWidth="0" w:num="2">
            <w:col w:w="6300" w:space="100"/>
            <w:col w:w="5020"/>
          </w:cols>
          <w:pgMar w:left="240" w:top="459" w:right="239" w:bottom="1440" w:gutter="0" w:footer="0" w:header="0"/>
          <w:type w:val="continuous"/>
        </w:sectPr>
      </w:pPr>
    </w:p>
    <w:p>
      <w:pPr>
        <w:jc w:val="both"/>
        <w:ind w:firstLine="456"/>
        <w:spacing w:after="0" w:line="294" w:lineRule="auto"/>
        <w:rPr>
          <w:sz w:val="20"/>
          <w:szCs w:val="20"/>
          <w:color w:val="auto"/>
        </w:rPr>
      </w:pPr>
      <w:r>
        <w:rPr>
          <w:rFonts w:ascii="Arial" w:cs="Arial" w:eastAsia="Arial" w:hAnsi="Arial"/>
          <w:sz w:val="16"/>
          <w:szCs w:val="16"/>
          <w:color w:val="auto"/>
        </w:rPr>
        <w:t>In addition to the nationally recognized compensation surveys, the Committee has historically used peer group data for similar positions nationally to test the reasonableness and competitiveness of several components of compensation, including base salaries, annual cash incentives, and long-term equity incentives by position. A total compensation benchmarking analysis of peer companies selected on the basis of revenue size, industry and financial performance relative to the S&amp;P 600 was conducted by Pearl Meyer for fiscal 2011. A repeat study was not performed for fiscal 2012; however, no material changes were made to the levels of executive compensation. The peer group used for the fiscal 2011 analysis included the following companies: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Brady’s 2011-2012 Peer Group</w:t>
            </w:r>
          </w:p>
        </w:tc>
        <w:tc>
          <w:tcPr>
            <w:tcW w:w="3720" w:type="dxa"/>
            <w:vAlign w:val="bottom"/>
          </w:tcPr>
          <w:p>
            <w:pPr>
              <w:spacing w:after="0"/>
              <w:rPr>
                <w:sz w:val="19"/>
                <w:szCs w:val="19"/>
                <w:color w:val="auto"/>
              </w:rPr>
            </w:pPr>
          </w:p>
        </w:tc>
      </w:tr>
      <w:tr>
        <w:trPr>
          <w:trHeight w:val="425"/>
        </w:trPr>
        <w:tc>
          <w:tcPr>
            <w:tcW w:w="3320" w:type="dxa"/>
            <w:vAlign w:val="bottom"/>
          </w:tcPr>
          <w:p>
            <w:pPr>
              <w:spacing w:after="0"/>
              <w:rPr>
                <w:sz w:val="20"/>
                <w:szCs w:val="20"/>
                <w:color w:val="auto"/>
              </w:rPr>
            </w:pPr>
            <w:r>
              <w:rPr>
                <w:rFonts w:ascii="Arial" w:cs="Arial" w:eastAsia="Arial" w:hAnsi="Arial"/>
                <w:sz w:val="18"/>
                <w:szCs w:val="18"/>
                <w:color w:val="auto"/>
              </w:rPr>
              <w:t>A.O. Smith Corporation</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Graco Inc.</w:t>
            </w:r>
          </w:p>
        </w:tc>
        <w:tc>
          <w:tcPr>
            <w:tcW w:w="3720" w:type="dxa"/>
            <w:vAlign w:val="bottom"/>
          </w:tcPr>
          <w:p>
            <w:pPr>
              <w:ind w:left="1080"/>
              <w:spacing w:after="0"/>
              <w:rPr>
                <w:sz w:val="20"/>
                <w:szCs w:val="20"/>
                <w:color w:val="auto"/>
              </w:rPr>
            </w:pPr>
            <w:r>
              <w:rPr>
                <w:rFonts w:ascii="Arial" w:cs="Arial" w:eastAsia="Arial" w:hAnsi="Arial"/>
                <w:sz w:val="18"/>
                <w:szCs w:val="18"/>
                <w:color w:val="auto"/>
                <w:w w:val="89"/>
              </w:rPr>
              <w:t>MSC Industrial Direct Company, Inc.</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Actuant Corporation</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Greif, Inc.</w:t>
            </w:r>
          </w:p>
        </w:tc>
        <w:tc>
          <w:tcPr>
            <w:tcW w:w="3720" w:type="dxa"/>
            <w:vAlign w:val="bottom"/>
          </w:tcPr>
          <w:p>
            <w:pPr>
              <w:ind w:left="1080"/>
              <w:spacing w:after="0"/>
              <w:rPr>
                <w:sz w:val="20"/>
                <w:szCs w:val="20"/>
                <w:color w:val="auto"/>
              </w:rPr>
            </w:pPr>
            <w:r>
              <w:rPr>
                <w:rFonts w:ascii="Arial" w:cs="Arial" w:eastAsia="Arial" w:hAnsi="Arial"/>
                <w:sz w:val="18"/>
                <w:szCs w:val="18"/>
                <w:color w:val="auto"/>
              </w:rPr>
              <w:t>Plexus Corporation</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Ameron International Corporation</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Herman Miller Inc.</w:t>
            </w:r>
          </w:p>
        </w:tc>
        <w:tc>
          <w:tcPr>
            <w:tcW w:w="3720" w:type="dxa"/>
            <w:vAlign w:val="bottom"/>
          </w:tcPr>
          <w:p>
            <w:pPr>
              <w:ind w:left="1080"/>
              <w:spacing w:after="0"/>
              <w:rPr>
                <w:sz w:val="20"/>
                <w:szCs w:val="20"/>
                <w:color w:val="auto"/>
              </w:rPr>
            </w:pPr>
            <w:r>
              <w:rPr>
                <w:rFonts w:ascii="Arial" w:cs="Arial" w:eastAsia="Arial" w:hAnsi="Arial"/>
                <w:sz w:val="18"/>
                <w:szCs w:val="18"/>
                <w:color w:val="auto"/>
              </w:rPr>
              <w:t>Rayonier Inc.</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AMETEK, Inc.</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Hexcel Corporation</w:t>
            </w:r>
          </w:p>
        </w:tc>
        <w:tc>
          <w:tcPr>
            <w:tcW w:w="3720" w:type="dxa"/>
            <w:vAlign w:val="bottom"/>
          </w:tcPr>
          <w:p>
            <w:pPr>
              <w:ind w:left="1080"/>
              <w:spacing w:after="0"/>
              <w:rPr>
                <w:sz w:val="20"/>
                <w:szCs w:val="20"/>
                <w:color w:val="auto"/>
              </w:rPr>
            </w:pPr>
            <w:r>
              <w:rPr>
                <w:rFonts w:ascii="Arial" w:cs="Arial" w:eastAsia="Arial" w:hAnsi="Arial"/>
                <w:sz w:val="18"/>
                <w:szCs w:val="18"/>
                <w:color w:val="auto"/>
              </w:rPr>
              <w:t>Regal Beloit Corporation</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Bio-Rad Laboratories, Inc.</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HNI Corporation</w:t>
            </w:r>
          </w:p>
        </w:tc>
        <w:tc>
          <w:tcPr>
            <w:tcW w:w="3720" w:type="dxa"/>
            <w:vAlign w:val="bottom"/>
          </w:tcPr>
          <w:p>
            <w:pPr>
              <w:ind w:left="1080"/>
              <w:spacing w:after="0"/>
              <w:rPr>
                <w:sz w:val="20"/>
                <w:szCs w:val="20"/>
                <w:color w:val="auto"/>
              </w:rPr>
            </w:pPr>
            <w:r>
              <w:rPr>
                <w:rFonts w:ascii="Arial" w:cs="Arial" w:eastAsia="Arial" w:hAnsi="Arial"/>
                <w:sz w:val="18"/>
                <w:szCs w:val="18"/>
                <w:color w:val="auto"/>
              </w:rPr>
              <w:t>Snap-On Inc.</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Cubic Corporation</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IDEX Corporation</w:t>
            </w:r>
          </w:p>
        </w:tc>
        <w:tc>
          <w:tcPr>
            <w:tcW w:w="3720" w:type="dxa"/>
            <w:vAlign w:val="bottom"/>
          </w:tcPr>
          <w:p>
            <w:pPr>
              <w:ind w:left="1080"/>
              <w:spacing w:after="0"/>
              <w:rPr>
                <w:sz w:val="20"/>
                <w:szCs w:val="20"/>
                <w:color w:val="auto"/>
              </w:rPr>
            </w:pPr>
            <w:r>
              <w:rPr>
                <w:rFonts w:ascii="Arial" w:cs="Arial" w:eastAsia="Arial" w:hAnsi="Arial"/>
                <w:sz w:val="18"/>
                <w:szCs w:val="18"/>
                <w:color w:val="auto"/>
              </w:rPr>
              <w:t>Temple Inland Inc.</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Curtiss-Wright Corporation</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Lincoln Electric Holdings Inc.</w:t>
            </w:r>
          </w:p>
        </w:tc>
        <w:tc>
          <w:tcPr>
            <w:tcW w:w="3720" w:type="dxa"/>
            <w:vAlign w:val="bottom"/>
          </w:tcPr>
          <w:p>
            <w:pPr>
              <w:ind w:left="1080"/>
              <w:spacing w:after="0"/>
              <w:rPr>
                <w:sz w:val="20"/>
                <w:szCs w:val="20"/>
                <w:color w:val="auto"/>
              </w:rPr>
            </w:pPr>
            <w:r>
              <w:rPr>
                <w:rFonts w:ascii="Arial" w:cs="Arial" w:eastAsia="Arial" w:hAnsi="Arial"/>
                <w:sz w:val="18"/>
                <w:szCs w:val="18"/>
                <w:color w:val="auto"/>
              </w:rPr>
              <w:t>Thomas &amp; Betts Corporation</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Dentsply International Inc.</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w w:val="94"/>
              </w:rPr>
              <w:t>Matthews International Corporation</w:t>
            </w:r>
          </w:p>
        </w:tc>
        <w:tc>
          <w:tcPr>
            <w:tcW w:w="3720" w:type="dxa"/>
            <w:vAlign w:val="bottom"/>
          </w:tcPr>
          <w:p>
            <w:pPr>
              <w:ind w:left="1080"/>
              <w:spacing w:after="0"/>
              <w:rPr>
                <w:sz w:val="20"/>
                <w:szCs w:val="20"/>
                <w:color w:val="auto"/>
              </w:rPr>
            </w:pPr>
            <w:r>
              <w:rPr>
                <w:rFonts w:ascii="Arial" w:cs="Arial" w:eastAsia="Arial" w:hAnsi="Arial"/>
                <w:sz w:val="18"/>
                <w:szCs w:val="18"/>
                <w:color w:val="auto"/>
              </w:rPr>
              <w:t>Toro Corporation</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Donaldson Company, Inc.</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rPr>
              <w:t>MetroPCS Communications Inc.</w:t>
            </w:r>
          </w:p>
        </w:tc>
        <w:tc>
          <w:tcPr>
            <w:tcW w:w="3720" w:type="dxa"/>
            <w:vAlign w:val="bottom"/>
          </w:tcPr>
          <w:p>
            <w:pPr>
              <w:ind w:left="1080"/>
              <w:spacing w:after="0"/>
              <w:rPr>
                <w:sz w:val="20"/>
                <w:szCs w:val="20"/>
                <w:color w:val="auto"/>
              </w:rPr>
            </w:pPr>
            <w:r>
              <w:rPr>
                <w:rFonts w:ascii="Arial" w:cs="Arial" w:eastAsia="Arial" w:hAnsi="Arial"/>
                <w:sz w:val="18"/>
                <w:szCs w:val="18"/>
                <w:color w:val="auto"/>
              </w:rPr>
              <w:t>Tupperware Brands Corporation</w:t>
            </w:r>
          </w:p>
        </w:tc>
      </w:tr>
      <w:tr>
        <w:trPr>
          <w:trHeight w:val="324"/>
        </w:trPr>
        <w:tc>
          <w:tcPr>
            <w:tcW w:w="3320" w:type="dxa"/>
            <w:vAlign w:val="bottom"/>
          </w:tcPr>
          <w:p>
            <w:pPr>
              <w:spacing w:after="0"/>
              <w:rPr>
                <w:sz w:val="20"/>
                <w:szCs w:val="20"/>
                <w:color w:val="auto"/>
              </w:rPr>
            </w:pPr>
            <w:r>
              <w:rPr>
                <w:rFonts w:ascii="Arial" w:cs="Arial" w:eastAsia="Arial" w:hAnsi="Arial"/>
                <w:sz w:val="18"/>
                <w:szCs w:val="18"/>
                <w:color w:val="auto"/>
              </w:rPr>
              <w:t>Garmin Ltd.</w:t>
            </w:r>
          </w:p>
        </w:tc>
        <w:tc>
          <w:tcPr>
            <w:tcW w:w="3580" w:type="dxa"/>
            <w:vAlign w:val="bottom"/>
            <w:gridSpan w:val="2"/>
          </w:tcPr>
          <w:p>
            <w:pPr>
              <w:ind w:left="900"/>
              <w:spacing w:after="0"/>
              <w:rPr>
                <w:sz w:val="20"/>
                <w:szCs w:val="20"/>
                <w:color w:val="auto"/>
              </w:rPr>
            </w:pPr>
            <w:r>
              <w:rPr>
                <w:rFonts w:ascii="Arial" w:cs="Arial" w:eastAsia="Arial" w:hAnsi="Arial"/>
                <w:sz w:val="18"/>
                <w:szCs w:val="18"/>
                <w:color w:val="auto"/>
                <w:w w:val="98"/>
              </w:rPr>
              <w:t>Mine Safety Appliances Company</w:t>
            </w:r>
          </w:p>
        </w:tc>
        <w:tc>
          <w:tcPr>
            <w:tcW w:w="3720" w:type="dxa"/>
            <w:vAlign w:val="bottom"/>
          </w:tcPr>
          <w:p>
            <w:pPr>
              <w:ind w:left="1080"/>
              <w:spacing w:after="0"/>
              <w:rPr>
                <w:sz w:val="20"/>
                <w:szCs w:val="20"/>
                <w:color w:val="auto"/>
              </w:rPr>
            </w:pPr>
            <w:r>
              <w:rPr>
                <w:rFonts w:ascii="Arial" w:cs="Arial" w:eastAsia="Arial" w:hAnsi="Arial"/>
                <w:sz w:val="18"/>
                <w:szCs w:val="18"/>
                <w:color w:val="auto"/>
              </w:rPr>
              <w:t>Warnaco Group Inc.</w:t>
            </w:r>
          </w:p>
        </w:tc>
      </w:tr>
    </w:tbl>
    <w:p>
      <w:pPr>
        <w:spacing w:after="0" w:line="15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Based on our last analysis, the base salaries of our named executive officers were at the 50th percentile of our peers, and target total compensation of our named executive officers was generally above the 50th percentile of our peers, although certain of the named executive officers were above and others were below such mark.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Named Executive Officer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Mr. Jaehnert recommended and the Committee agreed to provide a two percent (2%) increase in salary for each of the named executive officers for fiscal 2012, an increase aligned with the fiscal year budget. Additionally, Mr. Jaehnert requested and the Committee accepted his request to forgo an increase to his annual salary in light of economic conditions and a reduced merit budget for all employees for fiscal 2012.</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2011</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2012</w:t>
            </w: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Percentage Increase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Effective Date</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7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gridSpan w:val="2"/>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$800,000</w:t>
            </w:r>
          </w:p>
        </w:tc>
        <w:tc>
          <w:tcPr>
            <w:tcW w:w="6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$800,000</w:t>
            </w:r>
          </w:p>
        </w:tc>
        <w:tc>
          <w:tcPr>
            <w:tcW w:w="58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11/01/2011</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Thomas J. Felmer</w:t>
            </w:r>
          </w:p>
        </w:tc>
        <w:tc>
          <w:tcPr>
            <w:tcW w:w="2400" w:type="dxa"/>
            <w:vAlign w:val="bottom"/>
            <w:gridSpan w:val="2"/>
          </w:tcPr>
          <w:p>
            <w:pPr>
              <w:ind w:left="1720"/>
              <w:spacing w:after="0"/>
              <w:rPr>
                <w:sz w:val="20"/>
                <w:szCs w:val="20"/>
                <w:color w:val="auto"/>
              </w:rPr>
            </w:pPr>
            <w:r>
              <w:rPr>
                <w:rFonts w:ascii="Arial" w:cs="Arial" w:eastAsia="Arial" w:hAnsi="Arial"/>
                <w:sz w:val="18"/>
                <w:szCs w:val="18"/>
                <w:color w:val="auto"/>
                <w:w w:val="87"/>
              </w:rPr>
              <w:t>$370,000</w:t>
            </w:r>
          </w:p>
        </w:tc>
        <w:tc>
          <w:tcPr>
            <w:tcW w:w="6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$377,500</w:t>
            </w: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11/01/2011</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J. Klotsche</w:t>
            </w:r>
          </w:p>
        </w:tc>
        <w:tc>
          <w:tcPr>
            <w:tcW w:w="24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87"/>
              </w:rPr>
              <w:t>$315,000</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$321,500</w:t>
            </w: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11/01/2011</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Peter C. Sephton</w:t>
            </w:r>
          </w:p>
        </w:tc>
        <w:tc>
          <w:tcPr>
            <w:tcW w:w="2400" w:type="dxa"/>
            <w:vAlign w:val="bottom"/>
            <w:gridSpan w:val="2"/>
          </w:tcPr>
          <w:p>
            <w:pPr>
              <w:ind w:left="1720"/>
              <w:spacing w:after="0"/>
              <w:rPr>
                <w:sz w:val="20"/>
                <w:szCs w:val="20"/>
                <w:color w:val="auto"/>
              </w:rPr>
            </w:pPr>
            <w:r>
              <w:rPr>
                <w:rFonts w:ascii="Arial" w:cs="Arial" w:eastAsia="Arial" w:hAnsi="Arial"/>
                <w:sz w:val="18"/>
                <w:szCs w:val="18"/>
                <w:color w:val="auto"/>
                <w:w w:val="87"/>
              </w:rPr>
              <w:t>$354,202</w:t>
            </w:r>
          </w:p>
        </w:tc>
        <w:tc>
          <w:tcPr>
            <w:tcW w:w="6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$361,270</w:t>
            </w: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11/01/2011</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24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87"/>
              </w:rPr>
              <w:t>$365,000</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$372,500</w:t>
            </w: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11/01/2011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Note: The salary detail in the table above reflects the annualized 12-month salary for each executive. The salaries in the Summary Compensation Table reflect fiscal year compensation earned including three (3) months at fiscal 2011 rates and nine (9) months at fiscal 2012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Effective September 1, 2011, the holders of the Company’s Class B Common Stock approved an amendment to the Brady Corporation Incentive Compensation Plan for Elected Corporate Officers increasing the annual limitation on bonus awards granted to any participant under such plan from $1.5 million to $2.0 million. In addition, the holders of the Company’s Class B Common Stock approved the Brady Corporation Incentive Compensation Plan for Senior Executives, which replaced the prior plan beginning with fiscal 2012 awards.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All named executive officers participate in an annual cash incentive plan, which is based on fiscal year financial results. For fiscal 2012, the Company placed greater emphasis on core sales growth than in prior fiscal years. As a result, the corporate and regional bonus plans were modified to increase the weight of the core sales component, remove working capital improvement as a component of the plan and replace earnings per share growth with net income growth. Set forth below is a description of the fiscal 2012 terms:</w:t>
      </w:r>
    </w:p>
    <w:p>
      <w:pPr>
        <w:spacing w:after="0" w:line="62" w:lineRule="exact"/>
        <w:rPr>
          <w:sz w:val="20"/>
          <w:szCs w:val="20"/>
          <w:color w:val="auto"/>
        </w:rPr>
      </w:pPr>
    </w:p>
    <w:p>
      <w:pPr>
        <w:jc w:val="both"/>
        <w:ind w:left="9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Core Sales Growth: Core sales are defined as total sales adjusted for: foreign currency exchanges; acquisitions and divestitures in the last 12 months. Core sales are also known as “organic sales” and “base sales.” Regional and total company core sales growth is reported quarterly and annually in the Company’s 10-Q and 10-K SEC filings.</w:t>
      </w:r>
    </w:p>
    <w:p>
      <w:pPr>
        <w:spacing w:after="0" w:line="59"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Growth: Net income is defined as SEC reported net income. Net income growth is reported net income at actual exchange rates for the current year compared to reported net income for the prior year. Net income is reported quarterly and annually in the Company’s 10-Q and 10-K SEC filings.</w:t>
      </w:r>
    </w:p>
    <w:p>
      <w:pPr>
        <w:spacing w:after="0" w:line="59"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Income from Operations (IFO) before R&amp;D Growth: Total Company and regional IFO is defined as total company sales less cost of goods sold, selling and group leadership expenses. IFO growth excludes currency translation. IFO for the prior year and the current year is restated at the current budgeted exchange rates for the growth calculation.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Jaehnert, Felmer and Klotsche</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cash incentive payments to Messrs. Jaehnert, Felmer and Klotsche for fiscal 2012 were based on core sales growth and net income growth. We use core sales growth because we believe that the long-term value of our enterprise depends on our ability to grow revenue without regard for acquisitions and we use net income growth to focus on effectively managing our costs while growing our revenue. For 2012, we set the target core sales growth performance goal at five percent (5%) and the target net income growth goal at 10 percent (10%). We increased the weight given to core sales growth from 10 percent (10%) in fiscal 2011 to 30 percent (30%) in fiscal 2012 while reallocating the remaining 70 percent (70%) to net income growth from earnings per share and working capital improvement.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2012, the threshold, target, maximum and actual amounts for Messrs. Jaehnert, Felmer, and Klotsche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4"/>
              </w:rPr>
              <w:t xml:space="preserve">Performance Measure </w:t>
            </w:r>
            <w:r>
              <w:rPr>
                <w:rFonts w:ascii="Arial" w:cs="Arial" w:eastAsia="Arial" w:hAnsi="Arial"/>
                <w:sz w:val="14"/>
                <w:szCs w:val="14"/>
                <w:color w:val="auto"/>
                <w:w w:val="94"/>
              </w:rPr>
              <w:t>(weighting)</w:t>
            </w:r>
          </w:p>
        </w:tc>
        <w:tc>
          <w:tcPr>
            <w:tcW w:w="370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Actual</w:t>
            </w: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53"/>
        </w:trPr>
        <w:tc>
          <w:tcPr>
            <w:tcW w:w="2080" w:type="dxa"/>
            <w:vAlign w:val="bottom"/>
            <w:tcBorders>
              <w:bottom w:val="single" w:sz="8" w:color="auto"/>
            </w:tcBorders>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124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5"/>
              </w:rPr>
              <w:t>Threshold</w:t>
            </w:r>
          </w:p>
        </w:tc>
        <w:tc>
          <w:tcPr>
            <w:tcW w:w="10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4"/>
              </w:rPr>
              <w:t>Target</w:t>
            </w:r>
          </w:p>
        </w:tc>
        <w:tc>
          <w:tcPr>
            <w:tcW w:w="14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2"/>
              </w:rPr>
              <w:t>Maximum</w:t>
            </w:r>
          </w:p>
        </w:tc>
        <w:tc>
          <w:tcPr>
            <w:tcW w:w="142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9"/>
              </w:rPr>
              <w:t>(% of Salary)</w:t>
            </w:r>
          </w:p>
        </w:tc>
        <w:tc>
          <w:tcPr>
            <w:tcW w:w="220" w:type="dxa"/>
            <w:vAlign w:val="bottom"/>
          </w:tcPr>
          <w:p>
            <w:pPr>
              <w:ind w:left="120"/>
              <w:spacing w:after="0"/>
              <w:rPr>
                <w:sz w:val="20"/>
                <w:szCs w:val="20"/>
                <w:color w:val="auto"/>
              </w:rPr>
            </w:pPr>
            <w:r>
              <w:rPr>
                <w:rFonts w:ascii="Arial" w:cs="Arial" w:eastAsia="Arial" w:hAnsi="Arial"/>
                <w:sz w:val="12"/>
                <w:szCs w:val="12"/>
                <w:b w:val="1"/>
                <w:bCs w:val="1"/>
                <w:color w:val="auto"/>
                <w:w w:val="74"/>
              </w:rPr>
              <w:t>($</w:t>
            </w:r>
          </w:p>
        </w:tc>
        <w:tc>
          <w:tcPr>
            <w:tcW w:w="160" w:type="dxa"/>
            <w:vAlign w:val="bottom"/>
          </w:tcPr>
          <w:p>
            <w:pPr>
              <w:jc w:val="right"/>
              <w:ind w:right="44"/>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Growth (70%)</w:t>
            </w: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30% or more</w:t>
            </w:r>
          </w:p>
        </w:tc>
        <w:tc>
          <w:tcPr>
            <w:tcW w:w="44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Core Sales Growth (30%)</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12.5% or more</w:t>
            </w: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Award as a Percentage of Base Salary</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880"/>
              <w:spacing w:after="0"/>
              <w:rPr>
                <w:sz w:val="20"/>
                <w:szCs w:val="20"/>
                <w:color w:val="auto"/>
              </w:rPr>
            </w:pPr>
            <w:r>
              <w:rPr>
                <w:rFonts w:ascii="Arial" w:cs="Arial" w:eastAsia="Arial" w:hAnsi="Arial"/>
                <w:sz w:val="18"/>
                <w:szCs w:val="18"/>
                <w:color w:val="auto"/>
              </w:rPr>
              <w:t>F. Jaehnert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44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 Felmer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2"/>
          </w:tcPr>
          <w:p>
            <w:pPr>
              <w:ind w:left="880"/>
              <w:spacing w:after="0"/>
              <w:rPr>
                <w:sz w:val="20"/>
                <w:szCs w:val="20"/>
                <w:color w:val="auto"/>
              </w:rPr>
            </w:pPr>
            <w:r>
              <w:rPr>
                <w:rFonts w:ascii="Arial" w:cs="Arial" w:eastAsia="Arial" w:hAnsi="Arial"/>
                <w:sz w:val="18"/>
                <w:szCs w:val="18"/>
                <w:color w:val="auto"/>
              </w:rPr>
              <w:t>A. Klotsche</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70%</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140%</w:t>
            </w:r>
          </w:p>
        </w:tc>
        <w:tc>
          <w:tcPr>
            <w:tcW w:w="44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Sephton and Williamson</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cash incentive payment to Messrs. Sephton and Williamson for fiscal 2012 was based on achievement of core sales growth, net income growth and Income from Operations (IFO) before R&amp;D growth. We use IFO before R&amp;D growth because we believe it aligns Messrs. Sephton and Williamson to the management of sales and expenses directly within their control as the President of Brady Europe and Brady Americas, respectively. Similar to the other named executive officers, the company-wide performance measures for Messrs. Sephton and Williamson focused on driving greater Company core sales growth and overall profitability. Mr. Sephton did not earn a bonus payout for fiscal 2012 because the Europe operating segment did not achieve the IFO before R&amp;D and core sales growth thresholds set for the region. Mr. Williamson earned a bonus payout for fiscal 2012 relative to the achievement of the Americas operating segment achieved regional IFO before R&amp;D and core sales growth of 3.5% and 9.3%, respectively. Neither Messrs. Sephton nor Williamson received a bonus payout for the portion based upon the achievement of net income because the Company did not achieve the threshold level of net income for the year. For 2012, the threshold, target, maximum and actual amounts for Messrs. Sephton and Williamson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4"/>
              </w:rPr>
              <w:t xml:space="preserve">Performance Measure </w:t>
            </w:r>
            <w:r>
              <w:rPr>
                <w:rFonts w:ascii="Arial" w:cs="Arial" w:eastAsia="Arial" w:hAnsi="Arial"/>
                <w:sz w:val="14"/>
                <w:szCs w:val="14"/>
                <w:color w:val="auto"/>
                <w:w w:val="94"/>
              </w:rPr>
              <w:t>(weighting)</w:t>
            </w:r>
          </w:p>
        </w:tc>
        <w:tc>
          <w:tcPr>
            <w:tcW w:w="364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53"/>
        </w:trPr>
        <w:tc>
          <w:tcPr>
            <w:tcW w:w="2080" w:type="dxa"/>
            <w:vAlign w:val="bottom"/>
            <w:tcBorders>
              <w:bottom w:val="single" w:sz="8" w:color="auto"/>
            </w:tcBorders>
            <w:vMerge w:val="continue"/>
          </w:tcPr>
          <w:p>
            <w:pPr>
              <w:spacing w:after="0"/>
              <w:rPr>
                <w:sz w:val="12"/>
                <w:szCs w:val="12"/>
                <w:color w:val="auto"/>
              </w:rPr>
            </w:pPr>
          </w:p>
        </w:tc>
        <w:tc>
          <w:tcPr>
            <w:tcW w:w="3640" w:type="dxa"/>
            <w:vAlign w:val="bottom"/>
            <w:vMerge w:val="continue"/>
          </w:tcPr>
          <w:p>
            <w:pPr>
              <w:spacing w:after="0"/>
              <w:rPr>
                <w:sz w:val="12"/>
                <w:szCs w:val="12"/>
                <w:color w:val="auto"/>
              </w:rPr>
            </w:pPr>
          </w:p>
        </w:tc>
        <w:tc>
          <w:tcPr>
            <w:tcW w:w="11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85"/>
              </w:rPr>
              <w:t>Threshold</w:t>
            </w:r>
          </w:p>
        </w:tc>
        <w:tc>
          <w:tcPr>
            <w:tcW w:w="96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w w:val="84"/>
              </w:rPr>
              <w:t>Target</w:t>
            </w:r>
          </w:p>
        </w:tc>
        <w:tc>
          <w:tcPr>
            <w:tcW w:w="14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2"/>
              </w:rPr>
              <w:t>Maximum</w:t>
            </w:r>
          </w:p>
        </w:tc>
        <w:tc>
          <w:tcPr>
            <w:tcW w:w="138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9"/>
              </w:rPr>
              <w:t>(% of Salary)</w:t>
            </w:r>
          </w:p>
        </w:tc>
        <w:tc>
          <w:tcPr>
            <w:tcW w:w="80" w:type="dxa"/>
            <w:vAlign w:val="bottom"/>
          </w:tcPr>
          <w:p>
            <w:pPr>
              <w:spacing w:after="0"/>
              <w:rPr>
                <w:sz w:val="12"/>
                <w:szCs w:val="12"/>
                <w:color w:val="auto"/>
              </w:rPr>
            </w:pPr>
          </w:p>
        </w:tc>
        <w:tc>
          <w:tcPr>
            <w:tcW w:w="58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Growth (40%)</w:t>
            </w: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30% or more</w:t>
            </w:r>
          </w:p>
        </w:tc>
        <w:tc>
          <w:tcPr>
            <w:tcW w:w="3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Core Sales Growth (30%)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12.5% or more</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IFO before R&amp;D Growth (30%)</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4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9"/>
              </w:rPr>
              <w:t>30% or more</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440"/>
              <w:spacing w:after="0"/>
              <w:rPr>
                <w:sz w:val="20"/>
                <w:szCs w:val="20"/>
                <w:color w:val="auto"/>
              </w:rPr>
            </w:pPr>
            <w:r>
              <w:rPr>
                <w:rFonts w:ascii="Arial" w:cs="Arial" w:eastAsia="Arial" w:hAnsi="Arial"/>
                <w:sz w:val="18"/>
                <w:szCs w:val="18"/>
                <w:color w:val="auto"/>
              </w:rPr>
              <w:t>Award as a Percentage of Base Salary</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 Sephton</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140%</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ind w:left="880"/>
              <w:spacing w:after="0"/>
              <w:rPr>
                <w:sz w:val="20"/>
                <w:szCs w:val="20"/>
                <w:color w:val="auto"/>
              </w:rPr>
            </w:pPr>
            <w:r>
              <w:rPr>
                <w:rFonts w:ascii="Arial" w:cs="Arial" w:eastAsia="Arial" w:hAnsi="Arial"/>
                <w:sz w:val="18"/>
                <w:szCs w:val="18"/>
                <w:color w:val="auto"/>
              </w:rPr>
              <w:t>M. Williamson</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70%</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140%</w:t>
            </w:r>
          </w:p>
        </w:tc>
        <w:tc>
          <w:tcPr>
            <w:tcW w:w="3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target annual cash incentive award that would be payable to each executive officer is calculated as a percentage of the officer’s eligible compensation defined as base salary in effect during the fiscal year, pro-rated to reflect base salary adjustments throughout the fiscal year.</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fiscal 2012, the Management Development and Compensation Committee reviewed the impact of impairment charges on the payout of bonuses and determined that fiscal 2012 impairment charges would be counted against the net income results used to calculate bonus payouts. In general, the Committee regularly reviews and makes decisions on the impact of unusual events on a case-by-case basis and continually evaluates compensation policies and practices in light of ongoing developments and best practices in the area of incentive compensation.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utilizes a combination of performance-based stock options, time-based stock options and performance-based restricted shares to attract, retain, and motivate key employees who directly impact the long-term performance of the Company. A combination of performance-based stock options, time-based stock options and performance-based restricted shares is utilized to provide a balance between annual Company performance and the generation of long-term shareholder value. Equity-based awards are influenced by Brady’s stock price, which directly affects the amount of compensation the executive receives upon exercising any options.</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size and type of equity awards for executives other than the chief executive officer are determined by the Management Development and Compensation Committee with input from the chief executive officer. With regard to the award size given to the chief executive officer, the Committee uses its discretion in combination with market competitive information obtained periodically from its outside consultant. For fiscal 2012, the Committee reviewed the Black-Scholes valuations of historical grants and the estimated value of the proposed grants, then determined the 2012 grant sizes would be consistent with the award sizes granted in fiscal 2011.</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By unanimous written consent effective September 26, 2011, the holders of the Company’s Class B Common Stock approved the Brady Corporation 2012 Omnibus Incentive Stock Plan (the “2012 Omnibus Plan”). Under the terms of the 2012 Omnibus Plan, pursuant to which 5,500,000 shares of the Company’s Class A Common Stock have been authorized for issuance, the Company may grant unrestricted stock, nonqualified stock options, incentive stock options, shares of restricted stock and restricted stock units to eligible employees and Directors of the Company and its affiliates. The 2012 Omnibus Plan, which became effective upon shareholder approval, provides that no further grants will be made under the Company’s 2010 Omnibus Incentive Stock Plan after December 31, 2011.</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Performance-based Stock Options: </w:t>
      </w:r>
      <w:r>
        <w:rPr>
          <w:rFonts w:ascii="Arial" w:cs="Arial" w:eastAsia="Arial" w:hAnsi="Arial"/>
          <w:sz w:val="16"/>
          <w:szCs w:val="16"/>
          <w:color w:val="auto"/>
        </w:rPr>
        <w:t>Although stock options are inherently performance-based in that options have no value unless the stock price increases,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believes that using additional performance criteria for vesting of stock options can serve as an additional motivator for executives to further drive company performance. Performance-based stock options were granted in fiscal 2012 with two vesting criteria based upon year-over-year diluted EPS growth and an additional opportunity to vest over a two- or three-year period if the compound annual growth rate exceeds the annual target.</w:t>
      </w:r>
    </w:p>
    <w:p>
      <w:pPr>
        <w:spacing w:after="0" w:line="10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Time-based Stock Options: </w:t>
      </w:r>
      <w:r>
        <w:rPr>
          <w:rFonts w:ascii="Arial" w:cs="Arial" w:eastAsia="Arial" w:hAnsi="Arial"/>
          <w:sz w:val="16"/>
          <w:szCs w:val="16"/>
          <w:color w:val="auto"/>
        </w:rPr>
        <w:t>Time-based stock option grants in fiscal 2012 were reviewed and approved by the Committee on September 7, 2011,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grant date of September 30, 2011. The grant price was the fair market value of the stock on the grant date, which was calculated as the average of the high and low stock price on that date. The time-based stock options generally vest one-third each year for the first three years and have a ten-year life.</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Performance-based Restricted Stock: </w:t>
      </w:r>
      <w:r>
        <w:rPr>
          <w:rFonts w:ascii="Arial" w:cs="Arial" w:eastAsia="Arial" w:hAnsi="Arial"/>
          <w:sz w:val="18"/>
          <w:szCs w:val="18"/>
          <w:color w:val="auto"/>
        </w:rPr>
        <w:t>Periodically, the Company issues restricted stock grants to key executives as an element of their overall compensation.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2008, the Management Development and Compensation Committee approved the issuance of performance-based restricted stock awards to six of Brady’s senior executives. A total of 210,000 restricted shares were issued and included both a performance vesting requirement (earnings per share) and a service vesting requirement (five years). In addition to the original vesting criteria, the restricted stock awards were amended effective July 20, 2011, to include an additional vesting opportunity based upon earnings per share growth for the fiscal years ending July 31, 2013 or July 31, 2014, and a service vesting requirement through July 31, 2014.</w:t>
      </w:r>
    </w:p>
    <w:p>
      <w:pPr>
        <w:spacing w:after="0" w:line="14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Based upon input from an external compensation consultant and the Committee’s desire to provide an incentive for retention and improved Company performance, effective August 2, 2010, a grant of 100,000 shares of performance-based restricted stock was issued to Mr. Jaehnert. This grant of performance-based restricted stock included both a performance vesting requirement based upon earnings per share growth and a service vesting requirement prorated at July 31, 2013, July 31, 2014 and July 31, 2015.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July 31, 2012, none of the performance-based restricted stock awards have vested.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2012 Annual Equity Grants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Named Officers</w:t>
            </w:r>
          </w:p>
        </w:tc>
        <w:tc>
          <w:tcPr>
            <w:tcW w:w="148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2"/>
              </w:rPr>
              <w:t>Grant Date</w:t>
            </w:r>
          </w:p>
        </w:tc>
        <w:tc>
          <w:tcPr>
            <w:tcW w:w="26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Number of Performance-Based</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Number of Time-Based</w:t>
            </w:r>
          </w:p>
        </w:tc>
        <w:tc>
          <w:tcPr>
            <w:tcW w:w="0" w:type="dxa"/>
            <w:vAlign w:val="bottom"/>
          </w:tcPr>
          <w:p>
            <w:pPr>
              <w:spacing w:after="0"/>
              <w:rPr>
                <w:sz w:val="1"/>
                <w:szCs w:val="1"/>
                <w:color w:val="auto"/>
              </w:rPr>
            </w:pPr>
          </w:p>
        </w:tc>
      </w:tr>
      <w:tr>
        <w:trPr>
          <w:trHeight w:val="168"/>
        </w:trPr>
        <w:tc>
          <w:tcPr>
            <w:tcW w:w="960" w:type="dxa"/>
            <w:vAlign w:val="bottom"/>
            <w:tcBorders>
              <w:bottom w:val="single" w:sz="8" w:color="auto"/>
            </w:tcBorders>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920"/>
              <w:spacing w:after="0" w:line="148" w:lineRule="exact"/>
              <w:rPr>
                <w:sz w:val="20"/>
                <w:szCs w:val="20"/>
                <w:color w:val="auto"/>
              </w:rPr>
            </w:pPr>
            <w:r>
              <w:rPr>
                <w:rFonts w:ascii="Arial" w:cs="Arial" w:eastAsia="Arial" w:hAnsi="Arial"/>
                <w:sz w:val="14"/>
                <w:szCs w:val="14"/>
                <w:b w:val="1"/>
                <w:bCs w:val="1"/>
                <w:color w:val="auto"/>
                <w:w w:val="89"/>
              </w:rPr>
              <w:t>Fair Value</w:t>
            </w:r>
          </w:p>
        </w:tc>
        <w:tc>
          <w:tcPr>
            <w:tcW w:w="268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6"/>
              </w:rPr>
              <w:t>Stock Options</w:t>
            </w:r>
          </w:p>
        </w:tc>
        <w:tc>
          <w:tcPr>
            <w:tcW w:w="14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 Jaehnert</w:t>
            </w:r>
          </w:p>
        </w:tc>
        <w:tc>
          <w:tcPr>
            <w:tcW w:w="1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2,087,000</w:t>
            </w:r>
          </w:p>
        </w:tc>
        <w:tc>
          <w:tcPr>
            <w:tcW w:w="8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130,000</w:t>
            </w:r>
          </w:p>
        </w:tc>
        <w:tc>
          <w:tcPr>
            <w:tcW w:w="8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T. Felmer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756,000</w:t>
            </w:r>
          </w:p>
        </w:tc>
        <w:tc>
          <w:tcPr>
            <w:tcW w:w="8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45,000</w:t>
            </w:r>
          </w:p>
        </w:tc>
        <w:tc>
          <w:tcPr>
            <w:tcW w:w="8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Klotsche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662,300</w:t>
            </w:r>
          </w:p>
        </w:tc>
        <w:tc>
          <w:tcPr>
            <w:tcW w:w="8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P. Sephton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662,300</w:t>
            </w:r>
          </w:p>
        </w:tc>
        <w:tc>
          <w:tcPr>
            <w:tcW w:w="8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40,000</w:t>
            </w:r>
          </w:p>
        </w:tc>
        <w:tc>
          <w:tcPr>
            <w:tcW w:w="8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Williamson</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662,300</w:t>
            </w:r>
          </w:p>
        </w:tc>
        <w:tc>
          <w:tcPr>
            <w:tcW w:w="8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Health and Welfare Benefits: </w:t>
      </w:r>
      <w:r>
        <w:rPr>
          <w:rFonts w:ascii="Arial" w:cs="Arial" w:eastAsia="Arial" w:hAnsi="Arial"/>
          <w:sz w:val="18"/>
          <w:szCs w:val="18"/>
          <w:color w:val="auto"/>
        </w:rPr>
        <w:t>We provide subsidized health and welfare benefits which include medical, dental, life and accidental death or dismemberment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disability insurance and paid time off. Executive officers are entitled to participate in our health and welfare plans on generally the same terms and conditions as other employees, subject to limitations under applicable law. In addition, the Company provides employer-paid long-term care insurance and maintains a supplemental executive disability policy for executives. The supplemental disability policy provides for Group Long Term Disability insurance (LTD) of up to 60% of pre-tax base salary and bonus, up to a monthly maximum benefit of $25,000. Brady Corporation pays the premiums for these benefits; therefore, these benefits are taxable to the executive.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named executive officers) in the United States and certain expatriate employees working for its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are eligible to participate in the Brady Corporation Matched 401(k) Plan (the “Employee 401(k) Plan”). In addition, named executive officers in the United States and employees at many of our United States locations are also eligible to participate in the Brady Corporation’s Funded Retirement Plan (“Funded Retirement Plan”).</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Under the Funded Retirement Plan, the Company contributes 4% of the eligible earnings of each employee covered by the Funded Retirement Plan. In addition, participants may elect to have their annual pay reduced by up to 5% and have the amount of this reduction contributed to their 401(k) Plan and matched by an additional 4% contribution by the Company. Participants may also elect to have up to another 45%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a variety of investment funds as permitted by the Employee 401(k) Plan and the Funded Retirement Plan.</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IRS income limitations for participating in the Employee 401(k) Plan and the Funded Retirement Plan, the named executive officers are eligible to participate in the Brady Restoration Plan, which is a non-qualified deferred compensation plan that allows an equivalent benefit to the Employee 401(k) Plan and the Funded Retirement Plan for their income above the IRS participation limits.</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employee contributions; all other contributions become fully vested over a two-year period of continuous service for the employee 401(k) Plan and after six years of continuous service for the Funded Retirement Plan.</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Deferred Compensation Arrangements: </w:t>
      </w:r>
      <w:r>
        <w:rPr>
          <w:rFonts w:ascii="Arial" w:cs="Arial" w:eastAsia="Arial" w:hAnsi="Arial"/>
          <w:sz w:val="16"/>
          <w:szCs w:val="16"/>
          <w:color w:val="auto"/>
        </w:rPr>
        <w:t>During fiscal 2002, the Company adopted the Brady Corporation Executive Deferred Compensation Plan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 Distributions of the Company Class A Nonvoting Common Stock are made in-kind; distributions of other assets are in cash.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Brady provides the named executive officers with the following perquisites that are not available to other non-executive employees:</w:t>
      </w:r>
    </w:p>
    <w:p>
      <w:pPr>
        <w:spacing w:after="0" w:line="113"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Annual allowance for financial and tax planning</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Company car</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Long-term care insurance</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Personal liability insurance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guidelines have been established.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established the following stock ownership guidelines for our named executive officers: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 Jaehnert</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 shares</w:t>
            </w:r>
          </w:p>
        </w:tc>
      </w:tr>
      <w:tr>
        <w:trPr>
          <w:trHeight w:val="216"/>
        </w:trPr>
        <w:tc>
          <w:tcPr>
            <w:tcW w:w="13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 Felmer</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30,000 shares</w:t>
            </w: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 Klotsche</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30,000 shares</w:t>
            </w:r>
          </w:p>
        </w:tc>
      </w:tr>
      <w:tr>
        <w:trPr>
          <w:trHeight w:val="216"/>
        </w:trPr>
        <w:tc>
          <w:tcPr>
            <w:tcW w:w="13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 Sephton</w:t>
            </w: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30,000 shares</w:t>
            </w: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 Williamson</w:t>
            </w:r>
          </w:p>
        </w:tc>
        <w:tc>
          <w:tcPr>
            <w:tcW w:w="2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30,000 shares</w:t>
            </w:r>
          </w:p>
        </w:tc>
      </w:tr>
      <w:tr>
        <w:trPr>
          <w:trHeight w:val="376"/>
        </w:trPr>
        <w:tc>
          <w:tcPr>
            <w:tcW w:w="6900" w:type="dxa"/>
            <w:vAlign w:val="bottom"/>
            <w:gridSpan w:val="2"/>
          </w:tcPr>
          <w:p>
            <w:pPr>
              <w:spacing w:after="0"/>
              <w:rPr>
                <w:sz w:val="20"/>
                <w:szCs w:val="20"/>
                <w:color w:val="auto"/>
              </w:rPr>
            </w:pPr>
            <w:r>
              <w:rPr>
                <w:rFonts w:ascii="Arial" w:cs="Arial" w:eastAsia="Arial" w:hAnsi="Arial"/>
                <w:sz w:val="18"/>
                <w:szCs w:val="18"/>
                <w:color w:val="auto"/>
              </w:rPr>
              <w:t>The stock ownership guideline for each director is 5,000 shares of Company stock.</w:t>
            </w:r>
          </w:p>
        </w:tc>
        <w:tc>
          <w:tcPr>
            <w:tcW w:w="224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Mr. Jaehnert met and retained his respective ownership levels prior to fiscal 2012. Named executive officers other than Mr. Jaehnert have until fiscal year 2013 to achieve their respective ownership levels. If an executive does not meet the above ownership level or certain interim levels, the Committee may direct that the executive’s after-tax payout on any incentive plans will be in Class A Nonvoting Common Stock to bring the executive up to the required level. The Committee reviews the actual stock ownership levels of each of the named executive officers on an annual basis to ensure the guidelines are met.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determining whether an executive meets the required ownership level, Company stock owned outright, Company stock held in the Executive Deferred Compensation Plan and Company stock owned in the Employee 401(k) Plan or pension plan is included. In addition, 20% of any vested stock options that are “in the money” are included.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does not have employment agreements with our executives. The Board of Directors of Brady Corporation approved change of control agreements for certain executive officers of the Company, including all the named executive officers. The agreements applicable to all of the named executive officers other than Mr. Jaehnert provide a payment of an amount equal to two times their annual base salary and two times the average bonus payment received in the three years immediately prior to the date the change of control occurs in the event of termination or resignation upon a change of control. The agreements also provide for reimbursement of any excise taxes imposed and up to $25,000 of attorney fees to enforce the executive’s rights under the agreement. Payments under the agreement will be spread over two years.</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May 2003, the Board approved a Change of Control Agreement for Mr. Jaehnert, which was subsequently amended and restated in December 2008 to comply with Internal Revenue Code Section 409A. The agreement applicable to Mr. Jaehnert provides a payment of an amount equal to three times his annual base salary and three times the average bonus payment received in the three years immediately prior to the date the change of control occurs in the event of termination or resignation upon a change of control. The agreement will also reimburse a maximum of $25,000 of legal fees incurred by Mr. Jaehnert in order to enforce the change of control agreement, in which he prevails. Payments under the agreement will be spread over three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Section 162(m) of the Internal Revenue Code, added by the Omnibus Budget Reconciliation Act of 1993, generally disallows a tax deduction to public companies for compensation over $1 million paid to the Company’s chief executive officer or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Management Development and Compensation Committee will continue to review these tax regulations as they apply to the Company’s executive compensation program. It is the Committee’s intent to preserve the deductibility of executive compensation to the extent reasonably practicable and to the extent consistent with its other compensation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fiscal 2012, the Board’s Management Development and Compensation Committee was composed of board members Balkema, Galbato, Harris and Pungello. None of these persons has at any time been an employee of the Company or any of its subsidiaries. There are no relationships among the Company’s executive officers, members of the Management Development and Compensation Committee or entities whose executives serve on the Board that require disclosure under applicable SEC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Management Development &amp; Compensation Committee has reviewed and discussed the Compensation Discussion and Analysis with management; and based on the review and discussions, the Management Development &amp; Compensation Committee recommended to the Board of Directors that the Compensation Discussion and Analysis be included in the Company’s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Gary Balkema,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Chan Galbato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Harris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Elizabeth P. Pungello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Company’s compensation policies for executive officers and all other employees are designed to avoid incentives to create undue risks to the Company. The Company’s compensation programs are weighted towards offering long-term incentives that reward sustainable performance; do not offer significant short-term incentives that might drive high-risk investments at the expense of the long-term Company value; and are set at reasonable and sustainable levels, as determined by a review of the Company’s economic position, as well as the compensation offered by comparable companies. The Company’s compensation policies and practices were evaluated to ensure that they do not foster risk taking above the level of risk associated with the Company’s business model. The Company has also reviewed its compensation policies and practices and determined they will not create risk that is reasonably likely to have a material adverse effect on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2012, for services rendered to the Company and its subsidiaries during the fiscal years ended July 31, 2012, July 31, 2011 and July 31,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Restricted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Non-Equity</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Stock</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760" w:type="dxa"/>
            <w:vAlign w:val="bottom"/>
            <w:vMerge w:val="restart"/>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Fiscal</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10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Awards</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auto"/>
            </w:tcBorders>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4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3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3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280" w:type="dxa"/>
            <w:vAlign w:val="bottom"/>
          </w:tcPr>
          <w:p>
            <w:pPr>
              <w:spacing w:after="0"/>
              <w:rPr>
                <w:sz w:val="14"/>
                <w:szCs w:val="14"/>
                <w:color w:val="auto"/>
              </w:rPr>
            </w:pPr>
          </w:p>
        </w:tc>
        <w:tc>
          <w:tcPr>
            <w:tcW w:w="760" w:type="dxa"/>
            <w:vAlign w:val="bottom"/>
          </w:tcPr>
          <w:p>
            <w:pPr>
              <w:jc w:val="right"/>
              <w:ind w:right="21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F.M. Jaehnert</w:t>
            </w: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2012</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800,000</w:t>
            </w: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2,086,727</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254,136</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3,140,863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793,269</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2,803,500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2,470,157</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1,632,548</w:t>
            </w:r>
          </w:p>
        </w:tc>
        <w:tc>
          <w:tcPr>
            <w:tcW w:w="840" w:type="dxa"/>
            <w:vAlign w:val="bottom"/>
          </w:tcPr>
          <w:p>
            <w:pPr>
              <w:jc w:val="right"/>
              <w:spacing w:after="0"/>
              <w:rPr>
                <w:sz w:val="20"/>
                <w:szCs w:val="20"/>
                <w:color w:val="auto"/>
              </w:rPr>
            </w:pPr>
            <w:r>
              <w:rPr>
                <w:rFonts w:ascii="Arial" w:cs="Arial" w:eastAsia="Arial" w:hAnsi="Arial"/>
                <w:sz w:val="18"/>
                <w:szCs w:val="18"/>
                <w:color w:val="auto"/>
              </w:rPr>
              <w:t>223,329</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7,922,803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768,269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1,868,047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1,193,891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3,957,797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2012</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375,481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755,909</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105,811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&amp; Chief Financial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363,285</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(22,050)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914,386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523,349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1,872,133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339,659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833,224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369,481</w:t>
            </w:r>
          </w:p>
        </w:tc>
        <w:tc>
          <w:tcPr>
            <w:tcW w:w="840" w:type="dxa"/>
            <w:vAlign w:val="bottom"/>
          </w:tcPr>
          <w:p>
            <w:pPr>
              <w:jc w:val="right"/>
              <w:spacing w:after="0"/>
              <w:rPr>
                <w:sz w:val="20"/>
                <w:szCs w:val="20"/>
                <w:color w:val="auto"/>
              </w:rPr>
            </w:pPr>
            <w:r>
              <w:rPr>
                <w:rFonts w:ascii="Arial" w:cs="Arial" w:eastAsia="Arial" w:hAnsi="Arial"/>
                <w:sz w:val="18"/>
                <w:szCs w:val="18"/>
                <w:color w:val="auto"/>
              </w:rPr>
              <w:t>65,242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1,607,606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319,750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662,218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 Human Resources</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311,002</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(22,050)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790,878</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348,353</w:t>
            </w:r>
          </w:p>
        </w:tc>
        <w:tc>
          <w:tcPr>
            <w:tcW w:w="840" w:type="dxa"/>
            <w:vAlign w:val="bottom"/>
          </w:tcPr>
          <w:p>
            <w:pPr>
              <w:jc w:val="right"/>
              <w:spacing w:after="0"/>
              <w:rPr>
                <w:sz w:val="20"/>
                <w:szCs w:val="20"/>
                <w:color w:val="auto"/>
              </w:rPr>
            </w:pPr>
            <w:r>
              <w:rPr>
                <w:rFonts w:ascii="Arial" w:cs="Arial" w:eastAsia="Arial" w:hAnsi="Arial"/>
                <w:sz w:val="18"/>
                <w:szCs w:val="18"/>
                <w:color w:val="auto"/>
              </w:rPr>
              <w:t>77,148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1,505,331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297,417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833,224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359,027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1,540,943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P.C. Sephton (5)</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2012</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361,244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662,218</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109,486</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1,132,948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 Brady EMEA</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356,818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(22,050)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790,878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341,190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334,827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833,224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188,441</w:t>
            </w:r>
          </w:p>
        </w:tc>
        <w:tc>
          <w:tcPr>
            <w:tcW w:w="840" w:type="dxa"/>
            <w:vAlign w:val="bottom"/>
          </w:tcPr>
          <w:p>
            <w:pPr>
              <w:jc w:val="right"/>
              <w:spacing w:after="0"/>
              <w:rPr>
                <w:sz w:val="20"/>
                <w:szCs w:val="20"/>
                <w:color w:val="auto"/>
              </w:rPr>
            </w:pPr>
            <w:r>
              <w:rPr>
                <w:rFonts w:ascii="Arial" w:cs="Arial" w:eastAsia="Arial" w:hAnsi="Arial"/>
                <w:sz w:val="18"/>
                <w:szCs w:val="18"/>
                <w:color w:val="auto"/>
              </w:rPr>
              <w:t>133,170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1,489,662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370,481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662,218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122,148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1,247,339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President — Brady Americas</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360,071</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(22,050)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790,878</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462,461</w:t>
            </w:r>
          </w:p>
        </w:tc>
        <w:tc>
          <w:tcPr>
            <w:tcW w:w="840" w:type="dxa"/>
            <w:vAlign w:val="bottom"/>
          </w:tcPr>
          <w:p>
            <w:pPr>
              <w:jc w:val="right"/>
              <w:spacing w:after="0"/>
              <w:rPr>
                <w:sz w:val="20"/>
                <w:szCs w:val="20"/>
                <w:color w:val="auto"/>
              </w:rPr>
            </w:pPr>
            <w:r>
              <w:rPr>
                <w:rFonts w:ascii="Arial" w:cs="Arial" w:eastAsia="Arial" w:hAnsi="Arial"/>
                <w:sz w:val="18"/>
                <w:szCs w:val="18"/>
                <w:color w:val="auto"/>
              </w:rPr>
              <w:t>73,093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1,664,453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343,244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833,224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234,505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1,464,668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grant date fair value computed in accordance with accounting guidance for equity grants made or modified in the applicable year for restricted stock awards. The grant date fair value is calculated based on the number of shares of Common Stock underlying the restricted stock awards, times the average of the high and low trade prices of Brady Common Stock on the date of grant. The actual value of a restricted stock award will depend on the market value of the Company’s Common Stock on the date the stock is sold. The restricted stock award granted on January 8, 2008, was amended effective July 20, 2011, so that the shares will vest upon meeting a performance vesting requirement based upon earnings per share growth at either July 31, 2013 or July 31, 2014, provided that the senior executives remain employed through July 31, 2014. The reduction in the incremental fair value of the restricted share grant as of the modification date is included in the table above.</w:t>
      </w:r>
    </w:p>
    <w:p>
      <w:pPr>
        <w:spacing w:after="0" w:line="37" w:lineRule="exact"/>
        <w:rPr>
          <w:rFonts w:ascii="Arial" w:cs="Arial" w:eastAsia="Arial" w:hAnsi="Arial"/>
          <w:sz w:val="16"/>
          <w:szCs w:val="16"/>
          <w:color w:val="auto"/>
        </w:rPr>
      </w:pPr>
    </w:p>
    <w:p>
      <w:pPr>
        <w:ind w:left="460"/>
        <w:spacing w:after="0" w:line="332" w:lineRule="auto"/>
        <w:rPr>
          <w:rFonts w:ascii="Arial" w:cs="Arial" w:eastAsia="Arial" w:hAnsi="Arial"/>
          <w:sz w:val="16"/>
          <w:szCs w:val="16"/>
          <w:color w:val="auto"/>
        </w:rPr>
      </w:pPr>
      <w:r>
        <w:rPr>
          <w:rFonts w:ascii="Arial" w:cs="Arial" w:eastAsia="Arial" w:hAnsi="Arial"/>
          <w:sz w:val="16"/>
          <w:szCs w:val="16"/>
          <w:color w:val="auto"/>
        </w:rPr>
        <w:t>Effective August 2, 2010, a grant of 100,000 shares of performance-based restricted stock was issued to Mr. Jaehnert, which included both a performance vesting requirement based upon earnings per share growth and a service vesting requirement prorated at July 31, 2013, July 31, 2014 and July 31, 2015.</w:t>
      </w:r>
    </w:p>
    <w:p>
      <w:pPr>
        <w:spacing w:after="0" w:line="4" w:lineRule="exact"/>
        <w:rPr>
          <w:rFonts w:ascii="Arial" w:cs="Arial" w:eastAsia="Arial" w:hAnsi="Arial"/>
          <w:sz w:val="16"/>
          <w:szCs w:val="16"/>
          <w:color w:val="auto"/>
        </w:rPr>
      </w:pPr>
    </w:p>
    <w:p>
      <w:pPr>
        <w:jc w:val="both"/>
        <w:ind w:left="46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or modified in the applicable year for performance-based and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2012.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w:t>
      </w:r>
    </w:p>
    <w:p>
      <w:pPr>
        <w:spacing w:after="0" w:line="90"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in this column for Messrs. Jaehnert, Felmer, Klotsche, Sephton, and Williamson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the cost of disability insurance and other perquisites. The perquisites may include an annual allowance for financial and tax planning and the cost of an annual physical health exam. The amounts in this column for Mr. Sephton include: contributions for the Brady U.K. Pension Plan, the cost of group term life insurance, vehicle allowance and associated expenses and other perquisites as listed above.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Retirement</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Group Term</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Long-term</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Personal</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Temporary/</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Life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Company</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Care</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Liability</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60" w:type="dxa"/>
            <w:vAlign w:val="bottom"/>
            <w:vMerge w:val="restart"/>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Fiscal</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Insurance</w:t>
            </w: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Car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Insurance</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Insurance</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Disability</w:t>
            </w: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Other</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6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5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46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F.M. Jaehnert</w:t>
            </w: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2012</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195,835</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2,925</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18,966</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4"/>
              </w:rPr>
              <w:t>5,141</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ind w:left="96"/>
              <w:spacing w:after="0" w:line="203" w:lineRule="exact"/>
              <w:rPr>
                <w:sz w:val="20"/>
                <w:szCs w:val="20"/>
                <w:color w:val="auto"/>
              </w:rPr>
            </w:pPr>
            <w:r>
              <w:rPr>
                <w:rFonts w:ascii="Arial" w:cs="Arial" w:eastAsia="Arial" w:hAnsi="Arial"/>
                <w:sz w:val="18"/>
                <w:szCs w:val="18"/>
                <w:color w:val="auto"/>
                <w:w w:val="88"/>
              </w:rPr>
              <w:t>2,654</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23,760</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4,855</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254,136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20" w:type="dxa"/>
            <w:vAlign w:val="bottom"/>
          </w:tcPr>
          <w:p>
            <w:pPr>
              <w:jc w:val="right"/>
              <w:spacing w:after="0"/>
              <w:rPr>
                <w:sz w:val="20"/>
                <w:szCs w:val="20"/>
                <w:color w:val="auto"/>
              </w:rPr>
            </w:pPr>
            <w:r>
              <w:rPr>
                <w:rFonts w:ascii="Arial" w:cs="Arial" w:eastAsia="Arial" w:hAnsi="Arial"/>
                <w:sz w:val="18"/>
                <w:szCs w:val="18"/>
                <w:color w:val="auto"/>
              </w:rPr>
              <w:t>158,281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24,057</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5,141</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2,654</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23,760</w:t>
            </w:r>
          </w:p>
        </w:tc>
        <w:tc>
          <w:tcPr>
            <w:tcW w:w="26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6,696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223,329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28,070</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5,141</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2,654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20" w:type="dxa"/>
            <w:vAlign w:val="bottom"/>
          </w:tcPr>
          <w:p>
            <w:pPr>
              <w:jc w:val="right"/>
              <w:spacing w:after="0"/>
              <w:rPr>
                <w:sz w:val="20"/>
                <w:szCs w:val="20"/>
                <w:color w:val="auto"/>
              </w:rPr>
            </w:pPr>
            <w:r>
              <w:rPr>
                <w:rFonts w:ascii="Arial" w:cs="Arial" w:eastAsia="Arial" w:hAnsi="Arial"/>
                <w:sz w:val="18"/>
                <w:szCs w:val="18"/>
                <w:color w:val="auto"/>
              </w:rPr>
              <w:t>72,759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24,761</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3,737</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4,076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25,311</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3,737</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820" w:type="dxa"/>
            <w:vAlign w:val="bottom"/>
          </w:tcPr>
          <w:p>
            <w:pPr>
              <w:jc w:val="right"/>
              <w:spacing w:after="0"/>
              <w:rPr>
                <w:sz w:val="20"/>
                <w:szCs w:val="20"/>
                <w:color w:val="auto"/>
              </w:rPr>
            </w:pPr>
            <w:r>
              <w:rPr>
                <w:rFonts w:ascii="Arial" w:cs="Arial" w:eastAsia="Arial" w:hAnsi="Arial"/>
                <w:sz w:val="18"/>
                <w:szCs w:val="18"/>
                <w:color w:val="auto"/>
              </w:rPr>
              <w:t>27,157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713</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29,995</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3,737</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3,640</w:t>
            </w:r>
          </w:p>
        </w:tc>
        <w:tc>
          <w:tcPr>
            <w:tcW w:w="620" w:type="dxa"/>
            <w:vAlign w:val="bottom"/>
          </w:tcPr>
          <w:p>
            <w:pPr>
              <w:jc w:val="right"/>
              <w:spacing w:after="0"/>
              <w:rPr>
                <w:sz w:val="20"/>
                <w:szCs w:val="20"/>
                <w:color w:val="auto"/>
              </w:rPr>
            </w:pPr>
            <w:r>
              <w:rPr>
                <w:rFonts w:ascii="Arial" w:cs="Arial" w:eastAsia="Arial" w:hAnsi="Arial"/>
                <w:sz w:val="18"/>
                <w:szCs w:val="18"/>
                <w:color w:val="auto"/>
              </w:rPr>
              <w:t>65,242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15,509</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3,506</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20" w:type="dxa"/>
            <w:vAlign w:val="bottom"/>
          </w:tcPr>
          <w:p>
            <w:pPr>
              <w:jc w:val="right"/>
              <w:spacing w:after="0"/>
              <w:rPr>
                <w:sz w:val="20"/>
                <w:szCs w:val="20"/>
                <w:color w:val="auto"/>
              </w:rPr>
            </w:pPr>
            <w:r>
              <w:rPr>
                <w:rFonts w:ascii="Arial" w:cs="Arial" w:eastAsia="Arial" w:hAnsi="Arial"/>
                <w:sz w:val="18"/>
                <w:szCs w:val="18"/>
                <w:color w:val="auto"/>
              </w:rPr>
              <w:t>53,191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14,606</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3,506</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5,135</w:t>
            </w:r>
          </w:p>
        </w:tc>
        <w:tc>
          <w:tcPr>
            <w:tcW w:w="620" w:type="dxa"/>
            <w:vAlign w:val="bottom"/>
          </w:tcPr>
          <w:p>
            <w:pPr>
              <w:jc w:val="right"/>
              <w:spacing w:after="0"/>
              <w:rPr>
                <w:sz w:val="20"/>
                <w:szCs w:val="20"/>
                <w:color w:val="auto"/>
              </w:rPr>
            </w:pPr>
            <w:r>
              <w:rPr>
                <w:rFonts w:ascii="Arial" w:cs="Arial" w:eastAsia="Arial" w:hAnsi="Arial"/>
                <w:sz w:val="18"/>
                <w:szCs w:val="18"/>
                <w:color w:val="auto"/>
              </w:rPr>
              <w:t>77,148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19,455</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3,506</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P.C. Sephton(4)</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20" w:type="dxa"/>
            <w:vAlign w:val="bottom"/>
          </w:tcPr>
          <w:p>
            <w:pPr>
              <w:jc w:val="right"/>
              <w:spacing w:after="0"/>
              <w:rPr>
                <w:sz w:val="20"/>
                <w:szCs w:val="20"/>
                <w:color w:val="auto"/>
              </w:rPr>
            </w:pPr>
            <w:r>
              <w:rPr>
                <w:rFonts w:ascii="Arial" w:cs="Arial" w:eastAsia="Arial" w:hAnsi="Arial"/>
                <w:sz w:val="18"/>
                <w:szCs w:val="18"/>
                <w:color w:val="auto"/>
              </w:rPr>
              <w:t>57,231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12,156</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32,508</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4,967</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2,624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109,486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31,800</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5,035</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820" w:type="dxa"/>
            <w:vAlign w:val="bottom"/>
          </w:tcPr>
          <w:p>
            <w:pPr>
              <w:jc w:val="right"/>
              <w:spacing w:after="0"/>
              <w:rPr>
                <w:sz w:val="20"/>
                <w:szCs w:val="20"/>
                <w:color w:val="auto"/>
              </w:rPr>
            </w:pPr>
            <w:r>
              <w:rPr>
                <w:rFonts w:ascii="Arial" w:cs="Arial" w:eastAsia="Arial" w:hAnsi="Arial"/>
                <w:sz w:val="18"/>
                <w:szCs w:val="18"/>
                <w:color w:val="auto"/>
              </w:rPr>
              <w:t>85,162</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12,114</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30,944</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4,950</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O. Williamson</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15,188</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5,501</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4,332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2011</w:t>
            </w:r>
          </w:p>
        </w:tc>
        <w:tc>
          <w:tcPr>
            <w:tcW w:w="820" w:type="dxa"/>
            <w:vAlign w:val="bottom"/>
          </w:tcPr>
          <w:p>
            <w:pPr>
              <w:jc w:val="right"/>
              <w:spacing w:after="0"/>
              <w:rPr>
                <w:sz w:val="20"/>
                <w:szCs w:val="20"/>
                <w:color w:val="auto"/>
              </w:rPr>
            </w:pPr>
            <w:r>
              <w:rPr>
                <w:rFonts w:ascii="Arial" w:cs="Arial" w:eastAsia="Arial" w:hAnsi="Arial"/>
                <w:sz w:val="18"/>
                <w:szCs w:val="18"/>
                <w:color w:val="auto"/>
              </w:rPr>
              <w:t>47,059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14,436</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5,501</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5,277</w:t>
            </w:r>
          </w:p>
        </w:tc>
        <w:tc>
          <w:tcPr>
            <w:tcW w:w="620" w:type="dxa"/>
            <w:vAlign w:val="bottom"/>
          </w:tcPr>
          <w:p>
            <w:pPr>
              <w:jc w:val="right"/>
              <w:spacing w:after="0"/>
              <w:rPr>
                <w:sz w:val="20"/>
                <w:szCs w:val="20"/>
                <w:color w:val="auto"/>
              </w:rPr>
            </w:pPr>
            <w:r>
              <w:rPr>
                <w:rFonts w:ascii="Arial" w:cs="Arial" w:eastAsia="Arial" w:hAnsi="Arial"/>
                <w:sz w:val="18"/>
                <w:szCs w:val="18"/>
                <w:color w:val="auto"/>
              </w:rPr>
              <w:t>73,093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16,422</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5,501</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2012: $1 =£0.6336, 2011: $1 = £0.6250, 2010: $1 = £0.6358.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grants of plan-based awards made during fiscal 2012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or Base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Price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or</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Under-</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08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lying</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5"/>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vMerge w:val="restart"/>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Grant</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Committee Approval</w:t>
            </w:r>
          </w:p>
        </w:tc>
        <w:tc>
          <w:tcPr>
            <w:tcW w:w="30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Non-Equity Incentive Plan Awards (1)</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Options</w:t>
            </w: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Options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380" w:type="dxa"/>
            <w:vAlign w:val="bottom"/>
            <w:tcBorders>
              <w:bottom w:val="single" w:sz="8" w:color="auto"/>
            </w:tcBorders>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10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Date</w:t>
            </w:r>
          </w:p>
        </w:tc>
        <w:tc>
          <w:tcPr>
            <w:tcW w:w="15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Date</w:t>
            </w: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 xml:space="preserve">Threshold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 xml:space="preserve">Target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7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8"/>
              </w:rPr>
              <w:t xml:space="preserve">Maximum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300" w:type="dxa"/>
            <w:vAlign w:val="bottom"/>
          </w:tcPr>
          <w:p>
            <w:pPr>
              <w:spacing w:after="0"/>
              <w:rPr>
                <w:sz w:val="12"/>
                <w:szCs w:val="12"/>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(2)</w:t>
            </w:r>
            <w:r>
              <w:rPr>
                <w:rFonts w:ascii="Arial" w:cs="Arial" w:eastAsia="Arial" w:hAnsi="Arial"/>
                <w:sz w:val="14"/>
                <w:szCs w:val="14"/>
                <w:b w:val="1"/>
                <w:bCs w:val="1"/>
                <w:u w:val="single" w:color="auto"/>
                <w:color w:val="auto"/>
                <w:w w:val="86"/>
              </w:rPr>
              <w:t>(3)</w:t>
            </w:r>
            <w:r>
              <w:rPr>
                <w:rFonts w:ascii="Arial" w:cs="Arial" w:eastAsia="Arial" w:hAnsi="Arial"/>
                <w:sz w:val="14"/>
                <w:szCs w:val="14"/>
                <w:b w:val="1"/>
                <w:bCs w:val="1"/>
                <w:color w:val="auto"/>
                <w:w w:val="86"/>
              </w:rPr>
              <w:t xml:space="preserve"> (#)</w:t>
            </w:r>
          </w:p>
        </w:tc>
        <w:tc>
          <w:tcPr>
            <w:tcW w:w="280" w:type="dxa"/>
            <w:vAlign w:val="bottom"/>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F.M. Jaehnert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8/1/2011</w:t>
            </w:r>
          </w:p>
        </w:tc>
        <w:tc>
          <w:tcPr>
            <w:tcW w:w="2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7/20/2011</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800,000</w:t>
            </w: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1,600,000</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29.55</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1,300,954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9/30/2011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9/7/2011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262,837</w:t>
            </w:r>
          </w:p>
        </w:tc>
        <w:tc>
          <w:tcPr>
            <w:tcW w:w="780" w:type="dxa"/>
            <w:vAlign w:val="bottom"/>
          </w:tcPr>
          <w:p>
            <w:pPr>
              <w:jc w:val="right"/>
              <w:spacing w:after="0"/>
              <w:rPr>
                <w:sz w:val="20"/>
                <w:szCs w:val="20"/>
                <w:color w:val="auto"/>
              </w:rPr>
            </w:pPr>
            <w:r>
              <w:rPr>
                <w:rFonts w:ascii="Arial" w:cs="Arial" w:eastAsia="Arial" w:hAnsi="Arial"/>
                <w:sz w:val="18"/>
                <w:szCs w:val="18"/>
                <w:color w:val="auto"/>
              </w:rPr>
              <w:t>525,673</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9/30/2011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9/7/2011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35,000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223,825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447,650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29.55</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9/30/2011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9/7/2011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P.C. Sephton</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252,870</w:t>
            </w:r>
          </w:p>
        </w:tc>
        <w:tc>
          <w:tcPr>
            <w:tcW w:w="780" w:type="dxa"/>
            <w:vAlign w:val="bottom"/>
          </w:tcPr>
          <w:p>
            <w:pPr>
              <w:jc w:val="right"/>
              <w:spacing w:after="0"/>
              <w:rPr>
                <w:sz w:val="20"/>
                <w:szCs w:val="20"/>
                <w:color w:val="auto"/>
              </w:rPr>
            </w:pPr>
            <w:r>
              <w:rPr>
                <w:rFonts w:ascii="Arial" w:cs="Arial" w:eastAsia="Arial" w:hAnsi="Arial"/>
                <w:sz w:val="18"/>
                <w:szCs w:val="18"/>
                <w:color w:val="auto"/>
              </w:rPr>
              <w:t>505,741</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9/30/2011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9/7/2011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259,337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518,673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8/1/2011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7/20/2011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29.55</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9/30/2011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9/7/2011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awards were made under the Company’s annual cash incentive plan. The structure of the plan is described in the Compensation Discussion and Analysis above. Award levels are set prior to the beginning of the fiscal year and payouts can range from 0 to 200 percent of the target.</w:t>
      </w:r>
    </w:p>
    <w:p>
      <w:pPr>
        <w:spacing w:after="0" w:line="4" w:lineRule="exact"/>
        <w:rPr>
          <w:rFonts w:ascii="Arial" w:cs="Arial" w:eastAsia="Arial" w:hAnsi="Arial"/>
          <w:sz w:val="16"/>
          <w:szCs w:val="16"/>
          <w:color w:val="auto"/>
        </w:rPr>
      </w:pPr>
    </w:p>
    <w:p>
      <w:pPr>
        <w:jc w:val="both"/>
        <w:ind w:left="46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performance-based stock options granted on August 1, 2011 become exercisable in equal annual installments over a three-year period, with the vesting date being the date the Audit Committee accepts the results of the fiscal year audit confirming the achievement of annual 15 percent EPS growth. In the event the annual EPS growth goal is not achieved with respect to any fiscal year, the options may vest in full at the end of either fiscal 2013 or fiscal 2014 if the Corporation’s Compounded Annual Growth Rate (“CAGR”) for EPS over fiscal 2011 is 15 percent or more. These options have a term of ten years and were calculated using the grant date fair value.</w:t>
      </w:r>
    </w:p>
    <w:p>
      <w:pPr>
        <w:spacing w:after="0" w:line="61"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exercise price is the average of the high and low sale prices of the Company’s Class A Common Stock as reported by the New York Stock Exchange on the date of the grant. The average of the high and low sale prices of the Company’s Class A Common Stock as reported by the New York Stock Exchange on the grant dates was $29.55 per share on August 1, 2011 and $27.00 on September 30, 2011.</w:t>
      </w:r>
    </w:p>
    <w:p>
      <w:pPr>
        <w:sectPr>
          <w:pgSz w:w="11900" w:h="16838" w:orient="portrait"/>
          <w:cols w:equalWidth="0" w:num="1">
            <w:col w:w="11420"/>
          </w:cols>
          <w:pgMar w:left="240" w:top="459" w:right="239" w:bottom="36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36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2012 Fiscal Year 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gridSpan w:val="4"/>
          </w:tcPr>
          <w:p>
            <w:pPr>
              <w:ind w:left="560"/>
              <w:spacing w:after="0"/>
              <w:rPr>
                <w:sz w:val="20"/>
                <w:szCs w:val="20"/>
                <w:color w:val="auto"/>
              </w:rPr>
            </w:pPr>
            <w:r>
              <w:rPr>
                <w:rFonts w:ascii="Arial" w:cs="Arial" w:eastAsia="Arial" w:hAnsi="Arial"/>
                <w:sz w:val="14"/>
                <w:szCs w:val="14"/>
                <w:b w:val="1"/>
                <w:bCs w:val="1"/>
                <w:color w:val="auto"/>
              </w:rPr>
              <w:t>Option Awards (1)</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80" w:type="dxa"/>
            <w:vAlign w:val="bottom"/>
            <w:gridSpan w:val="4"/>
          </w:tcPr>
          <w:p>
            <w:pPr>
              <w:ind w:left="9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0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Unearned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Market or 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Shares, Units or</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of 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1"/>
              </w:rPr>
              <w:t>Unexercised</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Options</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Other 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80" w:type="dxa"/>
            <w:vAlign w:val="bottom"/>
            <w:vMerge w:val="restart"/>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Unearned</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Vested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4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1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Options (#)</w:t>
            </w: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12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F.M. Jaehnert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13.31</w:t>
            </w: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2/24/2013</w:t>
            </w: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72,000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11/20/2013</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8/2/2014</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28.84</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11/18/2014</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8/1/2015</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11/30/2015</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11/30/2016</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38.31</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12/4/2017</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12/4/2018</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56,667</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70,833(2)</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8/3/2019</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46,667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23,333(3)</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9/25/2019</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33,334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116,666(5)</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8/2/2020</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66,666(6)</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9/24/2020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130,000(7)</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29.55</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8/1/2021</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90,000(9)</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9/30/2021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50,000(4)</w:t>
            </w:r>
          </w:p>
        </w:tc>
        <w:tc>
          <w:tcPr>
            <w:tcW w:w="1080" w:type="dxa"/>
            <w:vAlign w:val="bottom"/>
          </w:tcPr>
          <w:p>
            <w:pPr>
              <w:jc w:val="right"/>
              <w:spacing w:after="0"/>
              <w:rPr>
                <w:sz w:val="20"/>
                <w:szCs w:val="20"/>
                <w:color w:val="auto"/>
              </w:rPr>
            </w:pPr>
            <w:r>
              <w:rPr>
                <w:rFonts w:ascii="Arial" w:cs="Arial" w:eastAsia="Arial" w:hAnsi="Arial"/>
                <w:sz w:val="18"/>
                <w:szCs w:val="18"/>
                <w:color w:val="auto"/>
              </w:rPr>
              <w:t>1,326,500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16.39</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11/14/2012</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11/20/2013</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8/2/2014</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11/18/2014</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33.89</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8/1/2015</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11/30/2015</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38.19</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11/30/2016</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12/4/2017</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20.95</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12/4/2018</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23,334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29,166(2)</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8/3/2019</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23,333</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11,666(3)</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9/25/2019</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11,667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40,833(5)</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8/2/2020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13,334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26,666(6)</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29.10</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9/24/2020</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45,000(7)</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8/1/2021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35,000(9)</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27.00</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9/30/2021</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35,000(4)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A.J. Klotsche</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16.39</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11/14/2012</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11/20/2013</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8/2/2014</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11/18/2014</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33.89</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8/1/2015</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11/30/2015</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38.19</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11/30/2016</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12/4/2017</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20.95</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12/4/2018</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23,334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29,166(2)</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8/3/2019</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23,334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11,666(3)</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9/25/2019</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35,000(5)</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8/2/2020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11,667</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23,333(6)</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29.10</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9/24/2020</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40,000(7)</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8/1/2021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30,000(9)</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27.00</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9/30/2021</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35,000(4)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P.C. Sephton</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11/20/2013</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8/2/2014</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28.84</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11/18/2014</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8/1/2015</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37.83</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11/30/2015</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11/30/2016</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38.31</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12/4/2017</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12/4/2018</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23,334</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29,166(2)</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8/3/2019</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23,334</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11,666(3)</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9/25/2019</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35,000(5)</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8/2/2020</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11,667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23,333(6)</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9/24/2020</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40,000(7)</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29.55</w:t>
            </w:r>
          </w:p>
        </w:tc>
        <w:tc>
          <w:tcPr>
            <w:tcW w:w="4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8/1/2021</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30,000(9)</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9/30/2021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20" w:type="dxa"/>
            <w:vAlign w:val="bottom"/>
          </w:tcPr>
          <w:p>
            <w:pPr>
              <w:jc w:val="right"/>
              <w:ind w:right="332"/>
              <w:spacing w:after="0"/>
              <w:rPr>
                <w:sz w:val="20"/>
                <w:szCs w:val="20"/>
                <w:color w:val="auto"/>
              </w:rPr>
            </w:pPr>
            <w:r>
              <w:rPr>
                <w:rFonts w:ascii="Arial" w:cs="Arial" w:eastAsia="Arial" w:hAnsi="Arial"/>
                <w:sz w:val="18"/>
                <w:szCs w:val="18"/>
                <w:color w:val="auto"/>
              </w:rPr>
              <w:t>35,000(4)</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928,550</w:t>
            </w:r>
          </w:p>
        </w:tc>
      </w:tr>
      <w:tr>
        <w:trPr>
          <w:trHeight w:val="218"/>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14,000</w:t>
            </w:r>
          </w:p>
        </w:tc>
        <w:tc>
          <w:tcPr>
            <w:tcW w:w="1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17.33</w:t>
            </w:r>
          </w:p>
        </w:tc>
        <w:tc>
          <w:tcPr>
            <w:tcW w:w="3020" w:type="dxa"/>
            <w:vAlign w:val="bottom"/>
            <w:shd w:val="clear" w:color="auto" w:fill="CCEEFF"/>
          </w:tcPr>
          <w:p>
            <w:pPr>
              <w:jc w:val="right"/>
              <w:ind w:right="1912"/>
              <w:spacing w:after="0"/>
              <w:rPr>
                <w:sz w:val="20"/>
                <w:szCs w:val="20"/>
                <w:color w:val="auto"/>
              </w:rPr>
            </w:pPr>
            <w:r>
              <w:rPr>
                <w:rFonts w:ascii="Arial" w:cs="Arial" w:eastAsia="Arial" w:hAnsi="Arial"/>
                <w:sz w:val="18"/>
                <w:szCs w:val="18"/>
                <w:color w:val="auto"/>
              </w:rPr>
              <w:t>11/20/2013</w:t>
            </w:r>
          </w:p>
        </w:tc>
        <w:tc>
          <w:tcPr>
            <w:tcW w:w="1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Arial" w:cs="Arial" w:eastAsia="Arial" w:hAnsi="Arial"/>
                <w:sz w:val="18"/>
                <w:szCs w:val="18"/>
                <w:color w:val="auto"/>
              </w:rPr>
              <w:t>30,000</w:t>
            </w:r>
          </w:p>
        </w:tc>
        <w:tc>
          <w:tcPr>
            <w:tcW w:w="1320" w:type="dxa"/>
            <w:vAlign w:val="bottom"/>
          </w:tcPr>
          <w:p>
            <w:pPr>
              <w:spacing w:after="0"/>
              <w:rPr>
                <w:sz w:val="18"/>
                <w:szCs w:val="18"/>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22.63</w:t>
            </w:r>
          </w:p>
        </w:tc>
        <w:tc>
          <w:tcPr>
            <w:tcW w:w="3020" w:type="dxa"/>
            <w:vAlign w:val="bottom"/>
          </w:tcPr>
          <w:p>
            <w:pPr>
              <w:jc w:val="right"/>
              <w:ind w:right="1912"/>
              <w:spacing w:after="0"/>
              <w:rPr>
                <w:sz w:val="20"/>
                <w:szCs w:val="20"/>
                <w:color w:val="auto"/>
              </w:rPr>
            </w:pPr>
            <w:r>
              <w:rPr>
                <w:rFonts w:ascii="Arial" w:cs="Arial" w:eastAsia="Arial" w:hAnsi="Arial"/>
                <w:sz w:val="18"/>
                <w:szCs w:val="18"/>
                <w:color w:val="auto"/>
              </w:rPr>
              <w:t>8/2/2014</w:t>
            </w:r>
          </w:p>
        </w:tc>
        <w:tc>
          <w:tcPr>
            <w:tcW w:w="1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30,000</w:t>
            </w:r>
          </w:p>
        </w:tc>
        <w:tc>
          <w:tcPr>
            <w:tcW w:w="1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28.84</w:t>
            </w:r>
          </w:p>
        </w:tc>
        <w:tc>
          <w:tcPr>
            <w:tcW w:w="3020" w:type="dxa"/>
            <w:vAlign w:val="bottom"/>
            <w:shd w:val="clear" w:color="auto" w:fill="CCEEFF"/>
          </w:tcPr>
          <w:p>
            <w:pPr>
              <w:jc w:val="right"/>
              <w:ind w:right="1912"/>
              <w:spacing w:after="0"/>
              <w:rPr>
                <w:sz w:val="20"/>
                <w:szCs w:val="20"/>
                <w:color w:val="auto"/>
              </w:rPr>
            </w:pPr>
            <w:r>
              <w:rPr>
                <w:rFonts w:ascii="Arial" w:cs="Arial" w:eastAsia="Arial" w:hAnsi="Arial"/>
                <w:sz w:val="18"/>
                <w:szCs w:val="18"/>
                <w:color w:val="auto"/>
              </w:rPr>
              <w:t>11/18/2014</w:t>
            </w:r>
          </w:p>
        </w:tc>
        <w:tc>
          <w:tcPr>
            <w:tcW w:w="1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Arial" w:cs="Arial" w:eastAsia="Arial" w:hAnsi="Arial"/>
                <w:sz w:val="18"/>
                <w:szCs w:val="18"/>
                <w:color w:val="auto"/>
              </w:rPr>
              <w:t>30,000</w:t>
            </w:r>
          </w:p>
        </w:tc>
        <w:tc>
          <w:tcPr>
            <w:tcW w:w="1320" w:type="dxa"/>
            <w:vAlign w:val="bottom"/>
          </w:tcPr>
          <w:p>
            <w:pPr>
              <w:spacing w:after="0"/>
              <w:rPr>
                <w:sz w:val="18"/>
                <w:szCs w:val="18"/>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33.89</w:t>
            </w:r>
          </w:p>
        </w:tc>
        <w:tc>
          <w:tcPr>
            <w:tcW w:w="3020" w:type="dxa"/>
            <w:vAlign w:val="bottom"/>
          </w:tcPr>
          <w:p>
            <w:pPr>
              <w:jc w:val="right"/>
              <w:ind w:right="1912"/>
              <w:spacing w:after="0"/>
              <w:rPr>
                <w:sz w:val="20"/>
                <w:szCs w:val="20"/>
                <w:color w:val="auto"/>
              </w:rPr>
            </w:pPr>
            <w:r>
              <w:rPr>
                <w:rFonts w:ascii="Arial" w:cs="Arial" w:eastAsia="Arial" w:hAnsi="Arial"/>
                <w:sz w:val="18"/>
                <w:szCs w:val="18"/>
                <w:color w:val="auto"/>
              </w:rPr>
              <w:t>8/1/2015</w:t>
            </w:r>
          </w:p>
        </w:tc>
        <w:tc>
          <w:tcPr>
            <w:tcW w:w="1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1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37.83</w:t>
            </w:r>
          </w:p>
        </w:tc>
        <w:tc>
          <w:tcPr>
            <w:tcW w:w="3020" w:type="dxa"/>
            <w:vAlign w:val="bottom"/>
            <w:shd w:val="clear" w:color="auto" w:fill="CCEEFF"/>
          </w:tcPr>
          <w:p>
            <w:pPr>
              <w:jc w:val="right"/>
              <w:ind w:right="1912"/>
              <w:spacing w:after="0"/>
              <w:rPr>
                <w:sz w:val="20"/>
                <w:szCs w:val="20"/>
                <w:color w:val="auto"/>
              </w:rPr>
            </w:pPr>
            <w:r>
              <w:rPr>
                <w:rFonts w:ascii="Arial" w:cs="Arial" w:eastAsia="Arial" w:hAnsi="Arial"/>
                <w:sz w:val="18"/>
                <w:szCs w:val="18"/>
                <w:color w:val="auto"/>
              </w:rPr>
              <w:t>11/30/2015</w:t>
            </w:r>
          </w:p>
        </w:tc>
        <w:tc>
          <w:tcPr>
            <w:tcW w:w="1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Arial" w:cs="Arial" w:eastAsia="Arial" w:hAnsi="Arial"/>
                <w:sz w:val="18"/>
                <w:szCs w:val="18"/>
                <w:color w:val="auto"/>
              </w:rPr>
              <w:t>25,000</w:t>
            </w:r>
          </w:p>
        </w:tc>
        <w:tc>
          <w:tcPr>
            <w:tcW w:w="1320" w:type="dxa"/>
            <w:vAlign w:val="bottom"/>
          </w:tcPr>
          <w:p>
            <w:pPr>
              <w:spacing w:after="0"/>
              <w:rPr>
                <w:sz w:val="18"/>
                <w:szCs w:val="18"/>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38.19</w:t>
            </w:r>
          </w:p>
        </w:tc>
        <w:tc>
          <w:tcPr>
            <w:tcW w:w="3020" w:type="dxa"/>
            <w:vAlign w:val="bottom"/>
          </w:tcPr>
          <w:p>
            <w:pPr>
              <w:jc w:val="right"/>
              <w:ind w:right="1912"/>
              <w:spacing w:after="0"/>
              <w:rPr>
                <w:sz w:val="20"/>
                <w:szCs w:val="20"/>
                <w:color w:val="auto"/>
              </w:rPr>
            </w:pPr>
            <w:r>
              <w:rPr>
                <w:rFonts w:ascii="Arial" w:cs="Arial" w:eastAsia="Arial" w:hAnsi="Arial"/>
                <w:sz w:val="18"/>
                <w:szCs w:val="18"/>
                <w:color w:val="auto"/>
              </w:rPr>
              <w:t>11/30/2016</w:t>
            </w:r>
          </w:p>
        </w:tc>
        <w:tc>
          <w:tcPr>
            <w:tcW w:w="1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13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38.31</w:t>
            </w:r>
          </w:p>
        </w:tc>
        <w:tc>
          <w:tcPr>
            <w:tcW w:w="3020" w:type="dxa"/>
            <w:vAlign w:val="bottom"/>
            <w:shd w:val="clear" w:color="auto" w:fill="CCEEFF"/>
          </w:tcPr>
          <w:p>
            <w:pPr>
              <w:jc w:val="right"/>
              <w:ind w:right="1912"/>
              <w:spacing w:after="0"/>
              <w:rPr>
                <w:sz w:val="20"/>
                <w:szCs w:val="20"/>
                <w:color w:val="auto"/>
              </w:rPr>
            </w:pPr>
            <w:r>
              <w:rPr>
                <w:rFonts w:ascii="Arial" w:cs="Arial" w:eastAsia="Arial" w:hAnsi="Arial"/>
                <w:sz w:val="18"/>
                <w:szCs w:val="18"/>
                <w:color w:val="auto"/>
              </w:rPr>
              <w:t>12/4/2017</w:t>
            </w:r>
          </w:p>
        </w:tc>
        <w:tc>
          <w:tcPr>
            <w:tcW w:w="1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Arial" w:cs="Arial" w:eastAsia="Arial" w:hAnsi="Arial"/>
                <w:sz w:val="18"/>
                <w:szCs w:val="18"/>
                <w:color w:val="auto"/>
              </w:rPr>
              <w:t>25,000</w:t>
            </w:r>
          </w:p>
        </w:tc>
        <w:tc>
          <w:tcPr>
            <w:tcW w:w="1320" w:type="dxa"/>
            <w:vAlign w:val="bottom"/>
          </w:tcPr>
          <w:p>
            <w:pPr>
              <w:spacing w:after="0"/>
              <w:rPr>
                <w:sz w:val="18"/>
                <w:szCs w:val="18"/>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20.95</w:t>
            </w:r>
          </w:p>
        </w:tc>
        <w:tc>
          <w:tcPr>
            <w:tcW w:w="3020" w:type="dxa"/>
            <w:vAlign w:val="bottom"/>
          </w:tcPr>
          <w:p>
            <w:pPr>
              <w:jc w:val="right"/>
              <w:ind w:right="1912"/>
              <w:spacing w:after="0"/>
              <w:rPr>
                <w:sz w:val="20"/>
                <w:szCs w:val="20"/>
                <w:color w:val="auto"/>
              </w:rPr>
            </w:pPr>
            <w:r>
              <w:rPr>
                <w:rFonts w:ascii="Arial" w:cs="Arial" w:eastAsia="Arial" w:hAnsi="Arial"/>
                <w:sz w:val="18"/>
                <w:szCs w:val="18"/>
                <w:color w:val="auto"/>
              </w:rPr>
              <w:t>12/4/2018</w:t>
            </w:r>
          </w:p>
        </w:tc>
        <w:tc>
          <w:tcPr>
            <w:tcW w:w="1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23,334</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29,166(2)</w:t>
            </w: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29.78</w:t>
            </w:r>
          </w:p>
        </w:tc>
        <w:tc>
          <w:tcPr>
            <w:tcW w:w="3020" w:type="dxa"/>
            <w:vAlign w:val="bottom"/>
            <w:shd w:val="clear" w:color="auto" w:fill="CCEEFF"/>
          </w:tcPr>
          <w:p>
            <w:pPr>
              <w:jc w:val="right"/>
              <w:ind w:right="1912"/>
              <w:spacing w:after="0"/>
              <w:rPr>
                <w:sz w:val="20"/>
                <w:szCs w:val="20"/>
                <w:color w:val="auto"/>
              </w:rPr>
            </w:pPr>
            <w:r>
              <w:rPr>
                <w:rFonts w:ascii="Arial" w:cs="Arial" w:eastAsia="Arial" w:hAnsi="Arial"/>
                <w:sz w:val="18"/>
                <w:szCs w:val="18"/>
                <w:color w:val="auto"/>
              </w:rPr>
              <w:t>8/3/2019</w:t>
            </w:r>
          </w:p>
        </w:tc>
        <w:tc>
          <w:tcPr>
            <w:tcW w:w="1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Arial" w:cs="Arial" w:eastAsia="Arial" w:hAnsi="Arial"/>
                <w:sz w:val="18"/>
                <w:szCs w:val="18"/>
                <w:color w:val="auto"/>
              </w:rPr>
              <w:t>23,334</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11,666(3)</w:t>
            </w: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28.73</w:t>
            </w:r>
          </w:p>
        </w:tc>
        <w:tc>
          <w:tcPr>
            <w:tcW w:w="3020" w:type="dxa"/>
            <w:vAlign w:val="bottom"/>
          </w:tcPr>
          <w:p>
            <w:pPr>
              <w:jc w:val="right"/>
              <w:ind w:right="1912"/>
              <w:spacing w:after="0"/>
              <w:rPr>
                <w:sz w:val="20"/>
                <w:szCs w:val="20"/>
                <w:color w:val="auto"/>
              </w:rPr>
            </w:pPr>
            <w:r>
              <w:rPr>
                <w:rFonts w:ascii="Arial" w:cs="Arial" w:eastAsia="Arial" w:hAnsi="Arial"/>
                <w:sz w:val="18"/>
                <w:szCs w:val="18"/>
                <w:color w:val="auto"/>
              </w:rPr>
              <w:t>9/25/2019</w:t>
            </w:r>
          </w:p>
        </w:tc>
        <w:tc>
          <w:tcPr>
            <w:tcW w:w="1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10,000</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35,000(5)</w:t>
            </w: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28.35</w:t>
            </w:r>
          </w:p>
        </w:tc>
        <w:tc>
          <w:tcPr>
            <w:tcW w:w="3020" w:type="dxa"/>
            <w:vAlign w:val="bottom"/>
            <w:shd w:val="clear" w:color="auto" w:fill="CCEEFF"/>
          </w:tcPr>
          <w:p>
            <w:pPr>
              <w:jc w:val="right"/>
              <w:ind w:right="1912"/>
              <w:spacing w:after="0"/>
              <w:rPr>
                <w:sz w:val="20"/>
                <w:szCs w:val="20"/>
                <w:color w:val="auto"/>
              </w:rPr>
            </w:pPr>
            <w:r>
              <w:rPr>
                <w:rFonts w:ascii="Arial" w:cs="Arial" w:eastAsia="Arial" w:hAnsi="Arial"/>
                <w:sz w:val="18"/>
                <w:szCs w:val="18"/>
                <w:color w:val="auto"/>
              </w:rPr>
              <w:t>8/2/2020</w:t>
            </w:r>
          </w:p>
        </w:tc>
        <w:tc>
          <w:tcPr>
            <w:tcW w:w="1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Arial" w:cs="Arial" w:eastAsia="Arial" w:hAnsi="Arial"/>
                <w:sz w:val="18"/>
                <w:szCs w:val="18"/>
                <w:color w:val="auto"/>
              </w:rPr>
              <w:t>11,667</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23,333(6)</w:t>
            </w: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29.10</w:t>
            </w:r>
          </w:p>
        </w:tc>
        <w:tc>
          <w:tcPr>
            <w:tcW w:w="3020" w:type="dxa"/>
            <w:vAlign w:val="bottom"/>
          </w:tcPr>
          <w:p>
            <w:pPr>
              <w:jc w:val="right"/>
              <w:ind w:right="1912"/>
              <w:spacing w:after="0"/>
              <w:rPr>
                <w:sz w:val="20"/>
                <w:szCs w:val="20"/>
                <w:color w:val="auto"/>
              </w:rPr>
            </w:pPr>
            <w:r>
              <w:rPr>
                <w:rFonts w:ascii="Arial" w:cs="Arial" w:eastAsia="Arial" w:hAnsi="Arial"/>
                <w:sz w:val="18"/>
                <w:szCs w:val="18"/>
                <w:color w:val="auto"/>
              </w:rPr>
              <w:t>9/24/2020</w:t>
            </w:r>
          </w:p>
        </w:tc>
        <w:tc>
          <w:tcPr>
            <w:tcW w:w="1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40,000(7)</w:t>
            </w: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29.55</w:t>
            </w:r>
          </w:p>
        </w:tc>
        <w:tc>
          <w:tcPr>
            <w:tcW w:w="3020" w:type="dxa"/>
            <w:vAlign w:val="bottom"/>
            <w:shd w:val="clear" w:color="auto" w:fill="CCEEFF"/>
          </w:tcPr>
          <w:p>
            <w:pPr>
              <w:jc w:val="right"/>
              <w:ind w:right="1912"/>
              <w:spacing w:after="0"/>
              <w:rPr>
                <w:sz w:val="20"/>
                <w:szCs w:val="20"/>
                <w:color w:val="auto"/>
              </w:rPr>
            </w:pPr>
            <w:r>
              <w:rPr>
                <w:rFonts w:ascii="Arial" w:cs="Arial" w:eastAsia="Arial" w:hAnsi="Arial"/>
                <w:sz w:val="18"/>
                <w:szCs w:val="18"/>
                <w:color w:val="auto"/>
              </w:rPr>
              <w:t>8/1/2021</w:t>
            </w:r>
          </w:p>
        </w:tc>
        <w:tc>
          <w:tcPr>
            <w:tcW w:w="1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30,000(9)</w:t>
            </w: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27.00</w:t>
            </w:r>
          </w:p>
        </w:tc>
        <w:tc>
          <w:tcPr>
            <w:tcW w:w="3020" w:type="dxa"/>
            <w:vAlign w:val="bottom"/>
          </w:tcPr>
          <w:p>
            <w:pPr>
              <w:jc w:val="right"/>
              <w:ind w:right="1912"/>
              <w:spacing w:after="0"/>
              <w:rPr>
                <w:sz w:val="20"/>
                <w:szCs w:val="20"/>
                <w:color w:val="auto"/>
              </w:rPr>
            </w:pPr>
            <w:r>
              <w:rPr>
                <w:rFonts w:ascii="Arial" w:cs="Arial" w:eastAsia="Arial" w:hAnsi="Arial"/>
                <w:sz w:val="18"/>
                <w:szCs w:val="18"/>
                <w:color w:val="auto"/>
              </w:rPr>
              <w:t>9/30/2021</w:t>
            </w:r>
          </w:p>
        </w:tc>
        <w:tc>
          <w:tcPr>
            <w:tcW w:w="1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35,000(4)</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928,550</w:t>
            </w:r>
          </w:p>
        </w:tc>
      </w:tr>
      <w:tr>
        <w:trPr>
          <w:trHeight w:val="363"/>
        </w:trPr>
        <w:tc>
          <w:tcPr>
            <w:tcW w:w="2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40" w:type="dxa"/>
            <w:vAlign w:val="bottom"/>
          </w:tcPr>
          <w:p>
            <w:pPr>
              <w:jc w:val="right"/>
              <w:ind w:right="1412"/>
              <w:spacing w:after="0"/>
              <w:rPr>
                <w:sz w:val="20"/>
                <w:szCs w:val="20"/>
                <w:color w:val="auto"/>
              </w:rPr>
            </w:pPr>
            <w:r>
              <w:rPr>
                <w:rFonts w:ascii="Arial" w:cs="Arial" w:eastAsia="Arial" w:hAnsi="Arial"/>
                <w:sz w:val="18"/>
                <w:szCs w:val="18"/>
                <w:color w:val="auto"/>
              </w:rPr>
              <w:t>83</w:t>
            </w:r>
          </w:p>
        </w:tc>
        <w:tc>
          <w:tcPr>
            <w:tcW w:w="30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90"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Two-thirds of the options vest in equal annual installments over a three-year period, with the vesting date being the date the Audit Committee accepts the results of the fiscal year audit confirming the achievement of annual EPS growth levels. The remaining one-third of the options vest at plan year three depending upon the Corporation’s EPS growth for fiscal 2012 over fiscal 2008 in comparison with other corporations in the S&amp;P 600 Index.</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remaining options will vest on September 25, 2012.</w:t>
      </w:r>
    </w:p>
    <w:p>
      <w:pPr>
        <w:spacing w:after="0" w:line="9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July 20, 2011, the Management Development &amp; Compensation Committee of the Board of Directors of the Company approved an amendment to the granting agreement under which the Company issued performance-based restricted stock on January 8, 2008. Pursuant to the amendment, the shares will vest upon meeting a financial performance vesting requirement based upon the Company’s EPS growth at either July 31, 2013 or July 31, 2014, provided that the senior executives remain employed through July 31, 2014.</w:t>
      </w:r>
    </w:p>
    <w:p>
      <w:pPr>
        <w:spacing w:after="0" w:line="62"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Two-thirds of the shares vest in equal installments over a three-year period, with the vesting date being the date the Audit Committee accepts the results of the fiscal year audit confirming the achievement of annual EPS growth levels. The remaining one-third of the shares vest at plan year three depending upon the Company’s EPS growth for fiscal 2013 over fiscal 2010 in comparison with other corporations in the S&amp;P 600 Index.</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One-half of the options vest on September 24, 2012 and the remaining options vest on September 24, 2013.</w:t>
      </w:r>
    </w:p>
    <w:p>
      <w:pPr>
        <w:spacing w:after="0" w:line="9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performance-based stock options granted on August 1, 2011 become exercisable in equal annual installments over a three-year period, with the vesting date being the date the Audit Committee accepts the results of the fiscal year audit confirming the achievement of annual 15 percent EPS growth. In the event the annual EPS growth goal is not achieved with respect to any fiscal year, the options may vest in full at the end of either fiscal 2013 or fiscal 2014 if the Corporation’s Compounded Annual Growth Rate (“CAGR”) for EPS over fiscal 2011 is 15 percent or more.</w:t>
      </w:r>
    </w:p>
    <w:p>
      <w:pPr>
        <w:spacing w:after="0" w:line="31"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Effective August 2, 2010, a grant of 100,000 shares of performance-based restricted stock was issued to Mr. Jaehnert, which included both a performance vesting requirement based upon earnings per share growth and a service vesting requirement prorated at July 31, 2013, July 31, 2014 and July 31, 2015.</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One-third of the options vest on September 30, 2012, one-third of the options vest on September 30, 2013, and one-third of the options vest on September 30,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for Fiscal 2012</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option exercises completed during fiscal 2012 to the named executive officers. No shares of restricted stock held by the named executive officers vested in fiscal 2012.</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8"/>
              </w:rPr>
              <w:t>Option Awards</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20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80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6"/>
              </w:rPr>
              <w:t>Exercise (#)</w:t>
            </w:r>
          </w:p>
        </w:tc>
        <w:tc>
          <w:tcPr>
            <w:tcW w:w="1000" w:type="dxa"/>
            <w:vAlign w:val="bottom"/>
            <w:gridSpan w:val="3"/>
          </w:tcPr>
          <w:p>
            <w:pPr>
              <w:jc w:val="right"/>
              <w:ind w:right="120"/>
              <w:spacing w:after="0" w:line="148" w:lineRule="exact"/>
              <w:rPr>
                <w:sz w:val="20"/>
                <w:szCs w:val="20"/>
                <w:color w:val="auto"/>
              </w:rPr>
            </w:pPr>
            <w:r>
              <w:rPr>
                <w:rFonts w:ascii="Arial" w:cs="Arial" w:eastAsia="Arial" w:hAnsi="Arial"/>
                <w:sz w:val="14"/>
                <w:szCs w:val="14"/>
                <w:b w:val="1"/>
                <w:bCs w:val="1"/>
                <w:color w:val="auto"/>
                <w:w w:val="86"/>
              </w:rPr>
              <w:t xml:space="preserve">on Exercise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F.M. Jaehnert</w:t>
            </w:r>
          </w:p>
        </w:tc>
        <w:tc>
          <w:tcPr>
            <w:tcW w:w="23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1,469,250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P.C. Sephton</w:t>
            </w:r>
          </w:p>
        </w:tc>
        <w:tc>
          <w:tcPr>
            <w:tcW w:w="2320" w:type="dxa"/>
            <w:vAlign w:val="bottom"/>
          </w:tcPr>
          <w:p>
            <w:pPr>
              <w:spacing w:after="0"/>
              <w:rPr>
                <w:sz w:val="18"/>
                <w:szCs w:val="18"/>
                <w:color w:val="auto"/>
              </w:rPr>
            </w:pP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7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2012</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2012 for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Executive</w:t>
            </w: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Registrant</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in</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in</w:t>
            </w: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Aggregate</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Last Fiscal</w:t>
            </w: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Earnings in</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00" w:type="dxa"/>
            <w:vAlign w:val="bottom"/>
            <w:vMerge w:val="restart"/>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Year</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Year</w:t>
            </w: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Last Fiscal Year</w:t>
            </w: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Last Fiscal Year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0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End ($)</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F.M. Jaehnert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88,533</w:t>
            </w:r>
          </w:p>
        </w:tc>
        <w:tc>
          <w:tcPr>
            <w:tcW w:w="5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176,035</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(170,018)</w:t>
            </w: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3,939,233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299,654</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51,960</w:t>
            </w:r>
          </w:p>
        </w:tc>
        <w:tc>
          <w:tcPr>
            <w:tcW w:w="920" w:type="dxa"/>
            <w:vAlign w:val="bottom"/>
          </w:tcPr>
          <w:p>
            <w:pPr>
              <w:jc w:val="right"/>
              <w:spacing w:after="0"/>
              <w:rPr>
                <w:sz w:val="20"/>
                <w:szCs w:val="20"/>
                <w:color w:val="auto"/>
              </w:rPr>
            </w:pPr>
            <w:r>
              <w:rPr>
                <w:rFonts w:ascii="Arial" w:cs="Arial" w:eastAsia="Arial" w:hAnsi="Arial"/>
                <w:sz w:val="18"/>
                <w:szCs w:val="18"/>
                <w:color w:val="auto"/>
              </w:rPr>
              <w:t>88,265</w:t>
            </w:r>
          </w:p>
        </w:tc>
        <w:tc>
          <w:tcPr>
            <w:tcW w:w="56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1,772,218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19,829</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33,548</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(7,735)</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P.C. Sephton</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115,837</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46,689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See discussion of the Company’s nonqualified deferred compensation plan in the Compensation Discussion and Analysis. The executive contribution amounts reported here are derived from the salary and non-equity incentive plan compensation columns of the Summary Compensation Table. The registrant contribution amounts reported here are reported in the all other compensation columns of the Summary Compensation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90" w:lineRule="exact"/>
        <w:rPr>
          <w:sz w:val="20"/>
          <w:szCs w:val="20"/>
          <w:color w:val="auto"/>
        </w:rPr>
      </w:pPr>
    </w:p>
    <w:p>
      <w:pPr>
        <w:jc w:val="both"/>
        <w:ind w:left="900" w:hanging="446"/>
        <w:spacing w:after="0" w:line="306" w:lineRule="auto"/>
        <w:tabs>
          <w:tab w:leader="none" w:pos="90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The amounts shown in the tables assume that each named executive officer terminated employment on July 31, 2012. Accordingly, the tables reflect amounts earned as of July 31, 2012,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25" w:lineRule="exact"/>
        <w:rPr>
          <w:rFonts w:ascii="Arial" w:cs="Arial" w:eastAsia="Arial" w:hAnsi="Arial"/>
          <w:sz w:val="16"/>
          <w:szCs w:val="16"/>
          <w:b w:val="1"/>
          <w:bCs w:val="1"/>
          <w:color w:val="auto"/>
        </w:rPr>
      </w:pPr>
    </w:p>
    <w:p>
      <w:pPr>
        <w:jc w:val="both"/>
        <w:ind w:left="900" w:hanging="446"/>
        <w:spacing w:after="0" w:line="259" w:lineRule="auto"/>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59"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 named executive officer is entitled to receive base salary earned during his term of employment regardless of the manner in which the named executive officer’s employment is terminated. As such, this amount is not shown in the tables.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2012 and the named executive officer had to legally enforce the terms of the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Restricted Stock</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Award</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Option</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Excise Tax</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Legal Fee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Base Salary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w:t>
            </w:r>
          </w:p>
        </w:tc>
        <w:tc>
          <w:tcPr>
            <w:tcW w:w="3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Acceleration</w:t>
            </w: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vMerge w:val="continue"/>
          </w:tcPr>
          <w:p>
            <w:pPr>
              <w:spacing w:after="0"/>
              <w:rPr>
                <w:sz w:val="14"/>
                <w:szCs w:val="14"/>
                <w:color w:val="auto"/>
              </w:rPr>
            </w:pPr>
          </w:p>
        </w:tc>
        <w:tc>
          <w:tcPr>
            <w:tcW w:w="3120" w:type="dxa"/>
            <w:vAlign w:val="bottom"/>
          </w:tcPr>
          <w:p>
            <w:pPr>
              <w:spacing w:after="0"/>
              <w:rPr>
                <w:sz w:val="14"/>
                <w:szCs w:val="14"/>
                <w:color w:val="auto"/>
              </w:rPr>
            </w:pPr>
          </w:p>
        </w:tc>
        <w:tc>
          <w:tcPr>
            <w:tcW w:w="11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(2)</w:t>
            </w:r>
          </w:p>
        </w:tc>
        <w:tc>
          <w:tcPr>
            <w:tcW w:w="13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Gain $(3)</w:t>
            </w:r>
          </w:p>
        </w:tc>
        <w:tc>
          <w:tcPr>
            <w:tcW w:w="11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Gain $ (4)</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400" w:type="dxa"/>
            <w:vAlign w:val="bottom"/>
          </w:tcPr>
          <w:p>
            <w:pPr>
              <w:spacing w:after="0"/>
              <w:rPr>
                <w:sz w:val="14"/>
                <w:szCs w:val="14"/>
                <w:color w:val="auto"/>
              </w:rPr>
            </w:pPr>
          </w:p>
        </w:tc>
        <w:tc>
          <w:tcPr>
            <w:tcW w:w="9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2,400,000</w:t>
            </w:r>
          </w:p>
        </w:tc>
        <w:tc>
          <w:tcPr>
            <w:tcW w:w="3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2,826,439</w:t>
            </w: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3,979,500</w:t>
            </w: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1,690,977</w:t>
            </w:r>
          </w:p>
        </w:tc>
        <w:tc>
          <w:tcPr>
            <w:tcW w:w="4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10,921,916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three times the base salary in effect at July 31,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three times the average bonus payment received in the last three fiscal years ended July 31.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closing market price of $26.53 on 150,000 unvested awards that would vest due to the change in control.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$26.53 at July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Thomas J. Felmer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2012 and the named executive officer had to legally enforce the terms of the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Restricted Stock</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Award</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Excise Tax</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Legal Fee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Base Salary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vMerge w:val="continue"/>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(2)</w:t>
            </w:r>
          </w:p>
        </w:tc>
        <w:tc>
          <w:tcPr>
            <w:tcW w:w="14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3"/>
              </w:rPr>
              <w:t>Gain $(3)</w:t>
            </w: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Gain $ (4)</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460" w:type="dxa"/>
            <w:vAlign w:val="bottom"/>
          </w:tcPr>
          <w:p>
            <w:pPr>
              <w:spacing w:after="0"/>
              <w:rPr>
                <w:sz w:val="14"/>
                <w:szCs w:val="14"/>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755,000</w:t>
            </w:r>
          </w:p>
        </w:tc>
        <w:tc>
          <w:tcPr>
            <w:tcW w:w="28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446,415</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928,550</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340,435</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3,068,951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closing market price of $26.53 on 35,000 unvested awards that would vest due to the change in control.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$26.53 at July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Allan J. Klotsche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2012 and the named executive officer had to legally enforce the terms of the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Restricted Stock</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Award</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Excise Tax</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Legal Fee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Base Salary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vMerge w:val="continue"/>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(2)</w:t>
            </w:r>
          </w:p>
        </w:tc>
        <w:tc>
          <w:tcPr>
            <w:tcW w:w="14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3"/>
              </w:rPr>
              <w:t>Gain $(3)</w:t>
            </w: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Gain $ (4)</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460" w:type="dxa"/>
            <w:vAlign w:val="bottom"/>
          </w:tcPr>
          <w:p>
            <w:pPr>
              <w:spacing w:after="0"/>
              <w:rPr>
                <w:sz w:val="14"/>
                <w:szCs w:val="14"/>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643,000</w:t>
            </w:r>
          </w:p>
        </w:tc>
        <w:tc>
          <w:tcPr>
            <w:tcW w:w="28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353,690</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928,550</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321,487</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2,710,042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closing market price of $26.53 on 35,000 unvested awards that would vest due to the change in control.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$26.53 at July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Peter C. Sephton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2012 and the named executive officer had to legally enforce the terms of the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Restricted Stock</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Award</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Excise Tax</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Legal Fee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Base Salary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vMerge w:val="continue"/>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(2)</w:t>
            </w:r>
          </w:p>
        </w:tc>
        <w:tc>
          <w:tcPr>
            <w:tcW w:w="14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3"/>
              </w:rPr>
              <w:t>Gain $(3)</w:t>
            </w: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Gain $ (4)</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460" w:type="dxa"/>
            <w:vAlign w:val="bottom"/>
          </w:tcPr>
          <w:p>
            <w:pPr>
              <w:spacing w:after="0"/>
              <w:rPr>
                <w:sz w:val="14"/>
                <w:szCs w:val="14"/>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726,038</w:t>
            </w:r>
          </w:p>
        </w:tc>
        <w:tc>
          <w:tcPr>
            <w:tcW w:w="28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264,815</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928,550</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249,726</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2,541,830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two times the base salary in effect at July 31, 2012. As Mr. Sephton works and lives in the United Kingdom, his base salary is paid to him in British Pounds. The amount shown in U.S. dollars was converted from British Pounds at the average fiscal 2012 exchange rate: $1 = £0.6336.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closing market price of $26.53 on 35,000 unvested awards that would vest due to the change in control.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$26.53 at July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Matthew O. Williamson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2012 and the named executive officer had to legally enforce the terms of the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Restricted Stock</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Stock</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Award</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Excise Tax</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Legal Fee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0"/>
              </w:rPr>
              <w:t>Base Salary ($) (1)</w:t>
            </w:r>
          </w:p>
        </w:tc>
        <w:tc>
          <w:tcPr>
            <w:tcW w:w="2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20" w:type="dxa"/>
            <w:vAlign w:val="bottom"/>
            <w:tcBorders>
              <w:bottom w:val="single" w:sz="8" w:color="auto"/>
            </w:tcBorders>
            <w:vMerge w:val="continue"/>
          </w:tcPr>
          <w:p>
            <w:pPr>
              <w:spacing w:after="0"/>
              <w:rPr>
                <w:sz w:val="14"/>
                <w:szCs w:val="14"/>
                <w:color w:val="auto"/>
              </w:rPr>
            </w:pPr>
          </w:p>
        </w:tc>
        <w:tc>
          <w:tcPr>
            <w:tcW w:w="2840" w:type="dxa"/>
            <w:vAlign w:val="bottom"/>
          </w:tcPr>
          <w:p>
            <w:pPr>
              <w:spacing w:after="0"/>
              <w:rPr>
                <w:sz w:val="14"/>
                <w:szCs w:val="14"/>
                <w:color w:val="auto"/>
              </w:rPr>
            </w:pPr>
          </w:p>
        </w:tc>
        <w:tc>
          <w:tcPr>
            <w:tcW w:w="12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(2)</w:t>
            </w:r>
          </w:p>
        </w:tc>
        <w:tc>
          <w:tcPr>
            <w:tcW w:w="14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Gain $ (3)</w:t>
            </w:r>
          </w:p>
        </w:tc>
        <w:tc>
          <w:tcPr>
            <w:tcW w:w="11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Gain $ (4)</w:t>
            </w: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460" w:type="dxa"/>
            <w:vAlign w:val="bottom"/>
          </w:tcPr>
          <w:p>
            <w:pPr>
              <w:spacing w:after="0"/>
              <w:rPr>
                <w:sz w:val="14"/>
                <w:szCs w:val="14"/>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745,000</w:t>
            </w:r>
          </w:p>
        </w:tc>
        <w:tc>
          <w:tcPr>
            <w:tcW w:w="28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348,483</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928,550</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334,174</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2,842,035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2012</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closing market price of $26.53 on 35,000 unvested awards that would vest due to the change in control.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$26.53 at July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2012.</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Unvested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Unvested Shares</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In-the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of Restricted</w:t>
            </w: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Money as</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Stock</w:t>
            </w:r>
          </w:p>
        </w:tc>
        <w:tc>
          <w:tcPr>
            <w:tcW w:w="17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Award</w:t>
            </w: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75"/>
              </w:rPr>
              <w:t>of</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vMerge w:val="restart"/>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79"/>
              </w:rPr>
              <w:t>as of</w:t>
            </w:r>
          </w:p>
        </w:tc>
        <w:tc>
          <w:tcPr>
            <w:tcW w:w="17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July 31,</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80" w:type="dxa"/>
            <w:vAlign w:val="bottom"/>
            <w:vMerge w:val="continue"/>
          </w:tcPr>
          <w:p>
            <w:pPr>
              <w:spacing w:after="0"/>
              <w:rPr>
                <w:sz w:val="14"/>
                <w:szCs w:val="14"/>
                <w:color w:val="auto"/>
              </w:rPr>
            </w:pPr>
          </w:p>
        </w:tc>
        <w:tc>
          <w:tcPr>
            <w:tcW w:w="172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July 31, 2012</w:t>
            </w:r>
          </w:p>
        </w:tc>
        <w:tc>
          <w:tcPr>
            <w:tcW w:w="17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90"/>
              </w:rPr>
              <w:t>Gain $ (1)</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w:t>
            </w:r>
          </w:p>
        </w:tc>
        <w:tc>
          <w:tcPr>
            <w:tcW w:w="780" w:type="dxa"/>
            <w:vAlign w:val="bottom"/>
          </w:tcPr>
          <w:p>
            <w:pPr>
              <w:spacing w:after="0"/>
              <w:rPr>
                <w:sz w:val="14"/>
                <w:szCs w:val="14"/>
                <w:color w:val="auto"/>
              </w:rPr>
            </w:pPr>
          </w:p>
        </w:tc>
        <w:tc>
          <w:tcPr>
            <w:tcW w:w="8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Gain $ (2)</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F.M. Jaehnert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3,979,500</w:t>
            </w:r>
          </w:p>
        </w:tc>
        <w:tc>
          <w:tcPr>
            <w:tcW w:w="7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c>
          <w:tcPr>
            <w:tcW w:w="7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928,550</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 Klotsche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928,550</w:t>
            </w:r>
          </w:p>
        </w:tc>
        <w:tc>
          <w:tcPr>
            <w:tcW w:w="1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P.C. Sephton</w:t>
            </w: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c>
          <w:tcPr>
            <w:tcW w:w="76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928,550</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7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928,550</w:t>
            </w:r>
          </w:p>
        </w:tc>
        <w:tc>
          <w:tcPr>
            <w:tcW w:w="13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closing market price of $26.53 on unvested awards that would vest due to the change in control.</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no unvested stock options that are in-the-money based upon the closing market price of $26.53 at July 31,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To ensure competitive compensation for the Directors, surveys prepared by various consulting firms and the National Association of Corporate Directors are reviewed by the Corporate Governance Committee and the Management Development and Compensation Committee in making recommendations to the Board of Directors regarding Director compensation. Directors who are employees of the Company receive no additional compensation for service on the Board or on any committee of the Board. The annual cash retainer paid to non-management Directors is $45,000. The remaining components of Director compensation include $10,000 for each committee chair ($15,000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of which they are not a member. In addition, non-management Directors are eligible to receive compensation of up to $1,000 per day for special assignments required by management or the Board of Directors, so long as the compensation does not impair independence and is approved as required by the Board.</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September 9, 2011, the Corporation’s Board of Directors authorized an increase in compensation paid to its non-management Directors. Effective with the annual Board of Directors meeting to be held on November 17, 2011, the annual committee chair fees increased from $6,000 to $10,000 for each of the Chairs of the Management Development and Compensation, Corporate Governance, Finance, and Technology Committees and from $10,000 to $15,000 for the Chair of the Audit Committee.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November 19, 2011, the Board of Directors of the Corporation, upon the recommendation of its Corporate Governance Committee, increased the annual Lead Independent Director fee from $15,000 to $46,500, consistent with the evolving role of independent board leadership and the enhanced responsibilities of the position. Mr. Chan Galbato was appointed Lead Independent Director on November 19, 2011, and is currently serving in that position.</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By unanimous written consent effective September 26, 2011, the holders of the Company’s Class B Common Stock approved the Brady Corporation 2012 Omnibus Incentive Stock Plan (the “2012 Omnibus Plan”). Under the terms of the 2012 Omnibus Plan, pursuant to which 5,500,000 shares of the Company’s Class A Common Stock have been authorized for issuance, the Board has full and final authority to designate the non-management Directors to whom awards will be granted, the date on which awards will be granted and the number of shares of stock covered by each grant.</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September 9, 2011, the Board approved an annual stock-based compensation award of 4,250 time-based stock options (having a grant date fair value of $8.92 per share) and 1,250 unrestricted shares of Class A Common Stock (having a grant date fair value of $26.43 per share), for each non-management Director effective September 30, 2011.</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Directors are also eligible to defer portions of their fees into the Brady Corporation Director Deferred Compensation Plan (“Director Deferred Compensation Plan”), the value of which is measured by the fair value of the underlying investments. On September 9, 2011, the Board approved an amendment to the Director Deferred Compensation Plan to incorporate rules for the deferral of compensation payable in the form of Brady Corporation common stock.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 Distributions of the Company Class A Nonvoting Common Stock are made in-kind; distributions of other assets are in cash.</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 — Fiscal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Fees Earned</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Option</w:t>
            </w: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or Paid in</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Awards ($)</w:t>
            </w: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 ($)</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128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6"/>
              </w:rPr>
              <w:t>Cash ($)</w:t>
            </w: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560" w:type="dxa"/>
            <w:vAlign w:val="bottom"/>
          </w:tcPr>
          <w:p>
            <w:pPr>
              <w:spacing w:after="0"/>
              <w:rPr>
                <w:sz w:val="14"/>
                <w:szCs w:val="14"/>
                <w:color w:val="auto"/>
              </w:rPr>
            </w:pPr>
          </w:p>
        </w:tc>
        <w:tc>
          <w:tcPr>
            <w:tcW w:w="680" w:type="dxa"/>
            <w:vAlign w:val="bottom"/>
          </w:tcPr>
          <w:p>
            <w:pPr>
              <w:ind w:left="260"/>
              <w:spacing w:after="0" w:line="148" w:lineRule="exact"/>
              <w:rPr>
                <w:sz w:val="20"/>
                <w:szCs w:val="20"/>
                <w:color w:val="auto"/>
              </w:rPr>
            </w:pPr>
            <w:r>
              <w:rPr>
                <w:rFonts w:ascii="Arial" w:cs="Arial" w:eastAsia="Arial" w:hAnsi="Arial"/>
                <w:sz w:val="14"/>
                <w:szCs w:val="14"/>
                <w:b w:val="1"/>
                <w:bCs w:val="1"/>
                <w:color w:val="auto"/>
              </w:rPr>
              <w:t>(2)</w:t>
            </w:r>
          </w:p>
        </w:tc>
        <w:tc>
          <w:tcPr>
            <w:tcW w:w="58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W. Allender</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114,000</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37,910</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3"/>
              </w:rPr>
              <w:t>33,038</w:t>
            </w:r>
          </w:p>
        </w:tc>
        <w:tc>
          <w:tcPr>
            <w:tcW w:w="5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184,948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Gary S. Balkema</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89,250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37,910</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33,038</w:t>
            </w:r>
          </w:p>
        </w:tc>
        <w:tc>
          <w:tcPr>
            <w:tcW w:w="5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160,198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W. Galbato</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150,250</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37,910</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33,038</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221,198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Conrad G. Goodkind</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109,500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37,910</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33,038</w:t>
            </w:r>
          </w:p>
        </w:tc>
        <w:tc>
          <w:tcPr>
            <w:tcW w:w="5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180,448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89,500</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37,910</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33,038</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160,448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Elizabeth P. Pungello</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80,500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37,910</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33,038</w:t>
            </w:r>
          </w:p>
        </w:tc>
        <w:tc>
          <w:tcPr>
            <w:tcW w:w="5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151,448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113,500</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37,910</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33,038</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184,448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in fiscal 2012 for time-based stock options. The assumptions used to determine the value of the option awards, including the use of the Black-Scholes method of valuation by the Company, are discussed in Note 1 of the Notes to Consolidated Financial Statements of the Company contained in Item 8 of this Form 10-K for the fiscal year ended July 31, 2012.</w:t>
      </w:r>
    </w:p>
    <w:p>
      <w:pPr>
        <w:spacing w:after="0" w:line="62" w:lineRule="exact"/>
        <w:rPr>
          <w:rFonts w:ascii="Arial" w:cs="Arial" w:eastAsia="Arial" w:hAnsi="Arial"/>
          <w:sz w:val="18"/>
          <w:szCs w:val="18"/>
          <w:color w:val="auto"/>
        </w:rPr>
      </w:pPr>
    </w:p>
    <w:p>
      <w:pPr>
        <w:jc w:val="both"/>
        <w:ind w:left="460"/>
        <w:spacing w:after="0" w:line="298" w:lineRule="auto"/>
        <w:rPr>
          <w:rFonts w:ascii="Arial" w:cs="Arial" w:eastAsia="Arial" w:hAnsi="Arial"/>
          <w:sz w:val="18"/>
          <w:szCs w:val="18"/>
          <w:color w:val="auto"/>
        </w:rPr>
      </w:pPr>
      <w:r>
        <w:rPr>
          <w:rFonts w:ascii="Arial" w:cs="Arial" w:eastAsia="Arial" w:hAnsi="Arial"/>
          <w:sz w:val="16"/>
          <w:szCs w:val="16"/>
          <w:color w:val="auto"/>
        </w:rPr>
        <w:t>The actual value, if any, which an option holder will realize upon the exercise of an option will depend on the excess of the market value of the Company’s common stock over the exercise price on the date the option is exercised, which cannot be forecasted with any accuracy. Outstanding option awards at July 31, 2012 for each individual serving as a director on that date include the following: Ms. Pungello, 58,500 shares; Mr. Harris, 58,500 shares; Mr. Galbato, 44,500 shares; Mr. Allender, 44,500 shares; Mr. Goodkind, 44,500 shares; Mr. Richardson, 38,500 shares; and Mr. Balkema, 24,100.</w:t>
      </w:r>
    </w:p>
    <w:p>
      <w:pPr>
        <w:spacing w:after="0" w:line="31"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fair value of shares of Brady Corporation Class A Non-Voting Common Stock granted in fiscal 2012 as compensation for their services. The shares were valued at the closing market price of $26.43 on September 30, 2011, the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15, 2012. As of that date, nearly all of the voting stock of the Company was held by two trusts controlled by direct descendants of the Company’s founder, William H. Brady, as follows: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Amount of</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108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488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Name and Address of Beneficial Owner</w:t>
            </w: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Beneficial</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9"/>
              </w:rPr>
              <w:t>Percent of</w:t>
            </w:r>
          </w:p>
        </w:tc>
        <w:tc>
          <w:tcPr>
            <w:tcW w:w="0" w:type="dxa"/>
            <w:vAlign w:val="bottom"/>
          </w:tcPr>
          <w:p>
            <w:pPr>
              <w:spacing w:after="0"/>
              <w:rPr>
                <w:sz w:val="1"/>
                <w:szCs w:val="1"/>
                <w:color w:val="auto"/>
              </w:rPr>
            </w:pPr>
          </w:p>
        </w:tc>
      </w:tr>
      <w:tr>
        <w:trPr>
          <w:trHeight w:val="153"/>
        </w:trPr>
        <w:tc>
          <w:tcPr>
            <w:tcW w:w="800" w:type="dxa"/>
            <w:vAlign w:val="bottom"/>
            <w:tcBorders>
              <w:bottom w:val="single" w:sz="8" w:color="auto"/>
            </w:tcBorders>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3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5"/>
              </w:rPr>
              <w:t>Ownership</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7"/>
              </w:rPr>
              <w:t>Ownership(2)</w:t>
            </w:r>
          </w:p>
        </w:tc>
        <w:tc>
          <w:tcPr>
            <w:tcW w:w="0" w:type="dxa"/>
            <w:vAlign w:val="bottom"/>
          </w:tcPr>
          <w:p>
            <w:pPr>
              <w:spacing w:after="0"/>
              <w:rPr>
                <w:sz w:val="1"/>
                <w:szCs w:val="1"/>
                <w:color w:val="auto"/>
              </w:rPr>
            </w:pPr>
          </w:p>
        </w:tc>
      </w:tr>
      <w:tr>
        <w:trPr>
          <w:trHeight w:val="20"/>
        </w:trPr>
        <w:tc>
          <w:tcPr>
            <w:tcW w:w="1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Class B Common Stock</w:t>
            </w:r>
          </w:p>
        </w:tc>
        <w:tc>
          <w:tcPr>
            <w:tcW w:w="480" w:type="dxa"/>
            <w:vAlign w:val="bottom"/>
            <w:shd w:val="clear" w:color="auto" w:fill="CCEEFF"/>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8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EBL GST Non-Exempt Stock B Trust(1)</w:t>
            </w:r>
          </w:p>
        </w:tc>
        <w:tc>
          <w:tcPr>
            <w:tcW w:w="50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1,769,304</w:t>
            </w:r>
          </w:p>
        </w:tc>
        <w:tc>
          <w:tcPr>
            <w:tcW w:w="60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Elizabeth P. Pungello</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2002 S. Hawick Ct.</w:t>
            </w: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Chapel Hill, NC 27516</w:t>
            </w:r>
          </w:p>
        </w:tc>
        <w:tc>
          <w:tcPr>
            <w:tcW w:w="7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William H. Brady III Revocable Trust of 2003(3)</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1,769,304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c/o William H. Brady III</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249 Rosemont Ave.</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Pasadena, CA 91103</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table sets forth the current beneficial ownership of each class of equity securities of the Company by each Director or Nominee and by all Directors and Officers of the Company as a group as of July 31, 2012. Unless otherwise noted, the address for each of the listed persons is c/o Brady Corporation, 6555 West Good Hope Road, Milwaukee, Wisconsin 53223. Except as otherwise indicated, all shares are owned directly.</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Amount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1480" w:type="dxa"/>
            <w:vAlign w:val="bottom"/>
            <w:vMerge w:val="restart"/>
          </w:tcPr>
          <w:p>
            <w:pPr>
              <w:spacing w:after="0"/>
              <w:rPr>
                <w:sz w:val="12"/>
                <w:szCs w:val="12"/>
                <w:color w:val="auto"/>
              </w:rPr>
            </w:pPr>
          </w:p>
        </w:tc>
        <w:tc>
          <w:tcPr>
            <w:tcW w:w="51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3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Beneficial</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53"/>
        </w:trPr>
        <w:tc>
          <w:tcPr>
            <w:tcW w:w="800" w:type="dxa"/>
            <w:vAlign w:val="bottom"/>
            <w:tcBorders>
              <w:bottom w:val="single" w:sz="8" w:color="auto"/>
            </w:tcBorders>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5120" w:type="dxa"/>
            <w:vAlign w:val="bottom"/>
            <w:gridSpan w:val="2"/>
            <w:vMerge w:val="continue"/>
          </w:tcPr>
          <w:p>
            <w:pPr>
              <w:spacing w:after="0"/>
              <w:rPr>
                <w:sz w:val="12"/>
                <w:szCs w:val="12"/>
                <w:color w:val="auto"/>
              </w:rPr>
            </w:pPr>
          </w:p>
        </w:tc>
        <w:tc>
          <w:tcPr>
            <w:tcW w:w="134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87"/>
              </w:rPr>
              <w:t>Ownership(4)</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gridSpan w:val="2"/>
            <w:vMerge w:val="continue"/>
            <w:shd w:val="clear" w:color="auto" w:fill="CCEEFF"/>
          </w:tcPr>
          <w:p>
            <w:pPr>
              <w:spacing w:after="0"/>
              <w:rPr>
                <w:sz w:val="17"/>
                <w:szCs w:val="17"/>
                <w:color w:val="auto"/>
              </w:rPr>
            </w:pPr>
          </w:p>
        </w:tc>
        <w:tc>
          <w:tcPr>
            <w:tcW w:w="4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Elizabeth P. Pungello(1)</w:t>
            </w:r>
          </w:p>
        </w:tc>
        <w:tc>
          <w:tcPr>
            <w:tcW w:w="42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1,351,812</w:t>
            </w:r>
          </w:p>
        </w:tc>
        <w:tc>
          <w:tcPr>
            <w:tcW w:w="5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Frank M. Jaehnert(2)</w:t>
            </w:r>
          </w:p>
        </w:tc>
        <w:tc>
          <w:tcPr>
            <w:tcW w:w="800" w:type="dxa"/>
            <w:vAlign w:val="bottom"/>
          </w:tcPr>
          <w:p>
            <w:pPr>
              <w:jc w:val="right"/>
              <w:spacing w:after="0"/>
              <w:rPr>
                <w:sz w:val="20"/>
                <w:szCs w:val="20"/>
                <w:color w:val="auto"/>
              </w:rPr>
            </w:pPr>
            <w:r>
              <w:rPr>
                <w:rFonts w:ascii="Arial" w:cs="Arial" w:eastAsia="Arial" w:hAnsi="Arial"/>
                <w:sz w:val="18"/>
                <w:szCs w:val="18"/>
                <w:color w:val="auto"/>
              </w:rPr>
              <w:t>955,712</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337,068</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Thomas J. Felmer</w:t>
            </w:r>
          </w:p>
        </w:tc>
        <w:tc>
          <w:tcPr>
            <w:tcW w:w="800" w:type="dxa"/>
            <w:vAlign w:val="bottom"/>
          </w:tcPr>
          <w:p>
            <w:pPr>
              <w:jc w:val="right"/>
              <w:spacing w:after="0"/>
              <w:rPr>
                <w:sz w:val="20"/>
                <w:szCs w:val="20"/>
                <w:color w:val="auto"/>
              </w:rPr>
            </w:pPr>
            <w:r>
              <w:rPr>
                <w:rFonts w:ascii="Arial" w:cs="Arial" w:eastAsia="Arial" w:hAnsi="Arial"/>
                <w:sz w:val="18"/>
                <w:szCs w:val="18"/>
                <w:color w:val="auto"/>
              </w:rPr>
              <w:t>324,739</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310,499</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Allan J. Klotsche</w:t>
            </w:r>
          </w:p>
        </w:tc>
        <w:tc>
          <w:tcPr>
            <w:tcW w:w="800" w:type="dxa"/>
            <w:vAlign w:val="bottom"/>
          </w:tcPr>
          <w:p>
            <w:pPr>
              <w:jc w:val="right"/>
              <w:spacing w:after="0"/>
              <w:rPr>
                <w:sz w:val="20"/>
                <w:szCs w:val="20"/>
                <w:color w:val="auto"/>
              </w:rPr>
            </w:pPr>
            <w:r>
              <w:rPr>
                <w:rFonts w:ascii="Arial" w:cs="Arial" w:eastAsia="Arial" w:hAnsi="Arial"/>
                <w:sz w:val="18"/>
                <w:szCs w:val="18"/>
                <w:color w:val="auto"/>
              </w:rPr>
              <w:t>312,710</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105,464</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Frank W. Harris</w:t>
            </w:r>
          </w:p>
        </w:tc>
        <w:tc>
          <w:tcPr>
            <w:tcW w:w="800" w:type="dxa"/>
            <w:vAlign w:val="bottom"/>
          </w:tcPr>
          <w:p>
            <w:pPr>
              <w:jc w:val="right"/>
              <w:spacing w:after="0"/>
              <w:rPr>
                <w:sz w:val="20"/>
                <w:szCs w:val="20"/>
                <w:color w:val="auto"/>
              </w:rPr>
            </w:pPr>
            <w:r>
              <w:rPr>
                <w:rFonts w:ascii="Arial" w:cs="Arial" w:eastAsia="Arial" w:hAnsi="Arial"/>
                <w:sz w:val="18"/>
                <w:szCs w:val="18"/>
                <w:color w:val="auto"/>
              </w:rPr>
              <w:t>81,295</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52,917</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Chan W. Galbato</w:t>
            </w:r>
          </w:p>
        </w:tc>
        <w:tc>
          <w:tcPr>
            <w:tcW w:w="800" w:type="dxa"/>
            <w:vAlign w:val="bottom"/>
          </w:tcPr>
          <w:p>
            <w:pPr>
              <w:jc w:val="right"/>
              <w:spacing w:after="0"/>
              <w:rPr>
                <w:sz w:val="20"/>
                <w:szCs w:val="20"/>
                <w:color w:val="auto"/>
              </w:rPr>
            </w:pPr>
            <w:r>
              <w:rPr>
                <w:rFonts w:ascii="Arial" w:cs="Arial" w:eastAsia="Arial" w:hAnsi="Arial"/>
                <w:sz w:val="18"/>
                <w:szCs w:val="18"/>
                <w:color w:val="auto"/>
              </w:rPr>
              <w:t>46,426</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Gary S. Balkema</w:t>
            </w:r>
          </w:p>
        </w:tc>
        <w:tc>
          <w:tcPr>
            <w:tcW w:w="800" w:type="dxa"/>
            <w:vAlign w:val="bottom"/>
          </w:tcPr>
          <w:p>
            <w:pPr>
              <w:jc w:val="right"/>
              <w:spacing w:after="0"/>
              <w:rPr>
                <w:sz w:val="20"/>
                <w:szCs w:val="20"/>
                <w:color w:val="auto"/>
              </w:rPr>
            </w:pPr>
            <w:r>
              <w:rPr>
                <w:rFonts w:ascii="Arial" w:cs="Arial" w:eastAsia="Arial" w:hAnsi="Arial"/>
                <w:sz w:val="18"/>
                <w:szCs w:val="18"/>
                <w:color w:val="auto"/>
              </w:rPr>
              <w:t>15,717</w:t>
            </w: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(17 persons)(3)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4,382,208</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5120" w:type="dxa"/>
            <w:vAlign w:val="bottom"/>
            <w:gridSpan w:val="2"/>
          </w:tcPr>
          <w:p>
            <w:pPr>
              <w:spacing w:after="0"/>
              <w:rPr>
                <w:sz w:val="20"/>
                <w:szCs w:val="20"/>
                <w:color w:val="auto"/>
              </w:rPr>
            </w:pPr>
            <w:r>
              <w:rPr>
                <w:rFonts w:ascii="Arial" w:cs="Arial" w:eastAsia="Arial" w:hAnsi="Arial"/>
                <w:sz w:val="18"/>
                <w:szCs w:val="18"/>
                <w:color w:val="auto"/>
              </w:rPr>
              <w:t>Elizabeth P. Pungello(1)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1,769,304</w:t>
            </w:r>
          </w:p>
        </w:tc>
        <w:tc>
          <w:tcPr>
            <w:tcW w:w="5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90" w:lineRule="exact"/>
        <w:rPr>
          <w:sz w:val="20"/>
          <w:szCs w:val="20"/>
          <w:color w:val="auto"/>
        </w:rPr>
      </w:pPr>
    </w:p>
    <w:p>
      <w:pPr>
        <w:jc w:val="both"/>
        <w:ind w:left="46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1,351,812 shares owned by a trust for which she is a trustee and has sole dispositive and voting authority</w:t>
      </w:r>
      <w:r>
        <w:rPr>
          <w:rFonts w:ascii="Arial" w:cs="Arial" w:eastAsia="Arial" w:hAnsi="Arial"/>
          <w:sz w:val="18"/>
          <w:szCs w:val="18"/>
          <w:b w:val="1"/>
          <w:bCs w:val="1"/>
          <w:color w:val="auto"/>
        </w:rPr>
        <w:t>.</w:t>
      </w:r>
      <w:r>
        <w:rPr>
          <w:rFonts w:ascii="Arial" w:cs="Arial" w:eastAsia="Arial" w:hAnsi="Arial"/>
          <w:sz w:val="18"/>
          <w:szCs w:val="18"/>
          <w:color w:val="auto"/>
        </w:rPr>
        <w:t xml:space="preserve"> Ms. Pungello’s holdings of Class B Common Stock include 1,769,304 shares owned by a trust over which she has sole dispositive and voting authority.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w:t>
      </w:r>
    </w:p>
    <w:p>
      <w:pPr>
        <w:spacing w:after="0" w:line="90"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(17 persons) includes options to acquire a total of 2,669,665 shares of Class A Common Stock, which are currently exercisable or will be exercisable within 60 days of July 31, 2012, including the following: Ms. Pungello, 50,000 shares; Mr. Jaehnert, 803,668 shares; Mr. Sephton, 295,668 shares; Mr. Felmer, 296,668 shares; Mr. Williamson, 295,668 shares; Mr. Klotsche, 301,668 shares; Mr. Goodkind, 36,000 shares; Mr. Harris, 50,000 shares; Mr. Allender, 36,000 shares; Mr. Galbato, 36,000 shares; Mr. Richardson, 30,000 shares; Mr. Balkema, 12,267 shares; Mr. Tatterson, 153,334; Mr. Curran, 120,223 shares; Ms. Johnson, 67,167 shares; Mr. Millar, 48,667 shares; and Mr. Pearce, 36,667 shares. It does not include other options for Class A Common Stock which have been granted at later dates and are not exercisable within 60 days of July 31, 2012.</w:t>
      </w:r>
    </w:p>
    <w:p>
      <w:pPr>
        <w:spacing w:after="0" w:line="66" w:lineRule="exact"/>
        <w:rPr>
          <w:rFonts w:ascii="Arial" w:cs="Arial" w:eastAsia="Arial" w:hAnsi="Arial"/>
          <w:sz w:val="18"/>
          <w:szCs w:val="18"/>
          <w:color w:val="auto"/>
        </w:rPr>
      </w:pPr>
    </w:p>
    <w:p>
      <w:pPr>
        <w:jc w:val="both"/>
        <w:ind w:left="460" w:hanging="452"/>
        <w:spacing w:after="0" w:line="294"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 shown for all officers and directors individually and as a group (17 persons) includes Class A Common Stock owned in deferred compensation plans totaling 163,759 shares of Class A Common Stock, including the following: Ms. Pungello, 2,217 shares; Mr. Jaehnert, 90,541 shares; Mr. Sephton, 0 shares; Mr. Felmer, 10,882 shares; Mr. Williamson, 14,831 shares; Mr. Klotsche, 8,107 shares; Mr. Goodkind, 18,446 shares; Mr. Harris, 0 shares; Mr. Allender, 16,917 shares; Mr. Galbato, 10,426 shares; Mr. Richardson, 5,153 shares; Mr. Balkema, 3,450 shares; Mr. Tatterson, 0 shares; Mr. Curran, 107 shares; Ms. Johnson, 5,977 shares; Mr. Millar, 0 shares; and Mr. Pearce, 3,109 shares.</w:t>
      </w:r>
    </w:p>
    <w:p>
      <w:pPr>
        <w:spacing w:after="0" w:line="197"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July 31, 2012</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Number of securities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to be issued upon</w:t>
            </w:r>
          </w:p>
        </w:tc>
        <w:tc>
          <w:tcPr>
            <w:tcW w:w="960" w:type="dxa"/>
            <w:vAlign w:val="bottom"/>
          </w:tcPr>
          <w:p>
            <w:pPr>
              <w:spacing w:after="0"/>
              <w:rPr>
                <w:sz w:val="12"/>
                <w:szCs w:val="12"/>
                <w:color w:val="auto"/>
              </w:rPr>
            </w:pPr>
          </w:p>
        </w:tc>
        <w:tc>
          <w:tcPr>
            <w:tcW w:w="21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960" w:type="dxa"/>
            <w:vAlign w:val="bottom"/>
          </w:tcPr>
          <w:p>
            <w:pPr>
              <w:spacing w:after="0"/>
              <w:rPr>
                <w:sz w:val="12"/>
                <w:szCs w:val="12"/>
                <w:color w:val="auto"/>
              </w:rPr>
            </w:pPr>
          </w:p>
        </w:tc>
        <w:tc>
          <w:tcPr>
            <w:tcW w:w="21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940" w:type="dxa"/>
            <w:vAlign w:val="bottom"/>
            <w:vMerge w:val="restart"/>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960" w:type="dxa"/>
            <w:vAlign w:val="bottom"/>
          </w:tcPr>
          <w:p>
            <w:pPr>
              <w:spacing w:after="0"/>
              <w:rPr>
                <w:sz w:val="12"/>
                <w:szCs w:val="12"/>
                <w:color w:val="auto"/>
              </w:rPr>
            </w:pPr>
          </w:p>
        </w:tc>
        <w:tc>
          <w:tcPr>
            <w:tcW w:w="214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(a)</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1060"/>
              <w:spacing w:after="0" w:line="148" w:lineRule="exact"/>
              <w:rPr>
                <w:sz w:val="20"/>
                <w:szCs w:val="20"/>
                <w:color w:val="auto"/>
              </w:rPr>
            </w:pPr>
            <w:r>
              <w:rPr>
                <w:rFonts w:ascii="Arial" w:cs="Arial" w:eastAsia="Arial" w:hAnsi="Arial"/>
                <w:sz w:val="14"/>
                <w:szCs w:val="14"/>
                <w:b w:val="1"/>
                <w:bCs w:val="1"/>
                <w:color w:val="auto"/>
              </w:rPr>
              <w:t>(b)</w:t>
            </w:r>
          </w:p>
        </w:tc>
        <w:tc>
          <w:tcPr>
            <w:tcW w:w="14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81"/>
        </w:trPr>
        <w:tc>
          <w:tcPr>
            <w:tcW w:w="48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by security holders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6,555,084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29.24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5,005,850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2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approved by security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None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None</w:t>
            </w:r>
          </w:p>
        </w:tc>
        <w:tc>
          <w:tcPr>
            <w:tcW w:w="9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6,555,084</w:t>
            </w:r>
          </w:p>
        </w:tc>
        <w:tc>
          <w:tcPr>
            <w:tcW w:w="9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960" w:type="dxa"/>
            <w:vAlign w:val="bottom"/>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equity compensation plan allows the granting of stock options to various officers, directors and other employees of the Company at prices equal to fair market value at the date of grant. The Company has reserved 5,500,000 shares of Class A Nonvoting Common Stock for issuance under the Brady Corporation 2012 Omnibus Incentive Stock Plan. Generally, options will not be exercisable until one year after the date of grant, and will be exercisable thereafter, to the extent of one-third per year and have a maximum term of ten years.</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August 2010, 2011 and 2012, certain executives and key management employees were issued stock options that vest upon meeting certain financial performance conditions in addition to the vesting schedule described above. Performance-based options expire 10 years from the date of grant. All grants under the equity plans are at market price on the date of the grant. The Company granted 210,000 performance-based restricted shares during fiscal 2008, with a grant price and fair value of $32.83. Effective July 20, 2011, the Compensation Committee of the Board of Directors of the Company approved an amendment to the fiscal 2008 performance-based restricted shares to provide for an additional two year vesting period. The Company did not grant any performance-based restricted shares during fiscal 2012 or 2010. The Company granted 100,000 shares of performance-based restricted stock to Frank M. Jaehnert, the Company’s President and Chief Executive Officer, in August of 2010, with a grant price and fair value of $28.35. As of July 31, 2012, 310,000 performance-based restricted shares were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Company’s quarterly disclosure committee meetings. In addition pursuant to its charter, the Company’s Audit Committee periodically reviews reports and disclosures of insider and affiliated party transactions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 Based on these evaluations the Company has determined that it does not have material related party transactions that affect the results of operations, cash flow or financial condition. The Company has also determined that no transactions occurred in fiscal 2012, or are currently proposed, that would require disclosure under Item 404 (a) of Regulation S-K.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2012 and 2011. Other than as set forth below, no professional services were rendered or fees billed by Deloitte &amp; Touche LLP or Deloitte Tax LLP during the years ended July 31, 2012 and 2011.</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760" w:type="dxa"/>
            <w:vAlign w:val="bottom"/>
            <w:gridSpan w:val="2"/>
          </w:tcPr>
          <w:p>
            <w:pPr>
              <w:ind w:left="1360"/>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Audit, audit-related and tax compliance</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Audit fees(1)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$ 1,411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fees — compliance</w:t>
            </w:r>
          </w:p>
        </w:tc>
        <w:tc>
          <w:tcPr>
            <w:tcW w:w="1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5800" w:type="dxa"/>
            <w:vAlign w:val="bottom"/>
          </w:tcPr>
          <w:p>
            <w:pPr>
              <w:ind w:left="84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2,323</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Non-audit related</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Tax fees — planning and advice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fees (2)</w:t>
            </w:r>
          </w:p>
        </w:tc>
        <w:tc>
          <w:tcPr>
            <w:tcW w:w="1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840"/>
              <w:spacing w:after="0"/>
              <w:rPr>
                <w:sz w:val="20"/>
                <w:szCs w:val="20"/>
                <w:color w:val="auto"/>
              </w:rPr>
            </w:pPr>
            <w:r>
              <w:rPr>
                <w:rFonts w:ascii="Arial" w:cs="Arial" w:eastAsia="Arial" w:hAnsi="Arial"/>
                <w:sz w:val="18"/>
                <w:szCs w:val="18"/>
                <w:i w:val="1"/>
                <w:iCs w:val="1"/>
                <w:color w:val="auto"/>
              </w:rPr>
              <w:t>Subtotal non-audit related fees</w:t>
            </w:r>
          </w:p>
        </w:tc>
        <w:tc>
          <w:tcPr>
            <w:tcW w:w="122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5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72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2"/>
              </w:rPr>
              <w:t>Ratio of Tax Planning and Advice Fees and All Other Fees to Audit Fees, Audit-Related Fees and</w:t>
            </w: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Compliance Fees</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 to 1</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 to 1</w:t>
            </w:r>
          </w:p>
        </w:tc>
      </w:tr>
    </w:tbl>
    <w:p>
      <w:pPr>
        <w:spacing w:after="0" w:line="15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Pre-Approval Policy — </w:t>
      </w:r>
      <w:r>
        <w:rPr>
          <w:rFonts w:ascii="Arial" w:cs="Arial" w:eastAsia="Arial" w:hAnsi="Arial"/>
          <w:sz w:val="18"/>
          <w:szCs w:val="18"/>
          <w:color w:val="auto"/>
        </w:rPr>
        <w:t>The services performed by the Independent Registered Public Accounting Firm (“Independent Auditors”) in fiscal 2011 and 2012</w:t>
      </w:r>
      <w:r>
        <w:rPr>
          <w:rFonts w:ascii="Arial" w:cs="Arial" w:eastAsia="Arial" w:hAnsi="Arial"/>
          <w:sz w:val="18"/>
          <w:szCs w:val="18"/>
          <w:i w:val="1"/>
          <w:iCs w:val="1"/>
          <w:color w:val="auto"/>
        </w:rPr>
        <w:t xml:space="preserve"> </w:t>
      </w:r>
      <w:r>
        <w:rPr>
          <w:rFonts w:ascii="Arial" w:cs="Arial" w:eastAsia="Arial" w:hAnsi="Arial"/>
          <w:sz w:val="18"/>
          <w:szCs w:val="18"/>
          <w:color w:val="auto"/>
        </w:rPr>
        <w:t>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90" w:lineRule="exact"/>
        <w:rPr>
          <w:sz w:val="20"/>
          <w:szCs w:val="20"/>
          <w:color w:val="auto"/>
        </w:rPr>
      </w:pPr>
    </w:p>
    <w:p>
      <w:pPr>
        <w:ind w:left="1500" w:right="6600" w:hanging="579"/>
        <w:spacing w:after="0" w:line="493" w:lineRule="auto"/>
        <w:tabs>
          <w:tab w:leader="none" w:pos="111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ind w:left="1500"/>
        <w:spacing w:after="0" w:line="268"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Exhibits — See Exhibit Index at page 89 of this Form 10-K.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5980" w:type="dxa"/>
            <w:vAlign w:val="bottom"/>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98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980" w:type="dxa"/>
            <w:vAlign w:val="bottom"/>
          </w:tcPr>
          <w:p>
            <w:pPr>
              <w:ind w:left="5320"/>
              <w:spacing w:after="0"/>
              <w:rPr>
                <w:sz w:val="20"/>
                <w:szCs w:val="20"/>
                <w:color w:val="auto"/>
              </w:rPr>
            </w:pPr>
            <w:r>
              <w:rPr>
                <w:rFonts w:ascii="Arial" w:cs="Arial" w:eastAsia="Arial" w:hAnsi="Arial"/>
                <w:sz w:val="14"/>
                <w:szCs w:val="14"/>
                <w:b w:val="1"/>
                <w:bCs w:val="1"/>
                <w:color w:val="auto"/>
                <w:w w:val="83"/>
              </w:rPr>
              <w:t>Description</w:t>
            </w:r>
          </w:p>
        </w:tc>
      </w:tr>
    </w:tbl>
    <w:p>
      <w:pPr>
        <w:spacing w:after="0" w:line="5"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Articles of Incorporation of Brady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-125730</wp:posOffset>
            </wp:positionV>
            <wp:extent cx="66376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9"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Brady Corporation, as amended (23)</w:t>
      </w:r>
    </w:p>
    <w:p>
      <w:pPr>
        <w:spacing w:after="0" w:line="9" w:lineRule="exact"/>
        <w:rPr>
          <w:sz w:val="20"/>
          <w:szCs w:val="20"/>
          <w:color w:val="auto"/>
        </w:rPr>
      </w:pPr>
    </w:p>
    <w:p>
      <w:pPr>
        <w:ind w:left="960" w:hanging="813"/>
        <w:spacing w:after="0" w:line="250"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Change of Control Agreement, amended as of December 23, 2008, entered into with Thomas J. Felmer, Allan J. Klotsche, Peter C. Sephton, Robert L. Tatterson, and Matthew O. Williamson (12)</w:t>
      </w:r>
    </w:p>
    <w:p>
      <w:pPr>
        <w:spacing w:after="0" w:line="1"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Brady Corporation BradyGold Plan, as amended (2)</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Executive Additional Compensation Plan, as amended (2)</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Executive Deferred Compensation Plan, as amended (16)</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Directors’ Deferred Compensation Plan, as amended (25)</w:t>
      </w:r>
    </w:p>
    <w:p>
      <w:pPr>
        <w:spacing w:after="0" w:line="9" w:lineRule="exact"/>
        <w:rPr>
          <w:sz w:val="20"/>
          <w:szCs w:val="20"/>
          <w:color w:val="auto"/>
        </w:rPr>
      </w:pPr>
    </w:p>
    <w:p>
      <w:pPr>
        <w:ind w:left="960" w:hanging="813"/>
        <w:spacing w:after="0" w:line="250" w:lineRule="auto"/>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Forms of Non-Qualified Employee Stock Option Agreement, Director Stock Option Agreement, and Employee Performance Stock Option Agreement under 2006 Omnibus Incentive Stock Plan (10)</w:t>
      </w:r>
    </w:p>
    <w:p>
      <w:pPr>
        <w:spacing w:after="0" w:line="1"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Brady Corporation 2004 Omnibus Incentive Stock Plan, as amended (10)</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Brady Corporation 2004 Nonqualified Stock Option Agreement under the 2004 Omnibus Incentive Stock Plan, as amended (13)</w:t>
      </w:r>
    </w:p>
    <w:p>
      <w:pPr>
        <w:spacing w:after="0" w:line="9"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Brady Corporation Automatic Dividend Reinvestment Plan (4)</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Brady Corporation 2005 Nonqualified Plan for Non-employee Directors, as amended (3)</w:t>
      </w:r>
    </w:p>
    <w:p>
      <w:pPr>
        <w:spacing w:after="0" w:line="9"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Forms of Nonqualified Stock Option Agreements under 2005 Non-qualified Plan for Non-employee Directors, as amended (8)</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Brady Corporation 1997 Omnibus Incentive Stock Plan, as amended (10)</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Brady Corporation 1997 Nonqualified Stock Option Plan for Non-Employee Directors, as amended (10)</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Revolving Credit Facility Credit Agreement (Superseded) (14)</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Brady Corporation 2006 Omnibus Incentive Stock Plan, as amended (10)</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Brady Corporation Incentive Compensation Plan for Elected Corporate Officers, as amended (15)</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First Amendment to Revolving Credit Facility Credit Agreement (Superseded) (6)</w:t>
      </w:r>
    </w:p>
    <w:p>
      <w:pPr>
        <w:spacing w:after="0" w:line="9" w:lineRule="exact"/>
        <w:rPr>
          <w:sz w:val="20"/>
          <w:szCs w:val="20"/>
          <w:color w:val="auto"/>
        </w:rPr>
      </w:pPr>
    </w:p>
    <w:p>
      <w:pPr>
        <w:ind w:left="960" w:hanging="901"/>
        <w:spacing w:after="0" w:line="250"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Amendment, dated March 4, 2009, to granting agreement for performance-based stock options issued on August 2, 2004 to Frank M. Jaehnert, Thomas J. Felmer, Peter C. Sephton, Matthew O. Williamson, and Allan J. Klotsche (12)</w:t>
      </w:r>
    </w:p>
    <w:p>
      <w:pPr>
        <w:spacing w:after="0" w:line="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Form of Performance-based Restricted Stock Agreement under Brady Corporation 2006 Omnibus Incentive Stock Plan (7)</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Change of Control Agreement, amended as of December 23, 2008, entered into with Frank M. Jaehnert (12)</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Restated Brady Corporation Restoration Plan (5)</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Brady Corporation 2001 Omnibus Incentive Stock Plan, as amended (10)</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Brady Corporation 2003 Omnibus Incentive Stock Plan, as amended (10)</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Brady Note Purchase Agreement dated June 28, 2004 (11)</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First Supplement to Note Purchase Agreement, dated February 14, 2006 (9)</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Second Supplement to Note Purchase Agreement, dated March 23, 2007 (24)</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Form of Change of Control Agreement, amended as of December 23, 2008, entered into with Kathleen Johnson (12)</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Brady Corporation 2010 Omnibus Incentive Stock Plan, as amended (22)</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Brady Corporation 2010 Nonqualified Stock Option Plan for Non-employee Directors (17)</w:t>
      </w:r>
    </w:p>
    <w:p>
      <w:pPr>
        <w:spacing w:after="0" w:line="9" w:lineRule="exact"/>
        <w:rPr>
          <w:sz w:val="20"/>
          <w:szCs w:val="20"/>
          <w:color w:val="auto"/>
        </w:rPr>
      </w:pPr>
    </w:p>
    <w:p>
      <w:pPr>
        <w:ind w:left="960" w:hanging="901"/>
        <w:spacing w:after="0" w:line="250" w:lineRule="auto"/>
        <w:tabs>
          <w:tab w:leader="none" w:pos="9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Non-Qualified Employee Stock Option Agreement and Employee Performance Stock Option Agreement under 2010 Omnibus Incentive Stock Plan (17)</w:t>
      </w:r>
    </w:p>
    <w:p>
      <w:pPr>
        <w:spacing w:after="0" w:line="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Form of Director Stock Option Agreement under 2010 Nonqualified Stock Option Plan for Non-employee Directors (17)</w:t>
      </w:r>
    </w:p>
    <w:p>
      <w:pPr>
        <w:spacing w:after="0" w:line="9" w:lineRule="exact"/>
        <w:rPr>
          <w:sz w:val="20"/>
          <w:szCs w:val="20"/>
          <w:color w:val="auto"/>
        </w:rPr>
      </w:pPr>
    </w:p>
    <w:p>
      <w:pPr>
        <w:ind w:left="960" w:hanging="901"/>
        <w:spacing w:after="0" w:line="250" w:lineRule="auto"/>
        <w:tabs>
          <w:tab w:leader="none" w:pos="9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Form of Amendment, dated February 17, 2010, to granting agreement for performance-based stock options issued on August 1, 2005 to Frank M. Jaehnert, Thomas J. Felmer, Peter C. Sephton, Matthew O. Williamson and Allan J. Klotsche (18)</w:t>
      </w:r>
    </w:p>
    <w:p>
      <w:pPr>
        <w:spacing w:after="0" w:line="1"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Brady Note Purchase Agreement dated May 13, 2010 (19)</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Performance-based Restricted Stock Agreement with Frank M. Jaehnert, dated August 2, 2010 (20)</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Form of Amendment to January 8, 2008 Brady Corporation Performance-Based Restricted Stock Agreement, dated July 20, 2011 (21)</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Brady Corporation Incentive Compensation Plan for Senior Executives (15)</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Form of Fiscal 2012 Performance Stock Option under the 2010 Omnibus Incentive Stock Plan (26)</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Brady Corporation 2012 Omnibus Incentive Stock Plan (26)</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Form of Non-Qualified Employee Stock Option Agreement under 2012 Omnibus Incentive Stock Plan (26)</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Non-Qualified Employee Performance Stock Option Agreement under 2012 Omnibus Incentive Stock Plan (26)</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Director Stock Option Agreement under 2012 Omnibus Incentive Stock Plan (26)</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Change of Control Agreement, dated November 21, 2011, entered into with Stephen Millar (27)</w:t>
      </w:r>
    </w:p>
    <w:p>
      <w:pPr>
        <w:spacing w:after="0" w:line="9"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Revolving Credit Agreement, dated as of February 1, 2012 (28)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Form of Fiscal 2013 Non-Qualified Employee Stock Option Agreement under 2012 Omnibus Incentive Stock Plan</w:t>
      </w:r>
    </w:p>
    <w:p>
      <w:pPr>
        <w:spacing w:after="0" w:line="1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Form of Fiscal 2013 Director Stock Option Agreement under 2012 Omnibus Incentive Stock Plan</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5"/>
          <w:szCs w:val="15"/>
          <w:color w:val="auto"/>
        </w:rPr>
        <w:t>Performance-Based Restricted Stock Unit Agreement with Stephen Millar, dated September 21, 2012</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Brady Corporation</w:t>
      </w:r>
    </w:p>
    <w:p>
      <w:pPr>
        <w:spacing w:after="0" w:line="9" w:lineRule="exact"/>
        <w:rPr>
          <w:sz w:val="20"/>
          <w:szCs w:val="20"/>
          <w:color w:val="auto"/>
        </w:rPr>
      </w:pPr>
    </w:p>
    <w:p>
      <w:pPr>
        <w:ind w:left="960" w:hanging="587"/>
        <w:spacing w:after="0"/>
        <w:tabs>
          <w:tab w:leader="none" w:pos="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Consent of Deloitte &amp; Touche LLP, Independent Registered Public Accounting Firm</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Rule 13a-14(a)/15d-14(a) Certification of Frank M. Jaehnert</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Rule 13a-14(a)/15d-14(a) Certification of Thomas J. Felmer</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Section 1350 Certification of Frank M. Jaehnert</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Section 1350 Certification of Thomas J. Felmer</w:t>
      </w:r>
    </w:p>
    <w:p>
      <w:pPr>
        <w:spacing w:after="0" w:line="9" w:lineRule="exact"/>
        <w:rPr>
          <w:rFonts w:ascii="Arial" w:cs="Arial" w:eastAsia="Arial" w:hAnsi="Arial"/>
          <w:sz w:val="18"/>
          <w:szCs w:val="18"/>
          <w:color w:val="auto"/>
        </w:rPr>
      </w:pPr>
    </w:p>
    <w:p>
      <w:pPr>
        <w:ind w:left="960" w:hanging="675"/>
        <w:spacing w:after="0"/>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0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or arrangement</w:t>
      </w:r>
    </w:p>
    <w:p>
      <w:pPr>
        <w:spacing w:after="0" w:line="1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filed for the fiscal year ended July 31, 1989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1992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January 31,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January 31,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Quarterly Report on Form 10-Q for the fiscal quarter ended April 30,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8-K/A filed July 28,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16, 2012</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459"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26, 2007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Registrant’s Annual Report on Form 10-K for the fiscal year ended July 31,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Incorporated by reference to Registrant’s Quarterly Report on Form 10-Q for the quarter ended October 31, 2011</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7, 2012</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19"/>
          </w:cols>
          <w:pgMar w:left="240" w:top="459"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BRADY CORPORATION AND SUBSIDIARIES</w:t>
      </w: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Year ended July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Borders>
              <w:top w:val="single" w:sz="8" w:color="auto"/>
            </w:tcBorders>
          </w:tcPr>
          <w:p>
            <w:pPr>
              <w:spacing w:after="0"/>
              <w:rPr>
                <w:sz w:val="12"/>
                <w:szCs w:val="12"/>
                <w:color w:val="auto"/>
              </w:rPr>
            </w:pPr>
          </w:p>
        </w:tc>
        <w:tc>
          <w:tcPr>
            <w:tcW w:w="5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(Dollars in thousands)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Valuation accounts deducted in balance sheet from assets to which they apply — Accounts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 — allowance for doubtful accounts: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6,183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7,137</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 Charged to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Due to acquired businesses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 Bad debts written off, net of recoveries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(1,930)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(2,293)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(2,879)</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Balances at end of period</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6,005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6,183</w:t>
            </w:r>
          </w:p>
        </w:tc>
        <w:tc>
          <w:tcPr>
            <w:tcW w:w="4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 reserve for slow-moving inventory: Balances at beginning of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13,009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15,944</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22,288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Additions — Charged to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2,200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3,750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Due to acquired businesses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Deductions — Inventory write-offs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(4,338)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(7,317)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(8,119)</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at end of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11,316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13,009</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15,944</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470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27th day of September 2012.</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jc w:val="center"/>
        <w:ind w:left="4280"/>
        <w:spacing w:after="0"/>
        <w:rPr>
          <w:sz w:val="20"/>
          <w:szCs w:val="20"/>
          <w:color w:val="auto"/>
        </w:rPr>
      </w:pPr>
      <w:r>
        <w:rPr>
          <w:rFonts w:ascii="Arial" w:cs="Arial" w:eastAsia="Arial" w:hAnsi="Arial"/>
          <w:sz w:val="18"/>
          <w:szCs w:val="18"/>
          <w:color w:val="auto"/>
        </w:rPr>
        <w:t>By:  /s/ T</w:t>
      </w:r>
      <w:r>
        <w:rPr>
          <w:rFonts w:ascii="Arial" w:cs="Arial" w:eastAsia="Arial" w:hAnsi="Arial"/>
          <w:sz w:val="14"/>
          <w:szCs w:val="14"/>
          <w:color w:val="auto"/>
        </w:rPr>
        <w:t>HOMAS J</w:t>
      </w:r>
      <w:r>
        <w:rPr>
          <w:rFonts w:ascii="Arial" w:cs="Arial" w:eastAsia="Arial" w:hAnsi="Arial"/>
          <w:sz w:val="18"/>
          <w:szCs w:val="18"/>
          <w:color w:val="auto"/>
        </w:rPr>
        <w:t xml:space="preserve">. </w:t>
      </w:r>
      <w:r>
        <w:rPr>
          <w:rFonts w:ascii="Arial" w:cs="Arial" w:eastAsia="Arial" w:hAnsi="Arial"/>
          <w:sz w:val="14"/>
          <w:szCs w:val="14"/>
          <w:color w:val="auto"/>
        </w:rPr>
        <w:t>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19685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432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8" w:lineRule="exact"/>
        <w:rPr>
          <w:sz w:val="20"/>
          <w:szCs w:val="20"/>
          <w:color w:val="auto"/>
        </w:rPr>
      </w:pPr>
    </w:p>
    <w:p>
      <w:pPr>
        <w:spacing w:after="0"/>
        <w:tabs>
          <w:tab w:leader="none" w:pos="85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KATHLEEN 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Kathleen M. Johnson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Bradley C. Richardson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PATRICK W. ALLENDER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Patrick W. Allender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CHAN W. GALBATO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 W. Galbato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FRANK W.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W. Harris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CONRAD G. GOODKIND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Conrad G. Goodkind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ELIZABETH P. PUNGELLO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Elizabeth P. Pungello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GARY S. BALKEMA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Gary S. Balkema</w:t>
      </w:r>
    </w:p>
    <w:p>
      <w:pPr>
        <w:spacing w:after="0" w:line="10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Each of the above signatures is affixed as of September 27, 2012.</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440" w:right="2000"/>
        <w:spacing w:after="0" w:line="268" w:lineRule="auto"/>
        <w:rPr>
          <w:sz w:val="20"/>
          <w:szCs w:val="20"/>
          <w:color w:val="auto"/>
        </w:rPr>
      </w:pPr>
      <w:r>
        <w:rPr>
          <w:rFonts w:ascii="Arial" w:cs="Arial" w:eastAsia="Arial" w:hAnsi="Arial"/>
          <w:sz w:val="18"/>
          <w:szCs w:val="18"/>
          <w:color w:val="auto"/>
        </w:rPr>
        <w:t>President and Chief Executive Officer; Director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Vice President and Chief Accounting Officer</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ectPr>
          <w:pgSz w:w="11900" w:h="16838" w:orient="portrait"/>
          <w:cols w:equalWidth="0" w:num="2">
            <w:col w:w="5040" w:space="580"/>
            <w:col w:w="5800"/>
          </w:cols>
          <w:pgMar w:left="240" w:top="459" w:right="2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10.44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Directors has awarded to (“Employee”) a non-qualified stock option (the “Option”) effective X, 20XX, pursuant to the terms of the Brady Corporation 2012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14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96"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shares of the presently authorized Class A Common Stock of the Corporation, $.01 par value, whether unissued or issued and reacquired by the Corporation, at the price of $XX.XX per share (the “Option Price”).</w:t>
      </w:r>
    </w:p>
    <w:p>
      <w:pPr>
        <w:spacing w:after="0" w:line="174" w:lineRule="exact"/>
        <w:rPr>
          <w:rFonts w:ascii="Arial" w:cs="Arial" w:eastAsia="Arial" w:hAnsi="Arial"/>
          <w:sz w:val="18"/>
          <w:szCs w:val="18"/>
          <w:b w:val="1"/>
          <w:bCs w:val="1"/>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96" w:lineRule="exact"/>
        <w:rPr>
          <w:rFonts w:ascii="Arial" w:cs="Arial" w:eastAsia="Arial" w:hAnsi="Arial"/>
          <w:sz w:val="18"/>
          <w:szCs w:val="18"/>
          <w:b w:val="1"/>
          <w:bCs w:val="1"/>
          <w:color w:val="auto"/>
        </w:rPr>
      </w:pPr>
    </w:p>
    <w:p>
      <w:pPr>
        <w:jc w:val="both"/>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Except as provided in this Section and in Section 3, this Option may not be exercised (a) unless Employee is at the date of the exercise in the employ of the Corporation or an Affiliate,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Section 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Number of Completed Years After</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Date of Grant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-7620</wp:posOffset>
            </wp:positionV>
            <wp:extent cx="12693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At least 1 but less than 2</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At least 2 but less than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-114935</wp:posOffset>
            </wp:positionV>
            <wp:extent cx="49225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 least 3</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2040"/>
        <w:spacing w:after="0"/>
        <w:rPr>
          <w:sz w:val="20"/>
          <w:szCs w:val="20"/>
          <w:color w:val="auto"/>
        </w:rPr>
      </w:pPr>
      <w:r>
        <w:rPr>
          <w:rFonts w:ascii="Arial" w:cs="Arial" w:eastAsia="Arial" w:hAnsi="Arial"/>
          <w:sz w:val="14"/>
          <w:szCs w:val="14"/>
          <w:color w:val="auto"/>
        </w:rPr>
        <w:t>Maximum</w:t>
      </w:r>
    </w:p>
    <w:p>
      <w:pPr>
        <w:jc w:val="center"/>
        <w:ind w:right="2040"/>
        <w:spacing w:after="0"/>
        <w:rPr>
          <w:sz w:val="20"/>
          <w:szCs w:val="20"/>
          <w:color w:val="auto"/>
        </w:rPr>
      </w:pPr>
      <w:r>
        <w:rPr>
          <w:rFonts w:ascii="Arial" w:cs="Arial" w:eastAsia="Arial" w:hAnsi="Arial"/>
          <w:sz w:val="12"/>
          <w:szCs w:val="12"/>
          <w:color w:val="auto"/>
        </w:rPr>
        <w:t>Percentage</w:t>
      </w:r>
    </w:p>
    <w:p>
      <w:pPr>
        <w:jc w:val="center"/>
        <w:ind w:right="2040"/>
        <w:spacing w:after="0" w:line="237" w:lineRule="auto"/>
        <w:rPr>
          <w:sz w:val="20"/>
          <w:szCs w:val="20"/>
          <w:color w:val="auto"/>
        </w:rPr>
      </w:pPr>
      <w:r>
        <w:rPr>
          <w:rFonts w:ascii="Arial" w:cs="Arial" w:eastAsia="Arial" w:hAnsi="Arial"/>
          <w:sz w:val="14"/>
          <w:szCs w:val="14"/>
          <w:color w:val="auto"/>
        </w:rPr>
        <w:t>of Shares</w:t>
      </w:r>
    </w:p>
    <w:p>
      <w:pPr>
        <w:jc w:val="center"/>
        <w:ind w:right="2040"/>
        <w:spacing w:after="0"/>
        <w:rPr>
          <w:sz w:val="20"/>
          <w:szCs w:val="20"/>
          <w:color w:val="auto"/>
        </w:rPr>
      </w:pPr>
      <w:r>
        <w:rPr>
          <w:rFonts w:ascii="Arial" w:cs="Arial" w:eastAsia="Arial" w:hAnsi="Arial"/>
          <w:sz w:val="12"/>
          <w:szCs w:val="12"/>
          <w:color w:val="auto"/>
        </w:rPr>
        <w:t>For Which</w:t>
      </w:r>
    </w:p>
    <w:p>
      <w:pPr>
        <w:jc w:val="center"/>
        <w:ind w:right="2040"/>
        <w:spacing w:after="0" w:line="237" w:lineRule="auto"/>
        <w:rPr>
          <w:sz w:val="20"/>
          <w:szCs w:val="20"/>
          <w:color w:val="auto"/>
        </w:rPr>
      </w:pPr>
      <w:r>
        <w:rPr>
          <w:rFonts w:ascii="Arial" w:cs="Arial" w:eastAsia="Arial" w:hAnsi="Arial"/>
          <w:sz w:val="14"/>
          <w:szCs w:val="14"/>
          <w:color w:val="auto"/>
        </w:rPr>
        <w:t>Option is</w:t>
      </w:r>
    </w:p>
    <w:p>
      <w:pPr>
        <w:jc w:val="center"/>
        <w:ind w:right="2040"/>
        <w:spacing w:after="0"/>
        <w:rPr>
          <w:sz w:val="20"/>
          <w:szCs w:val="20"/>
          <w:color w:val="auto"/>
        </w:rPr>
      </w:pPr>
      <w:r>
        <w:rPr>
          <w:rFonts w:ascii="Arial" w:cs="Arial" w:eastAsia="Arial" w:hAnsi="Arial"/>
          <w:sz w:val="11"/>
          <w:szCs w:val="11"/>
          <w:u w:val="single" w:color="auto"/>
          <w:color w:val="auto"/>
        </w:rPr>
        <w:t>Exercisable</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Zero</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33-1/3%</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66-2/3%</w:t>
      </w:r>
    </w:p>
    <w:p>
      <w:pPr>
        <w:spacing w:after="0" w:line="32"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100%</w:t>
      </w:r>
    </w:p>
    <w:p>
      <w:pPr>
        <w:spacing w:after="0" w:line="165" w:lineRule="exact"/>
        <w:rPr>
          <w:sz w:val="20"/>
          <w:szCs w:val="20"/>
          <w:color w:val="auto"/>
        </w:rPr>
      </w:pPr>
    </w:p>
    <w:p>
      <w:pPr>
        <w:sectPr>
          <w:pgSz w:w="11900" w:h="16838" w:orient="portrait"/>
          <w:cols w:equalWidth="0" w:num="2">
            <w:col w:w="8040" w:space="720"/>
            <w:col w:w="2660"/>
          </w:cols>
          <w:pgMar w:left="240" w:top="125" w:right="239" w:bottom="1440" w:gutter="0" w:footer="0" w:header="0"/>
          <w:type w:val="continuous"/>
        </w:sectPr>
      </w:pPr>
    </w:p>
    <w:p>
      <w:pPr>
        <w:jc w:val="both"/>
        <w:ind w:left="460"/>
        <w:spacing w:after="0" w:line="291" w:lineRule="auto"/>
        <w:rPr>
          <w:sz w:val="20"/>
          <w:szCs w:val="20"/>
          <w:color w:val="auto"/>
        </w:rPr>
      </w:pPr>
      <w:r>
        <w:rPr>
          <w:rFonts w:ascii="Arial" w:cs="Arial" w:eastAsia="Arial" w:hAnsi="Arial"/>
          <w:sz w:val="16"/>
          <w:szCs w:val="16"/>
          <w:color w:val="auto"/>
        </w:rPr>
        <w:t>If Employee shall cease to be employed by the Corporation or an Affiliate for any reason other than as provided in Section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Committee shall be the sole judge, this Option shall forthwith expire. This Agreement does not confer upon Employee any right of continuation of employment by the Corporation or an Affiliate, nor does it impair any right the Corporation or any Affiliate may have to terminate the Employee’s employment at any time.</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Section 2 hereof, if the Employee:</w:t>
      </w:r>
    </w:p>
    <w:p>
      <w:pPr>
        <w:spacing w:after="0" w:line="90" w:lineRule="exact"/>
        <w:rPr>
          <w:rFonts w:ascii="Arial" w:cs="Arial" w:eastAsia="Arial" w:hAnsi="Arial"/>
          <w:sz w:val="18"/>
          <w:szCs w:val="18"/>
          <w:b w:val="1"/>
          <w:bCs w:val="1"/>
          <w:color w:val="auto"/>
        </w:rPr>
      </w:pPr>
    </w:p>
    <w:p>
      <w:pPr>
        <w:jc w:val="both"/>
        <w:ind w:left="892" w:hanging="446"/>
        <w:spacing w:after="0" w:line="306" w:lineRule="auto"/>
        <w:tabs>
          <w:tab w:leader="none" w:pos="8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25" w:lineRule="exact"/>
        <w:rPr>
          <w:rFonts w:ascii="Arial" w:cs="Arial" w:eastAsia="Arial" w:hAnsi="Arial"/>
          <w:sz w:val="16"/>
          <w:szCs w:val="16"/>
          <w:color w:val="auto"/>
        </w:rPr>
      </w:pPr>
    </w:p>
    <w:p>
      <w:pPr>
        <w:jc w:val="both"/>
        <w:ind w:left="892" w:hanging="446"/>
        <w:spacing w:after="0" w:line="298" w:lineRule="auto"/>
        <w:tabs>
          <w:tab w:leader="none" w:pos="8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31" w:lineRule="exact"/>
        <w:rPr>
          <w:rFonts w:ascii="Arial" w:cs="Arial" w:eastAsia="Arial" w:hAnsi="Arial"/>
          <w:sz w:val="16"/>
          <w:szCs w:val="16"/>
          <w:color w:val="auto"/>
        </w:rPr>
      </w:pPr>
    </w:p>
    <w:p>
      <w:pPr>
        <w:jc w:val="both"/>
        <w:ind w:left="892" w:hanging="446"/>
        <w:spacing w:after="0" w:line="298" w:lineRule="auto"/>
        <w:tabs>
          <w:tab w:leader="none" w:pos="8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31" w:lineRule="exact"/>
        <w:rPr>
          <w:rFonts w:ascii="Arial" w:cs="Arial" w:eastAsia="Arial" w:hAnsi="Arial"/>
          <w:sz w:val="16"/>
          <w:szCs w:val="16"/>
          <w:color w:val="auto"/>
        </w:rPr>
      </w:pPr>
    </w:p>
    <w:p>
      <w:pPr>
        <w:jc w:val="both"/>
        <w:ind w:left="892" w:hanging="446"/>
        <w:spacing w:after="0" w:line="306" w:lineRule="auto"/>
        <w:tabs>
          <w:tab w:leader="none" w:pos="892" w:val="left"/>
        </w:tabs>
        <w:numPr>
          <w:ilvl w:val="1"/>
          <w:numId w:val="62"/>
        </w:numPr>
        <w:rPr>
          <w:rFonts w:ascii="Arial" w:cs="Arial" w:eastAsia="Arial" w:hAnsi="Arial"/>
          <w:sz w:val="16"/>
          <w:szCs w:val="16"/>
          <w:color w:val="auto"/>
        </w:rPr>
      </w:pPr>
      <w:r>
        <w:rPr>
          <w:rFonts w:ascii="Arial" w:cs="Arial" w:eastAsia="Arial" w:hAnsi="Arial"/>
          <w:sz w:val="16"/>
          <w:szCs w:val="16"/>
          <w:color w:val="auto"/>
        </w:rPr>
        <w:t>is terminated as a result of the Employee’s retirement (after age 55 with ten years of employment with the Corporation or an Affiliate or after age 65), any unexercised, unexpired Stock Options granted hereunder to the Employee shall continue to vest as provided in Section 2 hereof and any option that is or becomes vested may be exercised in whole or in part prior to the expiration date of such option.</w:t>
      </w:r>
    </w:p>
    <w:p>
      <w:pPr>
        <w:spacing w:after="0" w:line="141" w:lineRule="exact"/>
        <w:rPr>
          <w:rFonts w:ascii="Arial" w:cs="Arial" w:eastAsia="Arial" w:hAnsi="Arial"/>
          <w:sz w:val="16"/>
          <w:szCs w:val="16"/>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96" w:lineRule="exact"/>
        <w:rPr>
          <w:rFonts w:ascii="Arial" w:cs="Arial" w:eastAsia="Arial" w:hAnsi="Arial"/>
          <w:sz w:val="18"/>
          <w:szCs w:val="18"/>
          <w:b w:val="1"/>
          <w:bCs w:val="1"/>
          <w:color w:val="auto"/>
        </w:rPr>
      </w:pPr>
    </w:p>
    <w:p>
      <w:pPr>
        <w:jc w:val="both"/>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96"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119" w:lineRule="exact"/>
        <w:rPr>
          <w:rFonts w:ascii="Arial" w:cs="Arial" w:eastAsia="Arial" w:hAnsi="Arial"/>
          <w:sz w:val="18"/>
          <w:szCs w:val="18"/>
          <w:b w:val="1"/>
          <w:bCs w:val="1"/>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96" w:lineRule="exact"/>
        <w:rPr>
          <w:rFonts w:ascii="Arial" w:cs="Arial" w:eastAsia="Arial" w:hAnsi="Arial"/>
          <w:sz w:val="18"/>
          <w:szCs w:val="18"/>
          <w:b w:val="1"/>
          <w:bCs w:val="1"/>
          <w:color w:val="auto"/>
        </w:rPr>
      </w:pPr>
    </w:p>
    <w:p>
      <w:pPr>
        <w:jc w:val="both"/>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Section 9.</w:t>
      </w:r>
    </w:p>
    <w:p>
      <w:pPr>
        <w:sectPr>
          <w:pgSz w:w="11900" w:h="16838" w:orient="portrait"/>
          <w:cols w:equalWidth="0" w:num="1">
            <w:col w:w="11412"/>
          </w:cols>
          <w:pgMar w:left="248" w:top="274" w:right="239" w:bottom="1440" w:gutter="0" w:footer="0" w:header="0"/>
        </w:sectPr>
      </w:pPr>
    </w:p>
    <w:bookmarkStart w:id="102" w:name="page103"/>
    <w:bookmarkEnd w:id="102"/>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Expiration Date</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205"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96" w:lineRule="exact"/>
        <w:rPr>
          <w:rFonts w:ascii="Arial" w:cs="Arial" w:eastAsia="Arial" w:hAnsi="Arial"/>
          <w:sz w:val="18"/>
          <w:szCs w:val="18"/>
          <w:b w:val="1"/>
          <w:bCs w:val="1"/>
          <w:color w:val="auto"/>
        </w:rPr>
      </w:pPr>
    </w:p>
    <w:p>
      <w:pPr>
        <w:jc w:val="both"/>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Section 9, equal to the amount which the Corporation is required to withhold.</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96" w:lineRule="exact"/>
        <w:rPr>
          <w:rFonts w:ascii="Arial" w:cs="Arial" w:eastAsia="Arial" w:hAnsi="Arial"/>
          <w:sz w:val="18"/>
          <w:szCs w:val="18"/>
          <w:b w:val="1"/>
          <w:bCs w:val="1"/>
          <w:color w:val="auto"/>
        </w:rPr>
      </w:pPr>
    </w:p>
    <w:p>
      <w:pPr>
        <w:jc w:val="both"/>
        <w:ind w:left="452"/>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50"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Option, Employee agrees to, understands and acknowledges the following:</w:t>
      </w:r>
    </w:p>
    <w:p>
      <w:pPr>
        <w:spacing w:after="0" w:line="90" w:lineRule="exact"/>
        <w:rPr>
          <w:rFonts w:ascii="Arial" w:cs="Arial" w:eastAsia="Arial" w:hAnsi="Arial"/>
          <w:sz w:val="18"/>
          <w:szCs w:val="18"/>
          <w:b w:val="1"/>
          <w:bCs w:val="1"/>
          <w:color w:val="auto"/>
        </w:rPr>
      </w:pPr>
    </w:p>
    <w:p>
      <w:pPr>
        <w:jc w:val="both"/>
        <w:ind w:left="892" w:hanging="446"/>
        <w:spacing w:after="0" w:line="286" w:lineRule="auto"/>
        <w:tabs>
          <w:tab w:leader="none" w:pos="892" w:val="left"/>
        </w:tabs>
        <w:numPr>
          <w:ilvl w:val="1"/>
          <w:numId w:val="63"/>
        </w:numPr>
        <w:rPr>
          <w:rFonts w:ascii="Arial" w:cs="Arial" w:eastAsia="Arial" w:hAnsi="Arial"/>
          <w:sz w:val="16"/>
          <w:szCs w:val="16"/>
          <w:color w:val="auto"/>
        </w:rPr>
      </w:pPr>
      <w:r>
        <w:rPr>
          <w:rFonts w:ascii="Arial" w:cs="Arial" w:eastAsia="Arial" w:hAnsi="Arial"/>
          <w:sz w:val="16"/>
          <w:szCs w:val="16"/>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43" w:lineRule="exact"/>
        <w:rPr>
          <w:rFonts w:ascii="Arial" w:cs="Arial" w:eastAsia="Arial" w:hAnsi="Arial"/>
          <w:sz w:val="16"/>
          <w:szCs w:val="16"/>
          <w:color w:val="auto"/>
        </w:rPr>
      </w:pPr>
    </w:p>
    <w:p>
      <w:pPr>
        <w:ind w:left="1472" w:hanging="567"/>
        <w:spacing w:after="0" w:line="332" w:lineRule="auto"/>
        <w:tabs>
          <w:tab w:leader="none" w:pos="1472" w:val="left"/>
        </w:tabs>
        <w:numPr>
          <w:ilvl w:val="2"/>
          <w:numId w:val="63"/>
        </w:numPr>
        <w:rPr>
          <w:rFonts w:ascii="Arial" w:cs="Arial" w:eastAsia="Arial" w:hAnsi="Arial"/>
          <w:sz w:val="16"/>
          <w:szCs w:val="16"/>
          <w:color w:val="auto"/>
        </w:rPr>
      </w:pPr>
      <w:r>
        <w:rPr>
          <w:rFonts w:ascii="Arial" w:cs="Arial" w:eastAsia="Arial" w:hAnsi="Arial"/>
          <w:sz w:val="16"/>
          <w:szCs w:val="16"/>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4" w:lineRule="exact"/>
        <w:rPr>
          <w:rFonts w:ascii="Arial" w:cs="Arial" w:eastAsia="Arial" w:hAnsi="Arial"/>
          <w:sz w:val="16"/>
          <w:szCs w:val="16"/>
          <w:color w:val="auto"/>
        </w:rPr>
      </w:pPr>
    </w:p>
    <w:p>
      <w:pPr>
        <w:ind w:left="1472" w:hanging="567"/>
        <w:spacing w:after="0" w:line="268" w:lineRule="auto"/>
        <w:tabs>
          <w:tab w:leader="none" w:pos="1472" w:val="left"/>
        </w:tabs>
        <w:numPr>
          <w:ilvl w:val="2"/>
          <w:numId w:val="63"/>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ectPr>
          <w:pgSz w:w="11900" w:h="16838" w:orient="portrait"/>
          <w:cols w:equalWidth="0" w:num="1">
            <w:col w:w="11412"/>
          </w:cols>
          <w:pgMar w:left="248" w:top="274" w:right="239" w:bottom="1440" w:gutter="0" w:footer="0" w:header="0"/>
        </w:sectPr>
      </w:pPr>
    </w:p>
    <w:bookmarkStart w:id="103" w:name="page104"/>
    <w:bookmarkEnd w:id="103"/>
    <w:p>
      <w:pPr>
        <w:jc w:val="both"/>
        <w:ind w:left="1026" w:hanging="567"/>
        <w:spacing w:after="0" w:line="306" w:lineRule="auto"/>
        <w:tabs>
          <w:tab w:leader="none" w:pos="1026"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5" w:lineRule="exact"/>
        <w:rPr>
          <w:rFonts w:ascii="Arial" w:cs="Arial" w:eastAsia="Arial" w:hAnsi="Arial"/>
          <w:sz w:val="16"/>
          <w:szCs w:val="16"/>
          <w:color w:val="auto"/>
        </w:rPr>
      </w:pPr>
    </w:p>
    <w:p>
      <w:pPr>
        <w:jc w:val="both"/>
        <w:ind w:left="1026" w:hanging="567"/>
        <w:spacing w:after="0" w:line="259" w:lineRule="auto"/>
        <w:tabs>
          <w:tab w:leader="none" w:pos="102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59" w:lineRule="exact"/>
        <w:rPr>
          <w:rFonts w:ascii="Arial" w:cs="Arial" w:eastAsia="Arial" w:hAnsi="Arial"/>
          <w:sz w:val="18"/>
          <w:szCs w:val="18"/>
          <w:color w:val="auto"/>
        </w:rPr>
      </w:pPr>
    </w:p>
    <w:p>
      <w:pPr>
        <w:jc w:val="both"/>
        <w:ind w:left="1026" w:hanging="567"/>
        <w:spacing w:after="0" w:line="259" w:lineRule="auto"/>
        <w:tabs>
          <w:tab w:leader="none" w:pos="1026" w:val="left"/>
        </w:tabs>
        <w:numPr>
          <w:ilvl w:val="1"/>
          <w:numId w:val="64"/>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59" w:lineRule="exact"/>
        <w:rPr>
          <w:rFonts w:ascii="Arial" w:cs="Arial" w:eastAsia="Arial" w:hAnsi="Arial"/>
          <w:sz w:val="18"/>
          <w:szCs w:val="18"/>
          <w:color w:val="auto"/>
        </w:rPr>
      </w:pPr>
    </w:p>
    <w:p>
      <w:pPr>
        <w:jc w:val="both"/>
        <w:ind w:left="446" w:hanging="446"/>
        <w:spacing w:after="0" w:line="255" w:lineRule="auto"/>
        <w:tabs>
          <w:tab w:leader="none" w:pos="446"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61" w:lineRule="exact"/>
        <w:rPr>
          <w:rFonts w:ascii="Arial" w:cs="Arial" w:eastAsia="Arial" w:hAnsi="Arial"/>
          <w:sz w:val="18"/>
          <w:szCs w:val="18"/>
          <w:color w:val="auto"/>
        </w:rPr>
      </w:pPr>
    </w:p>
    <w:p>
      <w:pPr>
        <w:jc w:val="both"/>
        <w:ind w:left="1026" w:hanging="567"/>
        <w:spacing w:after="0" w:line="259" w:lineRule="auto"/>
        <w:tabs>
          <w:tab w:leader="none" w:pos="10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59" w:lineRule="exact"/>
        <w:rPr>
          <w:rFonts w:ascii="Arial" w:cs="Arial" w:eastAsia="Arial" w:hAnsi="Arial"/>
          <w:sz w:val="18"/>
          <w:szCs w:val="18"/>
          <w:color w:val="auto"/>
        </w:rPr>
      </w:pPr>
    </w:p>
    <w:p>
      <w:pPr>
        <w:jc w:val="both"/>
        <w:ind w:left="1026" w:hanging="567"/>
        <w:spacing w:after="0" w:line="254" w:lineRule="auto"/>
        <w:tabs>
          <w:tab w:leader="none" w:pos="1026" w:val="left"/>
        </w:tabs>
        <w:numPr>
          <w:ilvl w:val="1"/>
          <w:numId w:val="65"/>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63" w:lineRule="exact"/>
        <w:rPr>
          <w:sz w:val="20"/>
          <w:szCs w:val="20"/>
          <w:color w:val="auto"/>
        </w:rPr>
      </w:pPr>
    </w:p>
    <w:p>
      <w:pPr>
        <w:jc w:val="both"/>
        <w:ind w:left="466"/>
        <w:spacing w:after="0" w:line="306" w:lineRule="auto"/>
        <w:rPr>
          <w:sz w:val="20"/>
          <w:szCs w:val="20"/>
          <w:color w:val="auto"/>
        </w:rPr>
      </w:pPr>
      <w:r>
        <w:rPr>
          <w:rFonts w:ascii="Arial" w:cs="Arial" w:eastAsia="Arial" w:hAnsi="Arial"/>
          <w:sz w:val="16"/>
          <w:szCs w:val="16"/>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26" w:lineRule="exact"/>
        <w:rPr>
          <w:sz w:val="20"/>
          <w:szCs w:val="20"/>
          <w:color w:val="auto"/>
        </w:rPr>
      </w:pPr>
    </w:p>
    <w:p>
      <w:pPr>
        <w:jc w:val="both"/>
        <w:ind w:left="446" w:hanging="446"/>
        <w:spacing w:after="0" w:line="290" w:lineRule="auto"/>
        <w:tabs>
          <w:tab w:leader="none" w:pos="446" w:val="left"/>
        </w:tabs>
        <w:numPr>
          <w:ilvl w:val="0"/>
          <w:numId w:val="66"/>
        </w:numPr>
        <w:rPr>
          <w:rFonts w:ascii="Arial" w:cs="Arial" w:eastAsia="Arial" w:hAnsi="Arial"/>
          <w:sz w:val="16"/>
          <w:szCs w:val="16"/>
          <w:color w:val="auto"/>
        </w:rPr>
      </w:pPr>
      <w:r>
        <w:rPr>
          <w:rFonts w:ascii="Arial" w:cs="Arial" w:eastAsia="Arial" w:hAnsi="Arial"/>
          <w:sz w:val="16"/>
          <w:szCs w:val="16"/>
          <w:color w:val="auto"/>
        </w:rPr>
        <w:t>Employee acknowledges and agrees that compliance with this Section 10 is necessary to protect the Company, and that a breach of any of this Section 10 will result in irreparable and continuing damage to the Company for which there will be no adequate remedy at law. In the event of a breach of this Section 10,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10, or to enjoin Employee from performing services in breach of Section 10(b) during the term of employment and for a period of 12 months following the termination of employment. Employee hereby agrees to submit to the jurisdiction of any Court of competent jurisdiction in any disputes that arise under this Agreement.</w:t>
      </w:r>
    </w:p>
    <w:p>
      <w:pPr>
        <w:sectPr>
          <w:pgSz w:w="11900" w:h="16838" w:orient="portrait"/>
          <w:cols w:equalWidth="0" w:num="1">
            <w:col w:w="10966"/>
          </w:cols>
          <w:pgMar w:left="694" w:top="280" w:right="239" w:bottom="1440" w:gutter="0" w:footer="0" w:header="0"/>
        </w:sectPr>
      </w:pPr>
    </w:p>
    <w:bookmarkStart w:id="104" w:name="page105"/>
    <w:bookmarkEnd w:id="104"/>
    <w:p>
      <w:pPr>
        <w:jc w:val="both"/>
        <w:ind w:left="892" w:hanging="446"/>
        <w:spacing w:after="0" w:line="259"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further agrees that, in the event of a breach of this Section 10,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Employee agrees that the terms of this Section 10 shall survive the termination of Employee’s employment with the Company.</w:t>
      </w:r>
    </w:p>
    <w:p>
      <w:pPr>
        <w:spacing w:after="0" w:line="90" w:lineRule="exact"/>
        <w:rPr>
          <w:rFonts w:ascii="Arial" w:cs="Arial" w:eastAsia="Arial" w:hAnsi="Arial"/>
          <w:sz w:val="18"/>
          <w:szCs w:val="18"/>
          <w:color w:val="auto"/>
        </w:rPr>
      </w:pPr>
    </w:p>
    <w:p>
      <w:pPr>
        <w:jc w:val="both"/>
        <w:ind w:left="892" w:hanging="446"/>
        <w:spacing w:after="0" w:line="256" w:lineRule="auto"/>
        <w:tabs>
          <w:tab w:leader="none" w:pos="892" w:val="left"/>
        </w:tabs>
        <w:numPr>
          <w:ilvl w:val="1"/>
          <w:numId w:val="67"/>
        </w:numPr>
        <w:rPr>
          <w:rFonts w:ascii="Arial" w:cs="Arial" w:eastAsia="Arial" w:hAnsi="Arial"/>
          <w:sz w:val="18"/>
          <w:szCs w:val="18"/>
          <w:color w:val="auto"/>
        </w:rPr>
      </w:pPr>
      <w:r>
        <w:rPr>
          <w:rFonts w:ascii="Arial" w:cs="Arial" w:eastAsia="Arial" w:hAnsi="Arial"/>
          <w:sz w:val="18"/>
          <w:szCs w:val="18"/>
          <w:color w:val="auto"/>
        </w:rPr>
        <w:t>EMPLOYEE HAS READ THIS SECTION 10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77" w:lineRule="exact"/>
        <w:rPr>
          <w:rFonts w:ascii="Arial" w:cs="Arial" w:eastAsia="Arial" w:hAnsi="Arial"/>
          <w:sz w:val="18"/>
          <w:szCs w:val="18"/>
          <w:color w:val="auto"/>
        </w:rPr>
      </w:pPr>
    </w:p>
    <w:p>
      <w:pPr>
        <w:ind w:left="452" w:hanging="452"/>
        <w:spacing w:after="0"/>
        <w:tabs>
          <w:tab w:leader="none" w:pos="45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96" w:lineRule="exact"/>
        <w:rPr>
          <w:rFonts w:ascii="Arial" w:cs="Arial" w:eastAsia="Arial" w:hAnsi="Arial"/>
          <w:sz w:val="18"/>
          <w:szCs w:val="18"/>
          <w:b w:val="1"/>
          <w:bCs w:val="1"/>
          <w:color w:val="auto"/>
        </w:rPr>
      </w:pPr>
    </w:p>
    <w:p>
      <w:pPr>
        <w:jc w:val="both"/>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96" w:lineRule="exact"/>
        <w:rPr>
          <w:rFonts w:ascii="Arial" w:cs="Arial" w:eastAsia="Arial" w:hAnsi="Arial"/>
          <w:sz w:val="18"/>
          <w:szCs w:val="18"/>
          <w:b w:val="1"/>
          <w:bCs w:val="1"/>
          <w:color w:val="auto"/>
        </w:rPr>
      </w:pPr>
    </w:p>
    <w:p>
      <w:pPr>
        <w:jc w:val="both"/>
        <w:ind w:left="45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ectPr>
          <w:pgSz w:w="11900" w:h="16838" w:orient="portrait"/>
          <w:cols w:equalWidth="0" w:num="1">
            <w:col w:w="11412"/>
          </w:cols>
          <w:pgMar w:left="248" w:top="280" w:right="239" w:bottom="1440" w:gutter="0" w:footer="0" w:header="0"/>
        </w:sectPr>
      </w:pPr>
    </w:p>
    <w:bookmarkStart w:id="105" w:name="page106"/>
    <w:bookmarkEnd w:id="105"/>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Not Transferable</w:t>
      </w:r>
    </w:p>
    <w:p>
      <w:pPr>
        <w:spacing w:after="0" w:line="96" w:lineRule="exact"/>
        <w:rPr>
          <w:rFonts w:ascii="Arial" w:cs="Arial" w:eastAsia="Arial" w:hAnsi="Arial"/>
          <w:sz w:val="18"/>
          <w:szCs w:val="18"/>
          <w:b w:val="1"/>
          <w:bCs w:val="1"/>
          <w:color w:val="auto"/>
        </w:rPr>
      </w:pPr>
    </w:p>
    <w:p>
      <w:pPr>
        <w:jc w:val="both"/>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54" w:lineRule="exact"/>
        <w:rPr>
          <w:rFonts w:ascii="Arial" w:cs="Arial" w:eastAsia="Arial" w:hAnsi="Arial"/>
          <w:sz w:val="18"/>
          <w:szCs w:val="18"/>
          <w:b w:val="1"/>
          <w:bCs w:val="1"/>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96"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119" w:lineRule="exact"/>
        <w:rPr>
          <w:rFonts w:ascii="Arial" w:cs="Arial" w:eastAsia="Arial" w:hAnsi="Arial"/>
          <w:sz w:val="18"/>
          <w:szCs w:val="18"/>
          <w:b w:val="1"/>
          <w:bCs w:val="1"/>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96" w:lineRule="exact"/>
        <w:rPr>
          <w:rFonts w:ascii="Arial" w:cs="Arial" w:eastAsia="Arial" w:hAnsi="Arial"/>
          <w:sz w:val="18"/>
          <w:szCs w:val="18"/>
          <w:b w:val="1"/>
          <w:bCs w:val="1"/>
          <w:color w:val="auto"/>
        </w:rPr>
      </w:pPr>
    </w:p>
    <w:p>
      <w:pPr>
        <w:jc w:val="both"/>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96" w:lineRule="exact"/>
        <w:rPr>
          <w:rFonts w:ascii="Arial" w:cs="Arial" w:eastAsia="Arial" w:hAnsi="Arial"/>
          <w:sz w:val="18"/>
          <w:szCs w:val="18"/>
          <w:b w:val="1"/>
          <w:bCs w:val="1"/>
          <w:color w:val="auto"/>
        </w:rPr>
      </w:pPr>
    </w:p>
    <w:p>
      <w:pPr>
        <w:jc w:val="both"/>
        <w:ind w:left="452"/>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Section shall be available only to the extent that at the time of any such surrender, Employee would have been entitled to exercise this Option under Sections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Section 1 hereof, and the Fair Market Value per share, determined in accordance with Section 9 hereof, as of the time of surrender.</w:t>
      </w:r>
    </w:p>
    <w:p>
      <w:pPr>
        <w:spacing w:after="0" w:line="154" w:lineRule="exact"/>
        <w:rPr>
          <w:rFonts w:ascii="Arial" w:cs="Arial" w:eastAsia="Arial" w:hAnsi="Arial"/>
          <w:sz w:val="18"/>
          <w:szCs w:val="18"/>
          <w:b w:val="1"/>
          <w:bCs w:val="1"/>
          <w:color w:val="auto"/>
        </w:rPr>
      </w:pPr>
    </w:p>
    <w:p>
      <w:pPr>
        <w:ind w:left="452" w:hanging="452"/>
        <w:spacing w:after="0"/>
        <w:tabs>
          <w:tab w:leader="none" w:pos="4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96" w:lineRule="exact"/>
        <w:rPr>
          <w:rFonts w:ascii="Arial" w:cs="Arial" w:eastAsia="Arial" w:hAnsi="Arial"/>
          <w:sz w:val="18"/>
          <w:szCs w:val="18"/>
          <w:b w:val="1"/>
          <w:bCs w:val="1"/>
          <w:color w:val="auto"/>
        </w:rPr>
      </w:pPr>
    </w:p>
    <w:p>
      <w:pPr>
        <w:jc w:val="both"/>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Section 5 hereof, any such notice shall be deemed to have been duly given, if and when enclosed in a properly sealed envelope addressed as aforesaid, and deposited, postage prepaid, in the United States mail.</w:t>
      </w:r>
    </w:p>
    <w:p>
      <w:pPr>
        <w:sectPr>
          <w:pgSz w:w="11900" w:h="16838" w:orient="portrait"/>
          <w:cols w:equalWidth="0" w:num="1">
            <w:col w:w="11412"/>
          </w:cols>
          <w:pgMar w:left="248" w:top="274" w:right="239" w:bottom="1440" w:gutter="0" w:footer="0" w:header="0"/>
        </w:sectPr>
      </w:pPr>
    </w:p>
    <w:bookmarkStart w:id="106" w:name="page107"/>
    <w:bookmarkEnd w:id="106"/>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Plan Controlling</w:t>
      </w:r>
    </w:p>
    <w:p>
      <w:pPr>
        <w:spacing w:after="0" w:line="96" w:lineRule="exact"/>
        <w:rPr>
          <w:rFonts w:ascii="Arial" w:cs="Arial" w:eastAsia="Arial" w:hAnsi="Arial"/>
          <w:sz w:val="18"/>
          <w:szCs w:val="18"/>
          <w:b w:val="1"/>
          <w:bCs w:val="1"/>
          <w:color w:val="auto"/>
        </w:rPr>
      </w:pPr>
    </w:p>
    <w:p>
      <w:pPr>
        <w:jc w:val="both"/>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141" w:lineRule="exact"/>
        <w:rPr>
          <w:rFonts w:ascii="Arial" w:cs="Arial" w:eastAsia="Arial" w:hAnsi="Arial"/>
          <w:sz w:val="18"/>
          <w:szCs w:val="18"/>
          <w:b w:val="1"/>
          <w:bCs w:val="1"/>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WITNESS WHEREOF, the Corporation has granted this Option as of the day and year first above written.</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BRADY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6985</wp:posOffset>
            </wp:positionV>
            <wp:extent cx="25469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EMPLOYEE’S ACCEPTANCE</w:t>
            </w:r>
          </w:p>
        </w:tc>
        <w:tc>
          <w:tcPr>
            <w:tcW w:w="4500" w:type="dxa"/>
            <w:vAlign w:val="bottom"/>
            <w:gridSpan w:val="2"/>
          </w:tcPr>
          <w:p>
            <w:pPr>
              <w:spacing w:after="0"/>
              <w:rPr>
                <w:sz w:val="17"/>
                <w:szCs w:val="17"/>
                <w:color w:val="auto"/>
              </w:rPr>
            </w:pPr>
          </w:p>
        </w:tc>
      </w:tr>
      <w:tr>
        <w:trPr>
          <w:trHeight w:val="390"/>
        </w:trPr>
        <w:tc>
          <w:tcPr>
            <w:tcW w:w="1440" w:type="dxa"/>
            <w:vAlign w:val="bottom"/>
          </w:tcPr>
          <w:p>
            <w:pPr>
              <w:ind w:left="460"/>
              <w:spacing w:after="0"/>
              <w:rPr>
                <w:sz w:val="20"/>
                <w:szCs w:val="20"/>
                <w:color w:val="auto"/>
              </w:rPr>
            </w:pPr>
            <w:r>
              <w:rPr>
                <w:rFonts w:ascii="Arial" w:cs="Arial" w:eastAsia="Arial" w:hAnsi="Arial"/>
                <w:sz w:val="18"/>
                <w:szCs w:val="18"/>
                <w:color w:val="auto"/>
              </w:rPr>
              <w:t>I,</w:t>
            </w:r>
          </w:p>
        </w:tc>
        <w:tc>
          <w:tcPr>
            <w:tcW w:w="9980" w:type="dxa"/>
            <w:vAlign w:val="bottom"/>
            <w:gridSpan w:val="4"/>
          </w:tcPr>
          <w:p>
            <w:pPr>
              <w:ind w:left="120"/>
              <w:spacing w:after="0"/>
              <w:rPr>
                <w:sz w:val="20"/>
                <w:szCs w:val="20"/>
                <w:color w:val="auto"/>
              </w:rPr>
            </w:pPr>
            <w:r>
              <w:rPr>
                <w:rFonts w:ascii="Arial" w:cs="Arial" w:eastAsia="Arial" w:hAnsi="Arial"/>
                <w:sz w:val="18"/>
                <w:szCs w:val="18"/>
                <w:color w:val="auto"/>
                <w:w w:val="88"/>
              </w:rPr>
              <w:t>, hereby accept the foregoing Option award and agree to the terms and conditions thereof, including the restrictions contained in Section 10</w:t>
            </w:r>
          </w:p>
        </w:tc>
      </w:tr>
      <w:tr>
        <w:trPr>
          <w:trHeight w:val="222"/>
        </w:trPr>
        <w:tc>
          <w:tcPr>
            <w:tcW w:w="1440" w:type="dxa"/>
            <w:vAlign w:val="bottom"/>
          </w:tcPr>
          <w:p>
            <w:pPr>
              <w:spacing w:after="0"/>
              <w:rPr>
                <w:sz w:val="20"/>
                <w:szCs w:val="20"/>
                <w:color w:val="auto"/>
              </w:rPr>
            </w:pPr>
            <w:r>
              <w:rPr>
                <w:rFonts w:ascii="Arial" w:cs="Arial" w:eastAsia="Arial" w:hAnsi="Arial"/>
                <w:sz w:val="18"/>
                <w:szCs w:val="18"/>
                <w:color w:val="auto"/>
                <w:w w:val="97"/>
              </w:rPr>
              <w:t>of this Agreement.</w:t>
            </w:r>
          </w:p>
        </w:tc>
        <w:tc>
          <w:tcPr>
            <w:tcW w:w="30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9"/>
        </w:trPr>
        <w:tc>
          <w:tcPr>
            <w:tcW w:w="1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920" w:type="dxa"/>
            <w:vAlign w:val="bottom"/>
            <w:gridSpan w:val="3"/>
          </w:tcPr>
          <w:p>
            <w:pPr>
              <w:ind w:left="236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1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920" w:type="dxa"/>
            <w:vAlign w:val="bottom"/>
            <w:gridSpan w:val="3"/>
          </w:tcPr>
          <w:p>
            <w:pPr>
              <w:ind w:left="2360"/>
              <w:spacing w:after="0"/>
              <w:rPr>
                <w:sz w:val="20"/>
                <w:szCs w:val="20"/>
                <w:color w:val="auto"/>
              </w:rPr>
            </w:pPr>
            <w:r>
              <w:rPr>
                <w:rFonts w:ascii="Arial" w:cs="Arial" w:eastAsia="Arial" w:hAnsi="Arial"/>
                <w:sz w:val="18"/>
                <w:szCs w:val="18"/>
                <w:color w:val="auto"/>
              </w:rPr>
              <w:t>Signature:</w:t>
            </w:r>
          </w:p>
        </w:tc>
      </w:tr>
      <w:tr>
        <w:trPr>
          <w:trHeight w:val="198"/>
        </w:trPr>
        <w:tc>
          <w:tcPr>
            <w:tcW w:w="14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360" w:type="dxa"/>
            <w:vAlign w:val="bottom"/>
            <w:gridSpan w:val="2"/>
          </w:tcPr>
          <w:p>
            <w:pPr>
              <w:ind w:left="2360"/>
              <w:spacing w:after="0" w:line="198" w:lineRule="exact"/>
              <w:rPr>
                <w:sz w:val="20"/>
                <w:szCs w:val="20"/>
                <w:color w:val="auto"/>
              </w:rPr>
            </w:pPr>
            <w:r>
              <w:rPr>
                <w:rFonts w:ascii="Arial" w:cs="Arial" w:eastAsia="Arial" w:hAnsi="Arial"/>
                <w:sz w:val="18"/>
                <w:szCs w:val="18"/>
                <w:color w:val="auto"/>
              </w:rPr>
              <w:t>Print Name:</w:t>
            </w:r>
          </w:p>
        </w:tc>
        <w:tc>
          <w:tcPr>
            <w:tcW w:w="3560" w:type="dxa"/>
            <w:vAlign w:val="bottom"/>
            <w:tcBorders>
              <w:top w:val="single" w:sz="8" w:color="auto"/>
              <w:bottom w:val="single" w:sz="8" w:color="auto"/>
            </w:tcBorders>
          </w:tcPr>
          <w:p>
            <w:pPr>
              <w:spacing w:after="0"/>
              <w:rPr>
                <w:sz w:val="17"/>
                <w:szCs w:val="17"/>
                <w:color w:val="auto"/>
              </w:rPr>
            </w:pPr>
          </w:p>
        </w:tc>
      </w:tr>
    </w:tbl>
    <w:p>
      <w:pPr>
        <w:sectPr>
          <w:pgSz w:w="11900" w:h="16838" w:orient="portrait"/>
          <w:cols w:equalWidth="0" w:num="1">
            <w:col w:w="11420"/>
          </w:cols>
          <w:pgMar w:left="240" w:top="274" w:right="239" w:bottom="1440" w:gutter="0" w:footer="0" w:header="0"/>
        </w:sectPr>
      </w:pPr>
    </w:p>
    <w:bookmarkStart w:id="107" w:name="page108"/>
    <w:bookmarkEnd w:id="10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EXHIBIT 10.45</w:t>
            </w:r>
          </w:p>
        </w:tc>
      </w:tr>
      <w:tr>
        <w:trPr>
          <w:trHeight w:val="502"/>
        </w:trPr>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4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w w:val="97"/>
              </w:rPr>
              <w:t>BRADY CORPORATION</w:t>
            </w:r>
          </w:p>
        </w:tc>
        <w:tc>
          <w:tcPr>
            <w:tcW w:w="1760" w:type="dxa"/>
            <w:vAlign w:val="bottom"/>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96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DIRECTOR NONQUALIFIED STOCK OPTION AGREEMENT</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397"/>
        </w:trPr>
        <w:tc>
          <w:tcPr>
            <w:tcW w:w="1580" w:type="dxa"/>
            <w:vAlign w:val="bottom"/>
          </w:tcPr>
          <w:p>
            <w:pPr>
              <w:spacing w:after="0"/>
              <w:rPr>
                <w:sz w:val="20"/>
                <w:szCs w:val="20"/>
                <w:color w:val="auto"/>
              </w:rPr>
            </w:pPr>
            <w:r>
              <w:rPr>
                <w:rFonts w:ascii="Arial" w:cs="Arial" w:eastAsia="Arial" w:hAnsi="Arial"/>
                <w:sz w:val="18"/>
                <w:szCs w:val="18"/>
                <w:color w:val="auto"/>
              </w:rPr>
              <w:t>Option granted on</w:t>
            </w:r>
          </w:p>
        </w:tc>
        <w:tc>
          <w:tcPr>
            <w:tcW w:w="7620" w:type="dxa"/>
            <w:vAlign w:val="bottom"/>
            <w:gridSpan w:val="5"/>
          </w:tcPr>
          <w:p>
            <w:pPr>
              <w:ind w:left="300"/>
              <w:spacing w:after="0"/>
              <w:rPr>
                <w:sz w:val="20"/>
                <w:szCs w:val="20"/>
                <w:color w:val="auto"/>
              </w:rPr>
            </w:pPr>
            <w:r>
              <w:rPr>
                <w:rFonts w:ascii="Arial" w:cs="Arial" w:eastAsia="Arial" w:hAnsi="Arial"/>
                <w:sz w:val="18"/>
                <w:szCs w:val="18"/>
                <w:color w:val="auto"/>
                <w:w w:val="97"/>
              </w:rPr>
              <w:t>X, 20XX, by Brady Corporation, a Wisconsin corporation (hereinafter called the “Company”), to</w:t>
            </w:r>
          </w:p>
        </w:tc>
        <w:tc>
          <w:tcPr>
            <w:tcW w:w="1760" w:type="dxa"/>
            <w:vAlign w:val="bottom"/>
          </w:tcPr>
          <w:p>
            <w:pPr>
              <w:jc w:val="right"/>
              <w:spacing w:after="0"/>
              <w:rPr>
                <w:sz w:val="20"/>
                <w:szCs w:val="20"/>
                <w:color w:val="auto"/>
              </w:rPr>
            </w:pPr>
            <w:r>
              <w:rPr>
                <w:rFonts w:ascii="Arial" w:cs="Arial" w:eastAsia="Arial" w:hAnsi="Arial"/>
                <w:sz w:val="18"/>
                <w:szCs w:val="18"/>
                <w:color w:val="auto"/>
              </w:rPr>
              <w:t>(hereinafter called</w:t>
            </w:r>
          </w:p>
        </w:tc>
      </w:tr>
    </w:tbl>
    <w:p>
      <w:pPr>
        <w:jc w:val="both"/>
        <w:spacing w:after="0" w:line="323" w:lineRule="auto"/>
        <w:rPr>
          <w:sz w:val="20"/>
          <w:szCs w:val="20"/>
          <w:color w:val="auto"/>
        </w:rPr>
      </w:pPr>
      <w:r>
        <w:rPr>
          <w:rFonts w:ascii="Arial" w:cs="Arial" w:eastAsia="Arial" w:hAnsi="Arial"/>
          <w:sz w:val="16"/>
          <w:szCs w:val="16"/>
          <w:color w:val="auto"/>
        </w:rPr>
        <w:t>the “Director”) pursuant to the terms of the Brady Corporation 2012 Omnibus Incentive Stock Plan. The Corporation’s records shall be the official record of the Option grant described herein and, in the event of any conflict between this description and Corporation’s records, the Corporation’s records shall control.</w:t>
      </w:r>
    </w:p>
    <w:p>
      <w:pPr>
        <w:spacing w:after="0" w:line="127" w:lineRule="exact"/>
        <w:rPr>
          <w:sz w:val="20"/>
          <w:szCs w:val="20"/>
          <w:color w:val="auto"/>
        </w:rPr>
      </w:pPr>
    </w:p>
    <w:p>
      <w:pPr>
        <w:jc w:val="both"/>
        <w:ind w:left="460" w:hanging="452"/>
        <w:spacing w:after="0" w:line="262" w:lineRule="auto"/>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grants to the Director the right and option to purchase, on the terms and conditions hereof, all</w:t>
      </w:r>
      <w:r>
        <w:rPr>
          <w:rFonts w:ascii="Arial" w:cs="Arial" w:eastAsia="Arial" w:hAnsi="Arial"/>
          <w:sz w:val="18"/>
          <w:szCs w:val="18"/>
          <w:b w:val="1"/>
          <w:bCs w:val="1"/>
          <w:color w:val="auto"/>
        </w:rPr>
        <w:t xml:space="preserve"> </w:t>
      </w:r>
      <w:r>
        <w:rPr>
          <w:rFonts w:ascii="Arial" w:cs="Arial" w:eastAsia="Arial" w:hAnsi="Arial"/>
          <w:sz w:val="18"/>
          <w:szCs w:val="18"/>
          <w:color w:val="auto"/>
        </w:rPr>
        <w:t>or any part of an aggregate of X,XXX shares of the presently authorized Class A Common Stock of the Company, $.01 par value, whether unissued or issued and reacquired by the Company, at the price of $XX.XX per share (the “Option Price”).</w:t>
      </w:r>
    </w:p>
    <w:p>
      <w:pPr>
        <w:spacing w:after="0" w:line="172" w:lineRule="exact"/>
        <w:rPr>
          <w:rFonts w:ascii="Arial" w:cs="Arial" w:eastAsia="Arial" w:hAnsi="Arial"/>
          <w:sz w:val="18"/>
          <w:szCs w:val="18"/>
          <w:b w:val="1"/>
          <w:bCs w:val="1"/>
          <w:color w:val="auto"/>
        </w:rPr>
      </w:pPr>
    </w:p>
    <w:p>
      <w:pPr>
        <w:jc w:val="both"/>
        <w:ind w:left="460" w:hanging="452"/>
        <w:spacing w:after="0" w:line="256" w:lineRule="auto"/>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Director’s Lifetime; Vesting of Option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hereinafter in this paragraph and in paragraph 3,</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40"/>
        <w:spacing w:after="0"/>
        <w:rPr>
          <w:sz w:val="20"/>
          <w:szCs w:val="20"/>
          <w:color w:val="auto"/>
        </w:rPr>
      </w:pPr>
      <w:r>
        <w:rPr>
          <w:rFonts w:ascii="Arial" w:cs="Arial" w:eastAsia="Arial" w:hAnsi="Arial"/>
          <w:sz w:val="12"/>
          <w:szCs w:val="12"/>
          <w:color w:val="auto"/>
        </w:rPr>
        <w:t>Number of Completed Years After</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Date of Grant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-7620</wp:posOffset>
            </wp:positionV>
            <wp:extent cx="12693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At least 1 but less than 2</w:t>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At least 2 but less than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-114935</wp:posOffset>
            </wp:positionV>
            <wp:extent cx="49225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 least 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040"/>
        <w:spacing w:after="0"/>
        <w:rPr>
          <w:sz w:val="20"/>
          <w:szCs w:val="20"/>
          <w:color w:val="auto"/>
        </w:rPr>
      </w:pPr>
      <w:r>
        <w:rPr>
          <w:rFonts w:ascii="Arial" w:cs="Arial" w:eastAsia="Arial" w:hAnsi="Arial"/>
          <w:sz w:val="14"/>
          <w:szCs w:val="14"/>
          <w:color w:val="auto"/>
        </w:rPr>
        <w:t>Maximum</w:t>
      </w:r>
    </w:p>
    <w:p>
      <w:pPr>
        <w:jc w:val="center"/>
        <w:ind w:right="2040"/>
        <w:spacing w:after="0" w:line="221" w:lineRule="auto"/>
        <w:rPr>
          <w:sz w:val="20"/>
          <w:szCs w:val="20"/>
          <w:color w:val="auto"/>
        </w:rPr>
      </w:pPr>
      <w:r>
        <w:rPr>
          <w:rFonts w:ascii="Arial" w:cs="Arial" w:eastAsia="Arial" w:hAnsi="Arial"/>
          <w:sz w:val="14"/>
          <w:szCs w:val="14"/>
          <w:color w:val="auto"/>
        </w:rPr>
        <w:t>Percentage</w:t>
      </w:r>
    </w:p>
    <w:p>
      <w:pPr>
        <w:jc w:val="center"/>
        <w:ind w:right="2040"/>
        <w:spacing w:after="0" w:line="221" w:lineRule="auto"/>
        <w:rPr>
          <w:sz w:val="20"/>
          <w:szCs w:val="20"/>
          <w:color w:val="auto"/>
        </w:rPr>
      </w:pPr>
      <w:r>
        <w:rPr>
          <w:rFonts w:ascii="Arial" w:cs="Arial" w:eastAsia="Arial" w:hAnsi="Arial"/>
          <w:sz w:val="14"/>
          <w:szCs w:val="14"/>
          <w:color w:val="auto"/>
        </w:rPr>
        <w:t>of Shares For</w:t>
      </w:r>
    </w:p>
    <w:p>
      <w:pPr>
        <w:spacing w:after="0" w:line="1" w:lineRule="exact"/>
        <w:rPr>
          <w:sz w:val="20"/>
          <w:szCs w:val="20"/>
          <w:color w:val="auto"/>
        </w:rPr>
      </w:pPr>
    </w:p>
    <w:p>
      <w:pPr>
        <w:jc w:val="center"/>
        <w:ind w:right="2040"/>
        <w:spacing w:after="0"/>
        <w:rPr>
          <w:sz w:val="20"/>
          <w:szCs w:val="20"/>
          <w:color w:val="auto"/>
        </w:rPr>
      </w:pPr>
      <w:r>
        <w:rPr>
          <w:rFonts w:ascii="Arial" w:cs="Arial" w:eastAsia="Arial" w:hAnsi="Arial"/>
          <w:sz w:val="12"/>
          <w:szCs w:val="12"/>
          <w:color w:val="auto"/>
        </w:rPr>
        <w:t>Which Option is</w:t>
      </w:r>
    </w:p>
    <w:p>
      <w:pPr>
        <w:spacing w:after="0" w:line="10" w:lineRule="exact"/>
        <w:rPr>
          <w:sz w:val="20"/>
          <w:szCs w:val="20"/>
          <w:color w:val="auto"/>
        </w:rPr>
      </w:pPr>
    </w:p>
    <w:p>
      <w:pPr>
        <w:jc w:val="center"/>
        <w:ind w:right="2040"/>
        <w:spacing w:after="0"/>
        <w:rPr>
          <w:sz w:val="20"/>
          <w:szCs w:val="20"/>
          <w:color w:val="auto"/>
        </w:rPr>
      </w:pPr>
      <w:r>
        <w:rPr>
          <w:rFonts w:ascii="Arial" w:cs="Arial" w:eastAsia="Arial" w:hAnsi="Arial"/>
          <w:sz w:val="14"/>
          <w:szCs w:val="14"/>
          <w:color w:val="auto"/>
        </w:rPr>
        <w:t>Exercisable</w:t>
      </w:r>
    </w:p>
    <w:p>
      <w:pPr>
        <w:ind w:left="580"/>
        <w:spacing w:after="0"/>
        <w:rPr>
          <w:sz w:val="20"/>
          <w:szCs w:val="20"/>
          <w:color w:val="auto"/>
        </w:rPr>
      </w:pPr>
      <w:r>
        <w:rPr>
          <w:rFonts w:ascii="Arial" w:cs="Arial" w:eastAsia="Arial" w:hAnsi="Arial"/>
          <w:sz w:val="18"/>
          <w:szCs w:val="18"/>
          <w:color w:val="auto"/>
        </w:rPr>
        <w:t>Zero</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33-1/3%</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66-2/3%</w:t>
      </w:r>
    </w:p>
    <w:p>
      <w:pPr>
        <w:spacing w:after="0" w:line="32"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100%</w:t>
      </w:r>
    </w:p>
    <w:p>
      <w:pPr>
        <w:spacing w:after="0" w:line="165" w:lineRule="exact"/>
        <w:rPr>
          <w:sz w:val="20"/>
          <w:szCs w:val="20"/>
          <w:color w:val="auto"/>
        </w:rPr>
      </w:pPr>
    </w:p>
    <w:p>
      <w:pPr>
        <w:sectPr>
          <w:pgSz w:w="11900" w:h="16838" w:orient="portrait"/>
          <w:cols w:equalWidth="0" w:num="2">
            <w:col w:w="7760" w:space="720"/>
            <w:col w:w="2940"/>
          </w:cols>
          <w:pgMar w:left="240" w:top="125" w:right="239" w:bottom="1440" w:gutter="0" w:footer="0" w:header="0"/>
          <w:type w:val="continuous"/>
        </w:sectPr>
      </w:pPr>
    </w:p>
    <w:p>
      <w:pPr>
        <w:jc w:val="both"/>
        <w:ind w:left="460"/>
        <w:spacing w:after="0" w:line="298" w:lineRule="auto"/>
        <w:rPr>
          <w:sz w:val="20"/>
          <w:szCs w:val="20"/>
          <w:color w:val="auto"/>
        </w:rPr>
      </w:pPr>
      <w:r>
        <w:rPr>
          <w:rFonts w:ascii="Arial" w:cs="Arial" w:eastAsia="Arial" w:hAnsi="Arial"/>
          <w:sz w:val="16"/>
          <w:szCs w:val="16"/>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 on the date of such termination. This Agreement does not confer upon Director any right to continue as a Director of the Company.</w:t>
      </w:r>
    </w:p>
    <w:p>
      <w:pPr>
        <w:spacing w:after="0" w:line="147"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Directorship, Etc</w:t>
      </w:r>
      <w:r>
        <w:rPr>
          <w:rFonts w:ascii="Arial" w:cs="Arial" w:eastAsia="Arial" w:hAnsi="Arial"/>
          <w:sz w:val="18"/>
          <w:szCs w:val="18"/>
          <w:u w:val="single" w:color="auto"/>
          <w:color w:val="auto"/>
        </w:rPr>
        <w:t>.</w:t>
      </w:r>
    </w:p>
    <w:p>
      <w:pPr>
        <w:spacing w:after="0" w:line="96" w:lineRule="exact"/>
        <w:rPr>
          <w:rFonts w:ascii="Arial" w:cs="Arial" w:eastAsia="Arial" w:hAnsi="Arial"/>
          <w:sz w:val="18"/>
          <w:szCs w:val="18"/>
          <w:b w:val="1"/>
          <w:bCs w:val="1"/>
          <w:color w:val="auto"/>
        </w:rPr>
      </w:pPr>
    </w:p>
    <w:p>
      <w:pPr>
        <w:ind w:firstLine="45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Notwithstanding the provisions of paragraph 2 hereof, in the event of the termination of the Directorship with the Company prior to three years from date of grant, due to death or disability, this Option shall become 100% vested and fully exercisable.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ectPr>
          <w:pgSz w:w="11900" w:h="16838" w:orient="portrait"/>
          <w:cols w:equalWidth="0" w:num="1">
            <w:col w:w="11420"/>
          </w:cols>
          <w:pgMar w:left="240" w:top="125" w:right="239" w:bottom="1440" w:gutter="0" w:footer="0" w:header="0"/>
          <w:type w:val="continuous"/>
        </w:sectPr>
      </w:pPr>
    </w:p>
    <w:bookmarkStart w:id="108" w:name="page109"/>
    <w:bookmarkEnd w:id="108"/>
    <w:p>
      <w:pPr>
        <w:jc w:val="both"/>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 If the Directorship is terminated by the death of the Director, any unexercised, unexpired Stock Options 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 (ii) If the Directorship is terminated as a result of the disability of the Director, any unexercised, unexpired Stock Options granted hereunder to the Director shall be exercisable, in whole or in part, at any time within one year after the date of disability. (iii) If the Directorship is terminated after the Director has been a member of the Board for at least three years, any unexercised, unexpired Stock Options granted hereunder to the Director shall continue to vest as provided in paragraph 2 and any option that is or becomes vested may be exercised within the term of such option.</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178" w:lineRule="exact"/>
        <w:rPr>
          <w:sz w:val="20"/>
          <w:szCs w:val="20"/>
          <w:color w:val="auto"/>
        </w:rPr>
      </w:pPr>
    </w:p>
    <w:p>
      <w:pPr>
        <w:jc w:val="both"/>
        <w:ind w:left="460" w:hanging="452"/>
        <w:spacing w:after="0" w:line="256" w:lineRule="auto"/>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Company intends to exert its best efforts so that the shares purchasable upon the exercise of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179" w:lineRule="exact"/>
        <w:rPr>
          <w:rFonts w:ascii="Arial" w:cs="Arial" w:eastAsia="Arial" w:hAnsi="Arial"/>
          <w:sz w:val="18"/>
          <w:szCs w:val="18"/>
          <w:b w:val="1"/>
          <w:bCs w:val="1"/>
          <w:color w:val="auto"/>
        </w:rPr>
      </w:pPr>
    </w:p>
    <w:p>
      <w:pPr>
        <w:jc w:val="both"/>
        <w:ind w:left="460" w:hanging="452"/>
        <w:spacing w:after="0" w:line="262" w:lineRule="auto"/>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exercised by delivering to the Company, at the office of its Treasurer, a written notice of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with respect to which this Option is at the time being exercised and by paying the Company in full the Option Price of the shares being acquired at the time.</w:t>
      </w:r>
    </w:p>
    <w:p>
      <w:pPr>
        <w:spacing w:after="0" w:line="172" w:lineRule="exact"/>
        <w:rPr>
          <w:rFonts w:ascii="Arial" w:cs="Arial" w:eastAsia="Arial" w:hAnsi="Arial"/>
          <w:sz w:val="18"/>
          <w:szCs w:val="18"/>
          <w:b w:val="1"/>
          <w:bCs w:val="1"/>
          <w:color w:val="auto"/>
        </w:rPr>
      </w:pPr>
    </w:p>
    <w:p>
      <w:pPr>
        <w:jc w:val="both"/>
        <w:ind w:left="460" w:hanging="452"/>
        <w:spacing w:after="0" w:line="256" w:lineRule="auto"/>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shall be made either (i) in cash; (ii) by delivering shares of the Company’s Class A Common Stock which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beneficially owned by the Director, the spouse of the Director, or both of them, for a period of at least six months prior to the time of exercise (“Delivered Stock”); (iii) by surrendering to the Company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179" w:lineRule="exact"/>
        <w:rPr>
          <w:rFonts w:ascii="Arial" w:cs="Arial" w:eastAsia="Arial" w:hAnsi="Arial"/>
          <w:sz w:val="18"/>
          <w:szCs w:val="18"/>
          <w:b w:val="1"/>
          <w:bCs w:val="1"/>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expire ten years after the date on which this Option was granted.</w:t>
      </w:r>
    </w:p>
    <w:p>
      <w:pPr>
        <w:spacing w:after="0" w:line="211" w:lineRule="exact"/>
        <w:rPr>
          <w:rFonts w:ascii="Arial" w:cs="Arial" w:eastAsia="Arial" w:hAnsi="Arial"/>
          <w:sz w:val="18"/>
          <w:szCs w:val="18"/>
          <w:b w:val="1"/>
          <w:bCs w:val="1"/>
          <w:color w:val="auto"/>
        </w:rPr>
      </w:pPr>
    </w:p>
    <w:p>
      <w:pPr>
        <w:jc w:val="both"/>
        <w:ind w:left="460" w:hanging="452"/>
        <w:spacing w:after="0" w:line="293" w:lineRule="auto"/>
        <w:tabs>
          <w:tab w:leader="none" w:pos="46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require payment of or withhold any tax which it believes is payable as a result of the exercise of this Option,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151" w:lineRule="exact"/>
        <w:rPr>
          <w:rFonts w:ascii="Arial" w:cs="Arial" w:eastAsia="Arial" w:hAnsi="Arial"/>
          <w:sz w:val="16"/>
          <w:szCs w:val="16"/>
          <w:b w:val="1"/>
          <w:bCs w:val="1"/>
          <w:color w:val="auto"/>
        </w:rPr>
      </w:pPr>
    </w:p>
    <w:p>
      <w:pPr>
        <w:jc w:val="both"/>
        <w:ind w:left="460" w:hanging="452"/>
        <w:spacing w:after="0" w:line="320" w:lineRule="auto"/>
        <w:tabs>
          <w:tab w:leader="none" w:pos="46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Method of Valuation of Stock</w:t>
      </w:r>
      <w:r>
        <w:rPr>
          <w:rFonts w:ascii="Arial" w:cs="Arial" w:eastAsia="Arial" w:hAnsi="Arial"/>
          <w:sz w:val="15"/>
          <w:szCs w:val="15"/>
          <w:color w:val="auto"/>
        </w:rPr>
        <w:t>. The “Fair Market Value” of the Class A Common Stock of the Company on any date shall mean, if the stock is then listed</w:t>
      </w:r>
      <w:r>
        <w:rPr>
          <w:rFonts w:ascii="Arial" w:cs="Arial" w:eastAsia="Arial" w:hAnsi="Arial"/>
          <w:sz w:val="15"/>
          <w:szCs w:val="15"/>
          <w:b w:val="1"/>
          <w:bCs w:val="1"/>
          <w:color w:val="auto"/>
        </w:rPr>
        <w:t xml:space="preserve"> </w:t>
      </w:r>
      <w:r>
        <w:rPr>
          <w:rFonts w:ascii="Arial" w:cs="Arial" w:eastAsia="Arial" w:hAnsi="Arial"/>
          <w:sz w:val="15"/>
          <w:szCs w:val="15"/>
          <w:color w:val="auto"/>
        </w:rPr>
        <w:t>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ectPr>
          <w:pgSz w:w="11900" w:h="16838" w:orient="portrait"/>
          <w:cols w:equalWidth="0" w:num="1">
            <w:col w:w="11420"/>
          </w:cols>
          <w:pgMar w:left="240" w:top="280" w:right="239" w:bottom="1440" w:gutter="0" w:footer="0" w:header="0"/>
        </w:sectPr>
      </w:pPr>
    </w:p>
    <w:bookmarkStart w:id="109" w:name="page110"/>
    <w:bookmarkEnd w:id="109"/>
    <w:p>
      <w:pPr>
        <w:jc w:val="both"/>
        <w:ind w:left="452" w:hanging="452"/>
        <w:spacing w:after="0" w:line="258" w:lineRule="auto"/>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subject to the terms of the Corporation’s recoupment, clawback or similar policy as it may be in effect from time to time,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76" w:lineRule="exact"/>
        <w:rPr>
          <w:rFonts w:ascii="Arial" w:cs="Arial" w:eastAsia="Arial" w:hAnsi="Arial"/>
          <w:sz w:val="18"/>
          <w:szCs w:val="18"/>
          <w:b w:val="1"/>
          <w:bCs w:val="1"/>
          <w:color w:val="auto"/>
        </w:rPr>
      </w:pPr>
    </w:p>
    <w:p>
      <w:pPr>
        <w:jc w:val="both"/>
        <w:ind w:left="452" w:hanging="452"/>
        <w:spacing w:after="0" w:line="262" w:lineRule="auto"/>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Director nor his heirs nor his personal representative shall have any of the rights or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of a stockholder of the Company in respect of any of the shares issuable upon the exercise of the Option herein granted, unless and until certificates representing such shares shall have been issued.</w:t>
      </w:r>
    </w:p>
    <w:p>
      <w:pPr>
        <w:spacing w:after="0" w:line="172" w:lineRule="exact"/>
        <w:rPr>
          <w:rFonts w:ascii="Arial" w:cs="Arial" w:eastAsia="Arial" w:hAnsi="Arial"/>
          <w:sz w:val="18"/>
          <w:szCs w:val="18"/>
          <w:b w:val="1"/>
          <w:bCs w:val="1"/>
          <w:color w:val="auto"/>
        </w:rPr>
      </w:pPr>
    </w:p>
    <w:p>
      <w:pPr>
        <w:ind w:left="452" w:right="20" w:hanging="452"/>
        <w:spacing w:after="0" w:line="275" w:lineRule="auto"/>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not be transferable by the Director other than by his will or by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descent and distribution and shall be exercisable during his lifetime only by him.</w:t>
      </w:r>
    </w:p>
    <w:p>
      <w:pPr>
        <w:spacing w:after="0" w:line="160" w:lineRule="exact"/>
        <w:rPr>
          <w:rFonts w:ascii="Arial" w:cs="Arial" w:eastAsia="Arial" w:hAnsi="Arial"/>
          <w:sz w:val="18"/>
          <w:szCs w:val="18"/>
          <w:b w:val="1"/>
          <w:bCs w:val="1"/>
          <w:color w:val="auto"/>
        </w:rPr>
      </w:pPr>
    </w:p>
    <w:p>
      <w:pPr>
        <w:jc w:val="both"/>
        <w:ind w:left="452" w:hanging="452"/>
        <w:spacing w:after="0" w:line="262" w:lineRule="auto"/>
        <w:tabs>
          <w:tab w:leader="none" w:pos="4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herein provided, the Option herein granted and the rights and privileges pertaining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shall not be transferred, assigned, pledged or hypothecated in any way (whether by operation of law or otherwise) and shall not be subject to execution, attachment or similar process.</w:t>
      </w:r>
    </w:p>
    <w:p>
      <w:pPr>
        <w:spacing w:after="0" w:line="172" w:lineRule="exact"/>
        <w:rPr>
          <w:rFonts w:ascii="Arial" w:cs="Arial" w:eastAsia="Arial" w:hAnsi="Arial"/>
          <w:sz w:val="18"/>
          <w:szCs w:val="18"/>
          <w:b w:val="1"/>
          <w:bCs w:val="1"/>
          <w:color w:val="auto"/>
        </w:rPr>
      </w:pPr>
    </w:p>
    <w:p>
      <w:pPr>
        <w:jc w:val="both"/>
        <w:ind w:left="452" w:hanging="452"/>
        <w:spacing w:after="0" w:line="301" w:lineRule="auto"/>
        <w:tabs>
          <w:tab w:leader="none" w:pos="45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Stock</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there are any changes in the Class A Common Stock of the Company through merger, consolidation,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stock 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143" w:lineRule="exact"/>
        <w:rPr>
          <w:rFonts w:ascii="Arial" w:cs="Arial" w:eastAsia="Arial" w:hAnsi="Arial"/>
          <w:sz w:val="16"/>
          <w:szCs w:val="16"/>
          <w:b w:val="1"/>
          <w:bCs w:val="1"/>
          <w:color w:val="auto"/>
        </w:rPr>
      </w:pPr>
    </w:p>
    <w:p>
      <w:pPr>
        <w:jc w:val="both"/>
        <w:ind w:left="452" w:hanging="452"/>
        <w:spacing w:after="0" w:line="289" w:lineRule="auto"/>
        <w:tabs>
          <w:tab w:leader="none" w:pos="45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Dissolution or Merger</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contained herein to the contrary notwithstanding, upon the dissolution or liquidation of the Company, or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153" w:lineRule="exact"/>
        <w:rPr>
          <w:rFonts w:ascii="Arial" w:cs="Arial" w:eastAsia="Arial" w:hAnsi="Arial"/>
          <w:sz w:val="16"/>
          <w:szCs w:val="16"/>
          <w:b w:val="1"/>
          <w:bCs w:val="1"/>
          <w:color w:val="auto"/>
        </w:rPr>
      </w:pPr>
    </w:p>
    <w:p>
      <w:pPr>
        <w:jc w:val="both"/>
        <w:ind w:left="452" w:hanging="452"/>
        <w:spacing w:after="0" w:line="301" w:lineRule="auto"/>
        <w:tabs>
          <w:tab w:leader="none" w:pos="45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to be given to the Company under the terms of this Agreement shall be addressed to the Company in care of its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ectPr>
          <w:pgSz w:w="11900" w:h="16838" w:orient="portrait"/>
          <w:cols w:equalWidth="0" w:num="1">
            <w:col w:w="11412"/>
          </w:cols>
          <w:pgMar w:left="248" w:top="274" w:right="239" w:bottom="1440" w:gutter="0" w:footer="0" w:header="0"/>
        </w:sectPr>
      </w:pPr>
    </w:p>
    <w:bookmarkStart w:id="110" w:name="page111"/>
    <w:bookmarkEnd w:id="110"/>
    <w:p>
      <w:pPr>
        <w:jc w:val="both"/>
        <w:ind w:left="452" w:hanging="452"/>
        <w:spacing w:after="0" w:line="258" w:lineRule="auto"/>
        <w:tabs>
          <w:tab w:leader="none" w:pos="452"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Plan Controlling</w:t>
      </w:r>
      <w:r>
        <w:rPr>
          <w:rFonts w:ascii="Arial" w:cs="Arial" w:eastAsia="Arial" w:hAnsi="Arial"/>
          <w:sz w:val="18"/>
          <w:szCs w:val="18"/>
          <w:color w:val="auto"/>
        </w:rPr>
        <w:t>. This Option is subject in all respects to the provisions of the Plan. In the event of any conflict between any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Director acknowledges receipt of a copy of the Plan.</w:t>
      </w:r>
    </w:p>
    <w:p>
      <w:pPr>
        <w:spacing w:after="0" w:line="176" w:lineRule="exact"/>
        <w:rPr>
          <w:rFonts w:ascii="Arial" w:cs="Arial" w:eastAsia="Arial" w:hAnsi="Arial"/>
          <w:sz w:val="18"/>
          <w:szCs w:val="18"/>
          <w:b w:val="1"/>
          <w:bCs w:val="1"/>
          <w:color w:val="auto"/>
        </w:rPr>
      </w:pPr>
    </w:p>
    <w:p>
      <w:pPr>
        <w:ind w:left="452" w:right="2780" w:hanging="452"/>
        <w:spacing w:after="0" w:line="519" w:lineRule="auto"/>
        <w:tabs>
          <w:tab w:leader="none" w:pos="441"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Wisconsin Contract</w:t>
      </w:r>
      <w:r>
        <w:rPr>
          <w:rFonts w:ascii="Arial" w:cs="Arial" w:eastAsia="Arial" w:hAnsi="Arial"/>
          <w:sz w:val="16"/>
          <w:szCs w:val="16"/>
          <w:color w:val="auto"/>
        </w:rPr>
        <w:t>. This Option has been granted in Wisconsin and shall be construed under the laws of that state.</w:t>
      </w:r>
      <w:r>
        <w:rPr>
          <w:rFonts w:ascii="Arial" w:cs="Arial" w:eastAsia="Arial" w:hAnsi="Arial"/>
          <w:sz w:val="16"/>
          <w:szCs w:val="16"/>
          <w:b w:val="1"/>
          <w:bCs w:val="1"/>
          <w:color w:val="auto"/>
        </w:rPr>
        <w:t xml:space="preserve"> </w:t>
      </w:r>
      <w:r>
        <w:rPr>
          <w:rFonts w:ascii="Arial" w:cs="Arial" w:eastAsia="Arial" w:hAnsi="Arial"/>
          <w:sz w:val="16"/>
          <w:szCs w:val="16"/>
          <w:color w:val="auto"/>
        </w:rPr>
        <w:t>IN WITNESS WHEREOF, the Corporation has granted this Option as of the day and year first above written.</w:t>
      </w:r>
    </w:p>
    <w:p>
      <w:pPr>
        <w:spacing w:after="0" w:line="1"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BRADY CORPORATION</w:t>
      </w:r>
    </w:p>
    <w:p>
      <w:pPr>
        <w:spacing w:after="0" w:line="23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52"/>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6985</wp:posOffset>
            </wp:positionV>
            <wp:extent cx="25469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14"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DIRECTOR’S ACCEPTANCE</w:t>
      </w:r>
    </w:p>
    <w:p>
      <w:pPr>
        <w:spacing w:after="0" w:line="177" w:lineRule="exact"/>
        <w:rPr>
          <w:sz w:val="20"/>
          <w:szCs w:val="20"/>
          <w:color w:val="auto"/>
        </w:rPr>
      </w:pPr>
    </w:p>
    <w:p>
      <w:pPr>
        <w:ind w:left="452"/>
        <w:spacing w:after="0"/>
        <w:tabs>
          <w:tab w:leader="none" w:pos="2332"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hereby accept the foregoing Option award and agree to the terms and conditions thereof.</w:t>
      </w:r>
    </w:p>
    <w:p>
      <w:pPr>
        <w:spacing w:after="0" w:line="206"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DIRECTOR:</w:t>
      </w:r>
    </w:p>
    <w:p>
      <w:pPr>
        <w:spacing w:after="0" w:line="23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6985</wp:posOffset>
            </wp:positionV>
            <wp:extent cx="22555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55520" cy="8890"/>
                    </a:xfrm>
                    <a:prstGeom prst="rect">
                      <a:avLst/>
                    </a:prstGeom>
                    <a:noFill/>
                  </pic:spPr>
                </pic:pic>
              </a:graphicData>
            </a:graphic>
          </wp:anchor>
        </w:drawing>
        <w:drawing>
          <wp:anchor simplePos="0" relativeHeight="251657728" behindDoc="1" locked="0" layoutInCell="0" allowOverlap="1">
            <wp:simplePos x="0" y="0"/>
            <wp:positionH relativeFrom="column">
              <wp:posOffset>4991100</wp:posOffset>
            </wp:positionH>
            <wp:positionV relativeFrom="paragraph">
              <wp:posOffset>-129540</wp:posOffset>
            </wp:positionV>
            <wp:extent cx="22555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ectPr>
          <w:pgSz w:w="11900" w:h="16838" w:orient="portrait"/>
          <w:cols w:equalWidth="0" w:num="1">
            <w:col w:w="11412"/>
          </w:cols>
          <w:pgMar w:left="248" w:top="274" w:right="239" w:bottom="1440" w:gutter="0" w:footer="0" w:header="0"/>
        </w:sectPr>
      </w:pPr>
    </w:p>
    <w:bookmarkStart w:id="111" w:name="page112"/>
    <w:bookmarkEnd w:id="111"/>
    <w:p>
      <w:pPr>
        <w:ind w:left="10220"/>
        <w:spacing w:after="0"/>
        <w:rPr>
          <w:sz w:val="20"/>
          <w:szCs w:val="20"/>
          <w:color w:val="auto"/>
        </w:rPr>
      </w:pPr>
      <w:r>
        <w:rPr>
          <w:rFonts w:ascii="Arial" w:cs="Arial" w:eastAsia="Arial" w:hAnsi="Arial"/>
          <w:sz w:val="16"/>
          <w:szCs w:val="16"/>
          <w:b w:val="1"/>
          <w:bCs w:val="1"/>
          <w:color w:val="auto"/>
        </w:rPr>
        <w:t>EXHIBIT 10.46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16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Upon management’s recommendation, the Management Development and Compensation Committee (the “Committee”) of the Brady Corporation Board of Directors has awarded to Stephen Millar (“Employee”) a restricted stock unit award effective September 21, 2012 pursuant to the terms of the 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47"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Units</w:t>
      </w:r>
    </w:p>
    <w:p>
      <w:pPr>
        <w:spacing w:after="0" w:line="96"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Restricted Stock Unit Award applies to 10,000 shares of the presently authorized Class A Nonvoting Common Stock of the Corporation, $.01 par value (the “Restricted Stock Units”). The Restricted Stock Units granted under this Agreement are units that will be reflected in a book account maintained by the Corporation until they become vested or have been forfeited.</w:t>
      </w:r>
    </w:p>
    <w:p>
      <w:pPr>
        <w:spacing w:after="0" w:line="174" w:lineRule="exact"/>
        <w:rPr>
          <w:rFonts w:ascii="Arial" w:cs="Arial" w:eastAsia="Arial" w:hAnsi="Arial"/>
          <w:sz w:val="18"/>
          <w:szCs w:val="18"/>
          <w:b w:val="1"/>
          <w:bCs w:val="1"/>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Requirements</w:t>
      </w:r>
    </w:p>
    <w:p>
      <w:pPr>
        <w:spacing w:after="0" w:line="96"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conditions set forth in Section 2(a) below:</w:t>
      </w:r>
    </w:p>
    <w:p>
      <w:pPr>
        <w:spacing w:after="0" w:line="50" w:lineRule="exact"/>
        <w:rPr>
          <w:rFonts w:ascii="Arial" w:cs="Arial" w:eastAsia="Arial" w:hAnsi="Arial"/>
          <w:sz w:val="18"/>
          <w:szCs w:val="18"/>
          <w:b w:val="1"/>
          <w:bCs w:val="1"/>
          <w:color w:val="auto"/>
        </w:rPr>
      </w:pPr>
    </w:p>
    <w:p>
      <w:pPr>
        <w:jc w:val="both"/>
        <w:ind w:left="900" w:hanging="446"/>
        <w:spacing w:after="0" w:line="306" w:lineRule="auto"/>
        <w:tabs>
          <w:tab w:leader="none" w:pos="900"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Vesting (Earnings per Share)</w:t>
      </w:r>
      <w:r>
        <w:rPr>
          <w:rFonts w:ascii="Arial" w:cs="Arial" w:eastAsia="Arial" w:hAnsi="Arial"/>
          <w:sz w:val="16"/>
          <w:szCs w:val="16"/>
          <w:color w:val="auto"/>
        </w:rPr>
        <w:t>. The vesting requirement under this Section 2(a) shall be satisfied only if (i) the Earnings Per Share for the Corporation’s fiscal years ending July 31, 2013 or July 31, 2014 are at least $2.68 (per the fiscal year audit accepted by the Audit Committee) and (ii) the Employee remains continuously employed by the Corporation (or an Affiliate) from the date hereof until July 31, 2014.</w:t>
      </w:r>
    </w:p>
    <w:p>
      <w:pPr>
        <w:spacing w:after="0" w:line="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Shares</w:t>
      </w:r>
      <w:r>
        <w:rPr>
          <w:rFonts w:ascii="Arial" w:cs="Arial" w:eastAsia="Arial" w:hAnsi="Arial"/>
          <w:sz w:val="18"/>
          <w:szCs w:val="18"/>
          <w:color w:val="auto"/>
        </w:rPr>
        <w:t>. Except as provided in Section 3, if the Employee terminates employment prior to the satisfaction of the vesting requirements set forth in Section 2(a) above, the Restricted Stock Units shall immediately be forfeited. The period of time during which the Restricted Stock Units covered by this Award are forfeitable is referred to as the “Restricted Period.”</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Accelerated Vesting.</w:t>
      </w:r>
    </w:p>
    <w:p>
      <w:pPr>
        <w:spacing w:after="0" w:line="96" w:lineRule="exact"/>
        <w:rPr>
          <w:rFonts w:ascii="Arial" w:cs="Arial" w:eastAsia="Arial" w:hAnsi="Arial"/>
          <w:sz w:val="18"/>
          <w:szCs w:val="18"/>
          <w:b w:val="1"/>
          <w:bCs w:val="1"/>
          <w:color w:val="auto"/>
        </w:rPr>
      </w:pPr>
    </w:p>
    <w:p>
      <w:pPr>
        <w:ind w:left="900" w:right="20" w:hanging="446"/>
        <w:spacing w:after="0" w:line="332" w:lineRule="auto"/>
        <w:tabs>
          <w:tab w:leader="none" w:pos="9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25"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pacing w:after="0" w:line="51"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ectPr>
          <w:pgSz w:w="11900" w:h="16838" w:orient="portrait"/>
          <w:cols w:equalWidth="0" w:num="1">
            <w:col w:w="11420"/>
          </w:cols>
          <w:pgMar w:left="240" w:top="125" w:right="239" w:bottom="1440" w:gutter="0" w:footer="0" w:header="0"/>
        </w:sectPr>
      </w:pPr>
    </w:p>
    <w:bookmarkStart w:id="112" w:name="page113"/>
    <w:bookmarkEnd w:id="112"/>
    <w:p>
      <w:pPr>
        <w:jc w:val="both"/>
        <w:ind w:left="452"/>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37" w:lineRule="exact"/>
        <w:rPr>
          <w:sz w:val="20"/>
          <w:szCs w:val="20"/>
          <w:color w:val="auto"/>
        </w:rPr>
      </w:pPr>
    </w:p>
    <w:p>
      <w:pPr>
        <w:jc w:val="both"/>
        <w:ind w:left="452"/>
        <w:spacing w:after="0" w:line="291" w:lineRule="auto"/>
        <w:rPr>
          <w:sz w:val="20"/>
          <w:szCs w:val="20"/>
          <w:color w:val="auto"/>
        </w:rPr>
      </w:pPr>
      <w:r>
        <w:rPr>
          <w:rFonts w:ascii="Arial" w:cs="Arial" w:eastAsia="Arial" w:hAnsi="Arial"/>
          <w:sz w:val="16"/>
          <w:szCs w:val="16"/>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39" w:lineRule="exact"/>
        <w:rPr>
          <w:sz w:val="20"/>
          <w:szCs w:val="20"/>
          <w:color w:val="auto"/>
        </w:rPr>
      </w:pPr>
    </w:p>
    <w:p>
      <w:pPr>
        <w:jc w:val="both"/>
        <w:ind w:left="892" w:hanging="446"/>
        <w:spacing w:after="0" w:line="256" w:lineRule="auto"/>
        <w:tabs>
          <w:tab w:leader="none" w:pos="8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62"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66" w:lineRule="exact"/>
        <w:rPr>
          <w:rFonts w:ascii="Arial" w:cs="Arial" w:eastAsia="Arial" w:hAnsi="Arial"/>
          <w:sz w:val="18"/>
          <w:szCs w:val="18"/>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Account</w:t>
      </w:r>
    </w:p>
    <w:p>
      <w:pPr>
        <w:spacing w:after="0" w:line="96" w:lineRule="exact"/>
        <w:rPr>
          <w:rFonts w:ascii="Arial" w:cs="Arial" w:eastAsia="Arial" w:hAnsi="Arial"/>
          <w:sz w:val="18"/>
          <w:szCs w:val="18"/>
          <w:b w:val="1"/>
          <w:bCs w:val="1"/>
          <w:color w:val="auto"/>
        </w:rPr>
      </w:pPr>
    </w:p>
    <w:p>
      <w:pPr>
        <w:jc w:val="both"/>
        <w:ind w:left="45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Corporation shall cause an account (the “Dividend Account”) to be established and maintained as part of the records of the Corporation to evidence the aggregate cash dividend equivalents accrued by the Employee from time to time under this Section. If the Corporation pays a cash dividend on the Corporation Stock, the Employee shall accrue in his or her Dividend Account a cash dividend equivalent with respect to the Restricted Stock Units covered by this Award as of the record date for the dividend, with each Restricted Stock Unit being equivalent to one share of Corporation Stock. No interest shall accrue on any amounts reflected in the Dividend Account. Subject to, and as promptly as practicable following, the vesting of the Restricted Stock Units, the Corporation shall pay an amount in cash (without interest and subject to applicable withholding taxes) to the Employee equal to the aggregate cash dividend equivalents accrued in the Employee’s Dividend Account. In the event that the Employee forfeits Employee’s rights to the Restricted Stock Units, the Employee also shall be deemed to have forfeited Employee’s rights to any cash dividend equivalents accrued in the Employee’s Dividend Account.</w:t>
      </w:r>
    </w:p>
    <w:p>
      <w:pPr>
        <w:spacing w:after="0" w:line="152" w:lineRule="exact"/>
        <w:rPr>
          <w:rFonts w:ascii="Arial" w:cs="Arial" w:eastAsia="Arial" w:hAnsi="Arial"/>
          <w:sz w:val="18"/>
          <w:szCs w:val="18"/>
          <w:b w:val="1"/>
          <w:bCs w:val="1"/>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Restricted Stock Units.</w:t>
      </w:r>
    </w:p>
    <w:p>
      <w:pPr>
        <w:spacing w:after="0" w:line="96"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19" w:lineRule="exact"/>
        <w:rPr>
          <w:rFonts w:ascii="Arial" w:cs="Arial" w:eastAsia="Arial" w:hAnsi="Arial"/>
          <w:sz w:val="18"/>
          <w:szCs w:val="18"/>
          <w:b w:val="1"/>
          <w:bCs w:val="1"/>
          <w:color w:val="auto"/>
        </w:rPr>
      </w:pPr>
    </w:p>
    <w:p>
      <w:pPr>
        <w:ind w:left="452" w:hanging="452"/>
        <w:spacing w:after="0"/>
        <w:tabs>
          <w:tab w:leader="none" w:pos="4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Restrictions</w:t>
      </w:r>
    </w:p>
    <w:p>
      <w:pPr>
        <w:spacing w:after="0" w:line="96" w:lineRule="exact"/>
        <w:rPr>
          <w:rFonts w:ascii="Arial" w:cs="Arial" w:eastAsia="Arial" w:hAnsi="Arial"/>
          <w:sz w:val="18"/>
          <w:szCs w:val="18"/>
          <w:b w:val="1"/>
          <w:bCs w:val="1"/>
          <w:color w:val="auto"/>
        </w:rPr>
      </w:pPr>
    </w:p>
    <w:p>
      <w:pPr>
        <w:jc w:val="both"/>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ectPr>
          <w:pgSz w:w="11900" w:h="16838" w:orient="portrait"/>
          <w:cols w:equalWidth="0" w:num="1">
            <w:col w:w="11412"/>
          </w:cols>
          <w:pgMar w:left="248" w:top="280" w:right="239" w:bottom="1440" w:gutter="0" w:footer="0" w:header="0"/>
        </w:sectPr>
      </w:pPr>
    </w:p>
    <w:bookmarkStart w:id="113" w:name="page114"/>
    <w:bookmarkEnd w:id="113"/>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Taxes</w:t>
      </w:r>
    </w:p>
    <w:p>
      <w:pPr>
        <w:spacing w:after="0" w:line="96" w:lineRule="exact"/>
        <w:rPr>
          <w:rFonts w:ascii="Arial" w:cs="Arial" w:eastAsia="Arial" w:hAnsi="Arial"/>
          <w:sz w:val="18"/>
          <w:szCs w:val="18"/>
          <w:b w:val="1"/>
          <w:bCs w:val="1"/>
          <w:color w:val="auto"/>
        </w:rPr>
      </w:pPr>
    </w:p>
    <w:p>
      <w:pPr>
        <w:jc w:val="both"/>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pacing w:after="0" w:line="154" w:lineRule="exact"/>
        <w:rPr>
          <w:rFonts w:ascii="Arial" w:cs="Arial" w:eastAsia="Arial" w:hAnsi="Arial"/>
          <w:sz w:val="18"/>
          <w:szCs w:val="18"/>
          <w:b w:val="1"/>
          <w:bCs w:val="1"/>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of Employee</w:t>
      </w:r>
    </w:p>
    <w:p>
      <w:pPr>
        <w:spacing w:after="0" w:line="96" w:lineRule="exact"/>
        <w:rPr>
          <w:rFonts w:ascii="Arial" w:cs="Arial" w:eastAsia="Arial" w:hAnsi="Arial"/>
          <w:sz w:val="18"/>
          <w:szCs w:val="18"/>
          <w:b w:val="1"/>
          <w:bCs w:val="1"/>
          <w:color w:val="auto"/>
        </w:rPr>
      </w:pPr>
    </w:p>
    <w:p>
      <w:pPr>
        <w:jc w:val="both"/>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Non-Solicitation and Non-Compete</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90" w:lineRule="exact"/>
        <w:rPr>
          <w:rFonts w:ascii="Arial" w:cs="Arial" w:eastAsia="Arial" w:hAnsi="Arial"/>
          <w:sz w:val="18"/>
          <w:szCs w:val="18"/>
          <w:b w:val="1"/>
          <w:bCs w:val="1"/>
          <w:color w:val="auto"/>
        </w:rPr>
      </w:pPr>
    </w:p>
    <w:p>
      <w:pPr>
        <w:jc w:val="both"/>
        <w:ind w:left="892" w:hanging="446"/>
        <w:spacing w:after="0" w:line="286" w:lineRule="auto"/>
        <w:tabs>
          <w:tab w:leader="none" w:pos="892" w:val="left"/>
        </w:tabs>
        <w:numPr>
          <w:ilvl w:val="1"/>
          <w:numId w:val="79"/>
        </w:numPr>
        <w:rPr>
          <w:rFonts w:ascii="Arial" w:cs="Arial" w:eastAsia="Arial" w:hAnsi="Arial"/>
          <w:sz w:val="16"/>
          <w:szCs w:val="16"/>
          <w:color w:val="auto"/>
        </w:rPr>
      </w:pPr>
      <w:r>
        <w:rPr>
          <w:rFonts w:ascii="Arial" w:cs="Arial" w:eastAsia="Arial" w:hAnsi="Arial"/>
          <w:sz w:val="16"/>
          <w:szCs w:val="16"/>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43" w:lineRule="exact"/>
        <w:rPr>
          <w:rFonts w:ascii="Arial" w:cs="Arial" w:eastAsia="Arial" w:hAnsi="Arial"/>
          <w:sz w:val="16"/>
          <w:szCs w:val="16"/>
          <w:color w:val="auto"/>
        </w:rPr>
      </w:pPr>
    </w:p>
    <w:p>
      <w:pPr>
        <w:ind w:left="1472" w:hanging="567"/>
        <w:spacing w:after="0" w:line="332" w:lineRule="auto"/>
        <w:tabs>
          <w:tab w:leader="none" w:pos="1472" w:val="left"/>
        </w:tabs>
        <w:numPr>
          <w:ilvl w:val="2"/>
          <w:numId w:val="79"/>
        </w:numPr>
        <w:rPr>
          <w:rFonts w:ascii="Arial" w:cs="Arial" w:eastAsia="Arial" w:hAnsi="Arial"/>
          <w:sz w:val="16"/>
          <w:szCs w:val="16"/>
          <w:color w:val="auto"/>
        </w:rPr>
      </w:pPr>
      <w:r>
        <w:rPr>
          <w:rFonts w:ascii="Arial" w:cs="Arial" w:eastAsia="Arial" w:hAnsi="Arial"/>
          <w:sz w:val="16"/>
          <w:szCs w:val="16"/>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4" w:lineRule="exact"/>
        <w:rPr>
          <w:rFonts w:ascii="Arial" w:cs="Arial" w:eastAsia="Arial" w:hAnsi="Arial"/>
          <w:sz w:val="16"/>
          <w:szCs w:val="16"/>
          <w:color w:val="auto"/>
        </w:rPr>
      </w:pPr>
    </w:p>
    <w:p>
      <w:pPr>
        <w:ind w:left="1472" w:hanging="567"/>
        <w:spacing w:after="0" w:line="268" w:lineRule="auto"/>
        <w:tabs>
          <w:tab w:leader="none" w:pos="1472" w:val="left"/>
        </w:tabs>
        <w:numPr>
          <w:ilvl w:val="2"/>
          <w:numId w:val="79"/>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50" w:lineRule="exact"/>
        <w:rPr>
          <w:rFonts w:ascii="Arial" w:cs="Arial" w:eastAsia="Arial" w:hAnsi="Arial"/>
          <w:sz w:val="18"/>
          <w:szCs w:val="18"/>
          <w:color w:val="auto"/>
        </w:rPr>
      </w:pPr>
    </w:p>
    <w:p>
      <w:pPr>
        <w:jc w:val="both"/>
        <w:ind w:left="1472" w:hanging="567"/>
        <w:spacing w:after="0" w:line="306" w:lineRule="auto"/>
        <w:tabs>
          <w:tab w:leader="none" w:pos="1472" w:val="left"/>
        </w:tabs>
        <w:numPr>
          <w:ilvl w:val="2"/>
          <w:numId w:val="79"/>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ectPr>
          <w:pgSz w:w="11900" w:h="16838" w:orient="portrait"/>
          <w:cols w:equalWidth="0" w:num="1">
            <w:col w:w="11412"/>
          </w:cols>
          <w:pgMar w:left="248" w:top="274" w:right="239" w:bottom="1440" w:gutter="0" w:footer="0" w:header="0"/>
        </w:sectPr>
      </w:pPr>
    </w:p>
    <w:bookmarkStart w:id="114" w:name="page115"/>
    <w:bookmarkEnd w:id="114"/>
    <w:p>
      <w:pPr>
        <w:jc w:val="both"/>
        <w:ind w:left="1026" w:hanging="567"/>
        <w:spacing w:after="0" w:line="259" w:lineRule="auto"/>
        <w:tabs>
          <w:tab w:leader="none" w:pos="1026" w:val="left"/>
        </w:tabs>
        <w:numPr>
          <w:ilvl w:val="1"/>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59" w:lineRule="exact"/>
        <w:rPr>
          <w:rFonts w:ascii="Arial" w:cs="Arial" w:eastAsia="Arial" w:hAnsi="Arial"/>
          <w:sz w:val="18"/>
          <w:szCs w:val="18"/>
          <w:color w:val="auto"/>
        </w:rPr>
      </w:pPr>
    </w:p>
    <w:p>
      <w:pPr>
        <w:jc w:val="both"/>
        <w:ind w:left="1026" w:hanging="567"/>
        <w:spacing w:after="0" w:line="259" w:lineRule="auto"/>
        <w:tabs>
          <w:tab w:leader="none" w:pos="1026" w:val="left"/>
        </w:tabs>
        <w:numPr>
          <w:ilvl w:val="1"/>
          <w:numId w:val="80"/>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59" w:lineRule="exact"/>
        <w:rPr>
          <w:rFonts w:ascii="Arial" w:cs="Arial" w:eastAsia="Arial" w:hAnsi="Arial"/>
          <w:sz w:val="18"/>
          <w:szCs w:val="18"/>
          <w:color w:val="auto"/>
        </w:rPr>
      </w:pPr>
    </w:p>
    <w:p>
      <w:pPr>
        <w:jc w:val="both"/>
        <w:ind w:left="446" w:hanging="446"/>
        <w:spacing w:after="0" w:line="255"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61" w:lineRule="exact"/>
        <w:rPr>
          <w:rFonts w:ascii="Arial" w:cs="Arial" w:eastAsia="Arial" w:hAnsi="Arial"/>
          <w:sz w:val="18"/>
          <w:szCs w:val="18"/>
          <w:color w:val="auto"/>
        </w:rPr>
      </w:pPr>
    </w:p>
    <w:p>
      <w:pPr>
        <w:jc w:val="both"/>
        <w:ind w:left="1026" w:hanging="567"/>
        <w:spacing w:after="0" w:line="259" w:lineRule="auto"/>
        <w:tabs>
          <w:tab w:leader="none" w:pos="1026" w:val="left"/>
        </w:tabs>
        <w:numPr>
          <w:ilvl w:val="1"/>
          <w:numId w:val="81"/>
        </w:numPr>
        <w:rPr>
          <w:rFonts w:ascii="Arial" w:cs="Arial" w:eastAsia="Arial" w:hAnsi="Arial"/>
          <w:sz w:val="18"/>
          <w:szCs w:val="18"/>
          <w:color w:val="auto"/>
        </w:rPr>
      </w:pPr>
      <w:r>
        <w:rPr>
          <w:rFonts w:ascii="Arial" w:cs="Arial" w:eastAsia="Arial" w:hAnsi="Arial"/>
          <w:sz w:val="18"/>
          <w:szCs w:val="18"/>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59" w:lineRule="exact"/>
        <w:rPr>
          <w:rFonts w:ascii="Arial" w:cs="Arial" w:eastAsia="Arial" w:hAnsi="Arial"/>
          <w:sz w:val="18"/>
          <w:szCs w:val="18"/>
          <w:color w:val="auto"/>
        </w:rPr>
      </w:pPr>
    </w:p>
    <w:p>
      <w:pPr>
        <w:jc w:val="both"/>
        <w:ind w:left="1026" w:hanging="567"/>
        <w:spacing w:after="0" w:line="254" w:lineRule="auto"/>
        <w:tabs>
          <w:tab w:leader="none" w:pos="1026"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63" w:lineRule="exact"/>
        <w:rPr>
          <w:sz w:val="20"/>
          <w:szCs w:val="20"/>
          <w:color w:val="auto"/>
        </w:rPr>
      </w:pPr>
    </w:p>
    <w:p>
      <w:pPr>
        <w:jc w:val="both"/>
        <w:ind w:left="466"/>
        <w:spacing w:after="0" w:line="306" w:lineRule="auto"/>
        <w:rPr>
          <w:sz w:val="20"/>
          <w:szCs w:val="20"/>
          <w:color w:val="auto"/>
        </w:rPr>
      </w:pPr>
      <w:r>
        <w:rPr>
          <w:rFonts w:ascii="Arial" w:cs="Arial" w:eastAsia="Arial" w:hAnsi="Arial"/>
          <w:sz w:val="16"/>
          <w:szCs w:val="16"/>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26" w:lineRule="exact"/>
        <w:rPr>
          <w:sz w:val="20"/>
          <w:szCs w:val="20"/>
          <w:color w:val="auto"/>
        </w:rPr>
      </w:pPr>
    </w:p>
    <w:p>
      <w:pPr>
        <w:jc w:val="both"/>
        <w:ind w:left="446" w:hanging="446"/>
        <w:spacing w:after="0" w:line="290" w:lineRule="auto"/>
        <w:tabs>
          <w:tab w:leader="none" w:pos="4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37" w:lineRule="exact"/>
        <w:rPr>
          <w:rFonts w:ascii="Arial" w:cs="Arial" w:eastAsia="Arial" w:hAnsi="Arial"/>
          <w:sz w:val="16"/>
          <w:szCs w:val="16"/>
          <w:color w:val="auto"/>
        </w:rPr>
      </w:pPr>
    </w:p>
    <w:p>
      <w:pPr>
        <w:jc w:val="both"/>
        <w:ind w:left="446" w:hanging="446"/>
        <w:spacing w:after="0" w:line="259" w:lineRule="auto"/>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ectPr>
          <w:pgSz w:w="11900" w:h="16838" w:orient="portrait"/>
          <w:cols w:equalWidth="0" w:num="1">
            <w:col w:w="10966"/>
          </w:cols>
          <w:pgMar w:left="694" w:top="280" w:right="239" w:bottom="1440" w:gutter="0" w:footer="0" w:header="0"/>
        </w:sectPr>
      </w:pPr>
    </w:p>
    <w:bookmarkStart w:id="115" w:name="page116"/>
    <w:bookmarkEnd w:id="115"/>
    <w:p>
      <w:pPr>
        <w:ind w:left="892" w:hanging="446"/>
        <w:spacing w:after="0"/>
        <w:tabs>
          <w:tab w:leader="none" w:pos="892"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agrees that the terms of this Section 9 shall survive the termination of Employee’s employment with the Company.</w:t>
      </w:r>
    </w:p>
    <w:p>
      <w:pPr>
        <w:spacing w:after="0" w:line="90" w:lineRule="exact"/>
        <w:rPr>
          <w:rFonts w:ascii="Arial" w:cs="Arial" w:eastAsia="Arial" w:hAnsi="Arial"/>
          <w:sz w:val="18"/>
          <w:szCs w:val="18"/>
          <w:color w:val="auto"/>
        </w:rPr>
      </w:pPr>
    </w:p>
    <w:p>
      <w:pPr>
        <w:jc w:val="both"/>
        <w:ind w:left="892" w:hanging="446"/>
        <w:spacing w:after="0" w:line="256" w:lineRule="auto"/>
        <w:tabs>
          <w:tab w:leader="none" w:pos="892" w:val="left"/>
        </w:tabs>
        <w:numPr>
          <w:ilvl w:val="1"/>
          <w:numId w:val="83"/>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77" w:lineRule="exact"/>
        <w:rPr>
          <w:rFonts w:ascii="Arial" w:cs="Arial" w:eastAsia="Arial" w:hAnsi="Arial"/>
          <w:sz w:val="18"/>
          <w:szCs w:val="18"/>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w:t>
      </w:r>
    </w:p>
    <w:p>
      <w:pPr>
        <w:spacing w:after="0" w:line="96" w:lineRule="exact"/>
        <w:rPr>
          <w:rFonts w:ascii="Arial" w:cs="Arial" w:eastAsia="Arial" w:hAnsi="Arial"/>
          <w:sz w:val="18"/>
          <w:szCs w:val="18"/>
          <w:b w:val="1"/>
          <w:bCs w:val="1"/>
          <w:color w:val="auto"/>
        </w:rPr>
      </w:pPr>
    </w:p>
    <w:p>
      <w:pPr>
        <w:jc w:val="both"/>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Shares</w:t>
      </w:r>
    </w:p>
    <w:p>
      <w:pPr>
        <w:spacing w:after="0" w:line="96" w:lineRule="exact"/>
        <w:rPr>
          <w:rFonts w:ascii="Arial" w:cs="Arial" w:eastAsia="Arial" w:hAnsi="Arial"/>
          <w:sz w:val="18"/>
          <w:szCs w:val="18"/>
          <w:b w:val="1"/>
          <w:bCs w:val="1"/>
          <w:color w:val="auto"/>
        </w:rPr>
      </w:pPr>
    </w:p>
    <w:p>
      <w:pPr>
        <w:jc w:val="both"/>
        <w:ind w:left="45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96" w:lineRule="exact"/>
        <w:rPr>
          <w:rFonts w:ascii="Arial" w:cs="Arial" w:eastAsia="Arial" w:hAnsi="Arial"/>
          <w:sz w:val="18"/>
          <w:szCs w:val="18"/>
          <w:b w:val="1"/>
          <w:bCs w:val="1"/>
          <w:color w:val="auto"/>
        </w:rPr>
      </w:pPr>
    </w:p>
    <w:p>
      <w:pPr>
        <w:jc w:val="both"/>
        <w:ind w:left="45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41" w:lineRule="exact"/>
        <w:rPr>
          <w:rFonts w:ascii="Arial" w:cs="Arial" w:eastAsia="Arial" w:hAnsi="Arial"/>
          <w:sz w:val="18"/>
          <w:szCs w:val="18"/>
          <w:b w:val="1"/>
          <w:bCs w:val="1"/>
          <w:color w:val="auto"/>
        </w:rPr>
      </w:pPr>
    </w:p>
    <w:p>
      <w:pPr>
        <w:ind w:left="452" w:hanging="452"/>
        <w:spacing w:after="0"/>
        <w:tabs>
          <w:tab w:leader="none" w:pos="4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Award has been granted in Wisconsin and shall be construed under the laws of that state.</w:t>
      </w:r>
    </w:p>
    <w:p>
      <w:pPr>
        <w:spacing w:after="0" w:line="17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 WITNESS WHEREOF, the Corporation has granted this Award as of the day and year first above written.</w:t>
      </w:r>
    </w:p>
    <w:p>
      <w:pPr>
        <w:spacing w:after="0" w:line="206" w:lineRule="exact"/>
        <w:rPr>
          <w:sz w:val="20"/>
          <w:szCs w:val="20"/>
          <w:color w:val="auto"/>
        </w:rPr>
      </w:pPr>
    </w:p>
    <w:p>
      <w:pPr>
        <w:ind w:left="6852"/>
        <w:spacing w:after="0"/>
        <w:rPr>
          <w:sz w:val="20"/>
          <w:szCs w:val="20"/>
          <w:color w:val="auto"/>
        </w:rPr>
      </w:pPr>
      <w:r>
        <w:rPr>
          <w:rFonts w:ascii="Arial" w:cs="Arial" w:eastAsia="Arial" w:hAnsi="Arial"/>
          <w:sz w:val="18"/>
          <w:szCs w:val="18"/>
          <w:b w:val="1"/>
          <w:bCs w:val="1"/>
          <w:color w:val="auto"/>
        </w:rPr>
        <w:t>BRADY CORPORATION</w:t>
      </w:r>
    </w:p>
    <w:p>
      <w:pPr>
        <w:spacing w:after="0" w:line="23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52"/>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6985</wp:posOffset>
            </wp:positionV>
            <wp:extent cx="2546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4699635</wp:posOffset>
            </wp:positionH>
            <wp:positionV relativeFrom="paragraph">
              <wp:posOffset>-129540</wp:posOffset>
            </wp:positionV>
            <wp:extent cx="2546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12"/>
          </w:cols>
          <w:pgMar w:left="248" w:top="280"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EMPLOYEE’S ACCEPTANCE</w:t>
            </w:r>
          </w:p>
        </w:tc>
        <w:tc>
          <w:tcPr>
            <w:tcW w:w="4500" w:type="dxa"/>
            <w:vAlign w:val="bottom"/>
            <w:gridSpan w:val="2"/>
          </w:tcPr>
          <w:p>
            <w:pPr>
              <w:spacing w:after="0"/>
              <w:rPr>
                <w:sz w:val="17"/>
                <w:szCs w:val="17"/>
                <w:color w:val="auto"/>
              </w:rPr>
            </w:pPr>
          </w:p>
        </w:tc>
      </w:tr>
      <w:tr>
        <w:trPr>
          <w:trHeight w:val="390"/>
        </w:trPr>
        <w:tc>
          <w:tcPr>
            <w:tcW w:w="1220" w:type="dxa"/>
            <w:vAlign w:val="bottom"/>
          </w:tcPr>
          <w:p>
            <w:pPr>
              <w:ind w:left="460"/>
              <w:spacing w:after="0"/>
              <w:rPr>
                <w:sz w:val="20"/>
                <w:szCs w:val="20"/>
                <w:color w:val="auto"/>
              </w:rPr>
            </w:pPr>
            <w:r>
              <w:rPr>
                <w:rFonts w:ascii="Arial" w:cs="Arial" w:eastAsia="Arial" w:hAnsi="Arial"/>
                <w:sz w:val="18"/>
                <w:szCs w:val="18"/>
                <w:color w:val="auto"/>
              </w:rPr>
              <w:t>I,</w:t>
            </w:r>
          </w:p>
        </w:tc>
        <w:tc>
          <w:tcPr>
            <w:tcW w:w="10200" w:type="dxa"/>
            <w:vAlign w:val="bottom"/>
            <w:gridSpan w:val="4"/>
          </w:tcPr>
          <w:p>
            <w:pPr>
              <w:ind w:left="380"/>
              <w:spacing w:after="0"/>
              <w:rPr>
                <w:sz w:val="20"/>
                <w:szCs w:val="20"/>
                <w:color w:val="auto"/>
              </w:rPr>
            </w:pPr>
            <w:r>
              <w:rPr>
                <w:rFonts w:ascii="Arial" w:cs="Arial" w:eastAsia="Arial" w:hAnsi="Arial"/>
                <w:sz w:val="18"/>
                <w:szCs w:val="18"/>
                <w:color w:val="auto"/>
                <w:w w:val="89"/>
              </w:rPr>
              <w:t>, hereby accept the foregoing Award and agree to the terms and conditions thereof, including the restrictions contained in Section 9 of this</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Agreement.</w:t>
            </w:r>
          </w:p>
        </w:tc>
        <w:tc>
          <w:tcPr>
            <w:tcW w:w="3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9"/>
        </w:trPr>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20" w:type="dxa"/>
            <w:vAlign w:val="bottom"/>
            <w:gridSpan w:val="3"/>
          </w:tcPr>
          <w:p>
            <w:pPr>
              <w:ind w:left="2360"/>
              <w:spacing w:after="0"/>
              <w:rPr>
                <w:sz w:val="20"/>
                <w:szCs w:val="20"/>
                <w:color w:val="auto"/>
              </w:rPr>
            </w:pPr>
            <w:r>
              <w:rPr>
                <w:rFonts w:ascii="Arial" w:cs="Arial" w:eastAsia="Arial" w:hAnsi="Arial"/>
                <w:sz w:val="18"/>
                <w:szCs w:val="18"/>
                <w:b w:val="1"/>
                <w:bCs w:val="1"/>
                <w:color w:val="auto"/>
              </w:rPr>
              <w:t>EMPLOYEE: STEPHEN MILLAR</w:t>
            </w:r>
          </w:p>
        </w:tc>
      </w:tr>
      <w:tr>
        <w:trPr>
          <w:trHeight w:val="432"/>
        </w:trPr>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20" w:type="dxa"/>
            <w:vAlign w:val="bottom"/>
            <w:gridSpan w:val="3"/>
          </w:tcPr>
          <w:p>
            <w:pPr>
              <w:ind w:left="2360"/>
              <w:spacing w:after="0"/>
              <w:rPr>
                <w:sz w:val="20"/>
                <w:szCs w:val="20"/>
                <w:color w:val="auto"/>
              </w:rPr>
            </w:pPr>
            <w:r>
              <w:rPr>
                <w:rFonts w:ascii="Arial" w:cs="Arial" w:eastAsia="Arial" w:hAnsi="Arial"/>
                <w:sz w:val="18"/>
                <w:szCs w:val="18"/>
                <w:color w:val="auto"/>
              </w:rPr>
              <w:t>Signature:</w:t>
            </w:r>
          </w:p>
        </w:tc>
      </w:tr>
      <w:tr>
        <w:trPr>
          <w:trHeight w:val="198"/>
        </w:trPr>
        <w:tc>
          <w:tcPr>
            <w:tcW w:w="12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360" w:type="dxa"/>
            <w:vAlign w:val="bottom"/>
            <w:gridSpan w:val="2"/>
          </w:tcPr>
          <w:p>
            <w:pPr>
              <w:ind w:left="2360"/>
              <w:spacing w:after="0" w:line="198" w:lineRule="exact"/>
              <w:rPr>
                <w:sz w:val="20"/>
                <w:szCs w:val="20"/>
                <w:color w:val="auto"/>
              </w:rPr>
            </w:pPr>
            <w:r>
              <w:rPr>
                <w:rFonts w:ascii="Arial" w:cs="Arial" w:eastAsia="Arial" w:hAnsi="Arial"/>
                <w:sz w:val="18"/>
                <w:szCs w:val="18"/>
                <w:color w:val="auto"/>
              </w:rPr>
              <w:t>Print Name:</w:t>
            </w:r>
          </w:p>
        </w:tc>
        <w:tc>
          <w:tcPr>
            <w:tcW w:w="3560" w:type="dxa"/>
            <w:vAlign w:val="bottom"/>
            <w:tcBorders>
              <w:top w:val="single" w:sz="8" w:color="auto"/>
              <w:bottom w:val="single" w:sz="8" w:color="auto"/>
            </w:tcBorders>
          </w:tcPr>
          <w:p>
            <w:pPr>
              <w:spacing w:after="0"/>
              <w:rPr>
                <w:sz w:val="17"/>
                <w:szCs w:val="17"/>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OF SUBSIDIARIES OF BRADY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July 31, 2012</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Voting</w:t>
            </w:r>
          </w:p>
        </w:tc>
        <w:tc>
          <w:tcPr>
            <w:tcW w:w="0" w:type="dxa"/>
            <w:vAlign w:val="bottom"/>
          </w:tcPr>
          <w:p>
            <w:pPr>
              <w:spacing w:after="0"/>
              <w:rPr>
                <w:sz w:val="1"/>
                <w:szCs w:val="1"/>
                <w:color w:val="auto"/>
              </w:rPr>
            </w:pPr>
          </w:p>
        </w:tc>
      </w:tr>
      <w:tr>
        <w:trPr>
          <w:trHeight w:val="162"/>
        </w:trPr>
        <w:tc>
          <w:tcPr>
            <w:tcW w:w="11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Name of Company</w:t>
            </w:r>
          </w:p>
        </w:tc>
        <w:tc>
          <w:tcPr>
            <w:tcW w:w="3580" w:type="dxa"/>
            <w:vAlign w:val="bottom"/>
            <w:vMerge w:val="restart"/>
          </w:tcPr>
          <w:p>
            <w:pPr>
              <w:spacing w:after="0"/>
              <w:rPr>
                <w:sz w:val="14"/>
                <w:szCs w:val="14"/>
                <w:color w:val="auto"/>
              </w:rPr>
            </w:pPr>
          </w:p>
        </w:tc>
        <w:tc>
          <w:tcPr>
            <w:tcW w:w="166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 (Country)</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3140" w:type="dxa"/>
            <w:vAlign w:val="bottom"/>
            <w:gridSpan w:val="3"/>
          </w:tcPr>
          <w:p>
            <w:pPr>
              <w:ind w:left="1660"/>
              <w:spacing w:after="0" w:line="148" w:lineRule="exact"/>
              <w:rPr>
                <w:sz w:val="20"/>
                <w:szCs w:val="20"/>
                <w:color w:val="auto"/>
              </w:rPr>
            </w:pPr>
            <w:r>
              <w:rPr>
                <w:rFonts w:ascii="Arial" w:cs="Arial" w:eastAsia="Arial" w:hAnsi="Arial"/>
                <w:sz w:val="14"/>
                <w:szCs w:val="14"/>
                <w:b w:val="1"/>
                <w:bCs w:val="1"/>
                <w:color w:val="auto"/>
              </w:rPr>
              <w:t>Of Incorporation</w:t>
            </w: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Brady Corporation</w:t>
            </w:r>
          </w:p>
        </w:tc>
        <w:tc>
          <w:tcPr>
            <w:tcW w:w="16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Wisconsin</w:t>
            </w: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2"/>
              </w:rPr>
              <w:t>Parent</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Tricor Direct, Inc.</w:t>
            </w:r>
          </w:p>
        </w:tc>
        <w:tc>
          <w:tcPr>
            <w:tcW w:w="3140" w:type="dxa"/>
            <w:vAlign w:val="bottom"/>
            <w:gridSpan w:val="3"/>
          </w:tcPr>
          <w:p>
            <w:pPr>
              <w:ind w:left="1660"/>
              <w:spacing w:after="0"/>
              <w:rPr>
                <w:sz w:val="20"/>
                <w:szCs w:val="20"/>
                <w:color w:val="auto"/>
              </w:rPr>
            </w:pPr>
            <w:r>
              <w:rPr>
                <w:rFonts w:ascii="Arial" w:cs="Arial" w:eastAsia="Arial" w:hAnsi="Arial"/>
                <w:sz w:val="18"/>
                <w:szCs w:val="18"/>
                <w:color w:val="auto"/>
              </w:rPr>
              <w:t>Delaware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Doing Business As:</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Seton</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Seton Name Plate Company</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D&amp;G Sign and Label</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Seton Identification Products</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Emedco</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Champion America</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DAWG, Inc.</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Worldmark of Wisconsin Inc.</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Delaware</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Brady Investment Co.</w:t>
            </w:r>
          </w:p>
        </w:tc>
        <w:tc>
          <w:tcPr>
            <w:tcW w:w="3140" w:type="dxa"/>
            <w:vAlign w:val="bottom"/>
            <w:gridSpan w:val="3"/>
          </w:tcPr>
          <w:p>
            <w:pPr>
              <w:ind w:left="1660"/>
              <w:spacing w:after="0"/>
              <w:rPr>
                <w:sz w:val="20"/>
                <w:szCs w:val="20"/>
                <w:color w:val="auto"/>
              </w:rPr>
            </w:pPr>
            <w:r>
              <w:rPr>
                <w:rFonts w:ascii="Arial" w:cs="Arial" w:eastAsia="Arial" w:hAnsi="Arial"/>
                <w:sz w:val="18"/>
                <w:szCs w:val="18"/>
                <w:color w:val="auto"/>
              </w:rPr>
              <w:t>Nevada</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AIO Acquisition Inc.</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Delaware</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Doing Business As: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All-In-One Products</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Personnel Concepts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Personnel Concepts Limited</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Personnel Concepts Ltd.</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PC Limited</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USA Printing &amp; Mailing</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Dual Core LLC</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Wisconsin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Doing Business As: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Identicard Systems Worldwide</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Brady People ID</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JAM Plastics</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PromoVision Palomino</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Temtec</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Stopware</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BIG Badges</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Brady Mexico Holding LLC</w:t>
            </w:r>
          </w:p>
        </w:tc>
        <w:tc>
          <w:tcPr>
            <w:tcW w:w="3140" w:type="dxa"/>
            <w:vAlign w:val="bottom"/>
            <w:gridSpan w:val="3"/>
          </w:tcPr>
          <w:p>
            <w:pPr>
              <w:ind w:left="1660"/>
              <w:spacing w:after="0"/>
              <w:rPr>
                <w:sz w:val="20"/>
                <w:szCs w:val="20"/>
                <w:color w:val="auto"/>
              </w:rPr>
            </w:pPr>
            <w:r>
              <w:rPr>
                <w:rFonts w:ascii="Arial" w:cs="Arial" w:eastAsia="Arial" w:hAnsi="Arial"/>
                <w:sz w:val="18"/>
                <w:szCs w:val="18"/>
                <w:color w:val="auto"/>
              </w:rPr>
              <w:t>Delaware</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Brady Precision Converting, LLC</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Wisconsin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Doing Business As Brady Medical</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Clement Communications, Inc.</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Pennsylvania</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Brady International Co.</w:t>
            </w:r>
          </w:p>
        </w:tc>
        <w:tc>
          <w:tcPr>
            <w:tcW w:w="3140" w:type="dxa"/>
            <w:vAlign w:val="bottom"/>
            <w:gridSpan w:val="3"/>
          </w:tcPr>
          <w:p>
            <w:pPr>
              <w:ind w:left="1660"/>
              <w:spacing w:after="0"/>
              <w:rPr>
                <w:sz w:val="20"/>
                <w:szCs w:val="20"/>
                <w:color w:val="auto"/>
              </w:rPr>
            </w:pPr>
            <w:r>
              <w:rPr>
                <w:rFonts w:ascii="Arial" w:cs="Arial" w:eastAsia="Arial" w:hAnsi="Arial"/>
                <w:sz w:val="18"/>
                <w:szCs w:val="18"/>
                <w:color w:val="auto"/>
              </w:rPr>
              <w:t>Wisconsin</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Brady Worldwide, Inc.</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Wisconsin</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tcPr>
          <w:p>
            <w:pPr>
              <w:ind w:left="440"/>
              <w:spacing w:after="0"/>
              <w:rPr>
                <w:sz w:val="20"/>
                <w:szCs w:val="20"/>
                <w:color w:val="auto"/>
              </w:rPr>
            </w:pPr>
            <w:r>
              <w:rPr>
                <w:rFonts w:ascii="Arial" w:cs="Arial" w:eastAsia="Arial" w:hAnsi="Arial"/>
                <w:sz w:val="18"/>
                <w:szCs w:val="18"/>
                <w:color w:val="auto"/>
              </w:rPr>
              <w:t>Also Doing Business As: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Brandon International</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Varitronic Systems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Sorbent Products Company</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860"/>
              <w:spacing w:after="0"/>
              <w:rPr>
                <w:sz w:val="20"/>
                <w:szCs w:val="20"/>
                <w:color w:val="auto"/>
              </w:rPr>
            </w:pPr>
            <w:r>
              <w:rPr>
                <w:rFonts w:ascii="Arial" w:cs="Arial" w:eastAsia="Arial" w:hAnsi="Arial"/>
                <w:sz w:val="18"/>
                <w:szCs w:val="18"/>
                <w:color w:val="auto"/>
              </w:rPr>
              <w:t>TISCOR</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Electromark</w:t>
            </w:r>
          </w:p>
        </w:tc>
        <w:tc>
          <w:tcPr>
            <w:tcW w:w="1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Brady Australia Holdings Pty. Ltd.</w:t>
            </w:r>
          </w:p>
        </w:tc>
        <w:tc>
          <w:tcPr>
            <w:tcW w:w="3140" w:type="dxa"/>
            <w:vAlign w:val="bottom"/>
            <w:gridSpan w:val="3"/>
          </w:tcPr>
          <w:p>
            <w:pPr>
              <w:ind w:left="1660"/>
              <w:spacing w:after="0"/>
              <w:rPr>
                <w:sz w:val="20"/>
                <w:szCs w:val="20"/>
                <w:color w:val="auto"/>
              </w:rPr>
            </w:pPr>
            <w:r>
              <w:rPr>
                <w:rFonts w:ascii="Arial" w:cs="Arial" w:eastAsia="Arial" w:hAnsi="Arial"/>
                <w:sz w:val="18"/>
                <w:szCs w:val="18"/>
                <w:color w:val="auto"/>
              </w:rPr>
              <w:t>Australia</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Brady Australia Pty. Ltd.</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Australia</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Seton Australia Pty. Ltd.</w:t>
            </w:r>
          </w:p>
        </w:tc>
        <w:tc>
          <w:tcPr>
            <w:tcW w:w="3140" w:type="dxa"/>
            <w:vAlign w:val="bottom"/>
            <w:gridSpan w:val="3"/>
          </w:tcPr>
          <w:p>
            <w:pPr>
              <w:ind w:left="1660"/>
              <w:spacing w:after="0"/>
              <w:rPr>
                <w:sz w:val="20"/>
                <w:szCs w:val="20"/>
                <w:color w:val="auto"/>
              </w:rPr>
            </w:pPr>
            <w:r>
              <w:rPr>
                <w:rFonts w:ascii="Arial" w:cs="Arial" w:eastAsia="Arial" w:hAnsi="Arial"/>
                <w:sz w:val="18"/>
                <w:szCs w:val="18"/>
                <w:color w:val="auto"/>
              </w:rPr>
              <w:t>Australia</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Accidental Health &amp; Safety Pty. Ltd.</w:t>
            </w:r>
          </w:p>
        </w:tc>
        <w:tc>
          <w:tcPr>
            <w:tcW w:w="314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Australia</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Trafalgar First Aid Pty. Ltd.</w:t>
            </w:r>
          </w:p>
        </w:tc>
        <w:tc>
          <w:tcPr>
            <w:tcW w:w="3140" w:type="dxa"/>
            <w:vAlign w:val="bottom"/>
            <w:gridSpan w:val="3"/>
          </w:tcPr>
          <w:p>
            <w:pPr>
              <w:ind w:left="1660"/>
              <w:spacing w:after="0"/>
              <w:rPr>
                <w:sz w:val="20"/>
                <w:szCs w:val="20"/>
                <w:color w:val="auto"/>
              </w:rPr>
            </w:pPr>
            <w:r>
              <w:rPr>
                <w:rFonts w:ascii="Arial" w:cs="Arial" w:eastAsia="Arial" w:hAnsi="Arial"/>
                <w:sz w:val="18"/>
                <w:szCs w:val="18"/>
                <w:color w:val="auto"/>
              </w:rPr>
              <w:t>Australia</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0220"/>
          </w:cols>
          <w:pgMar w:left="1440" w:top="125" w:right="239" w:bottom="1440" w:gutter="0" w:footer="0" w:header="0"/>
        </w:sectPr>
      </w:pPr>
    </w:p>
    <w:bookmarkStart w:id="118" w:name="page119"/>
    <w:bookmarkEnd w:id="1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Carroll Australasia Pty. Ltd.</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Australia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Scafftag Australia Pty. Ltd.</w:t>
            </w:r>
          </w:p>
        </w:tc>
        <w:tc>
          <w:tcPr>
            <w:tcW w:w="2720" w:type="dxa"/>
            <w:vAlign w:val="bottom"/>
          </w:tcPr>
          <w:p>
            <w:pPr>
              <w:ind w:left="1400"/>
              <w:spacing w:after="0"/>
              <w:rPr>
                <w:sz w:val="20"/>
                <w:szCs w:val="20"/>
                <w:color w:val="auto"/>
              </w:rPr>
            </w:pPr>
            <w:r>
              <w:rPr>
                <w:rFonts w:ascii="Arial" w:cs="Arial" w:eastAsia="Arial" w:hAnsi="Arial"/>
                <w:sz w:val="18"/>
                <w:szCs w:val="18"/>
                <w:color w:val="auto"/>
              </w:rPr>
              <w:t>Australia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Visisign Pty. Ltd.</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Australia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ID Warehouse Pty. Ltd.</w:t>
            </w:r>
          </w:p>
        </w:tc>
        <w:tc>
          <w:tcPr>
            <w:tcW w:w="2720" w:type="dxa"/>
            <w:vAlign w:val="bottom"/>
          </w:tcPr>
          <w:p>
            <w:pPr>
              <w:ind w:left="1400"/>
              <w:spacing w:after="0"/>
              <w:rPr>
                <w:sz w:val="20"/>
                <w:szCs w:val="20"/>
                <w:color w:val="auto"/>
              </w:rPr>
            </w:pPr>
            <w:r>
              <w:rPr>
                <w:rFonts w:ascii="Arial" w:cs="Arial" w:eastAsia="Arial" w:hAnsi="Arial"/>
                <w:sz w:val="18"/>
                <w:szCs w:val="18"/>
                <w:color w:val="auto"/>
              </w:rPr>
              <w:t>Australia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Mix Group Australasia Pty. Ltd.</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Australia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Transposafe Systems Belgium NV/SA</w:t>
            </w:r>
          </w:p>
        </w:tc>
        <w:tc>
          <w:tcPr>
            <w:tcW w:w="2720" w:type="dxa"/>
            <w:vAlign w:val="bottom"/>
          </w:tcPr>
          <w:p>
            <w:pPr>
              <w:ind w:left="1400"/>
              <w:spacing w:after="0"/>
              <w:rPr>
                <w:sz w:val="20"/>
                <w:szCs w:val="20"/>
                <w:color w:val="auto"/>
              </w:rPr>
            </w:pPr>
            <w:r>
              <w:rPr>
                <w:rFonts w:ascii="Arial" w:cs="Arial" w:eastAsia="Arial" w:hAnsi="Arial"/>
                <w:sz w:val="18"/>
                <w:szCs w:val="18"/>
                <w:color w:val="auto"/>
              </w:rPr>
              <w:t>Belgium</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W.H. Brady, N.V.</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Belgium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Stickolor Industria e Comércio de Auto Adesivos Ltda.</w:t>
            </w:r>
          </w:p>
        </w:tc>
        <w:tc>
          <w:tcPr>
            <w:tcW w:w="2720" w:type="dxa"/>
            <w:vAlign w:val="bottom"/>
          </w:tcPr>
          <w:p>
            <w:pPr>
              <w:ind w:left="1400"/>
              <w:spacing w:after="0"/>
              <w:rPr>
                <w:sz w:val="20"/>
                <w:szCs w:val="20"/>
                <w:color w:val="auto"/>
              </w:rPr>
            </w:pPr>
            <w:r>
              <w:rPr>
                <w:rFonts w:ascii="Arial" w:cs="Arial" w:eastAsia="Arial" w:hAnsi="Arial"/>
                <w:sz w:val="18"/>
                <w:szCs w:val="18"/>
                <w:color w:val="auto"/>
              </w:rPr>
              <w:t>Brazil</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W.H.B. do Brasil Ltda.</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Brazil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BRC Financial</w:t>
            </w:r>
          </w:p>
        </w:tc>
        <w:tc>
          <w:tcPr>
            <w:tcW w:w="2720" w:type="dxa"/>
            <w:vAlign w:val="bottom"/>
          </w:tcPr>
          <w:p>
            <w:pPr>
              <w:ind w:left="1400"/>
              <w:spacing w:after="0"/>
              <w:rPr>
                <w:sz w:val="20"/>
                <w:szCs w:val="20"/>
                <w:color w:val="auto"/>
              </w:rPr>
            </w:pPr>
            <w:r>
              <w:rPr>
                <w:rFonts w:ascii="Arial" w:cs="Arial" w:eastAsia="Arial" w:hAnsi="Arial"/>
                <w:sz w:val="18"/>
                <w:szCs w:val="18"/>
                <w:color w:val="auto"/>
              </w:rPr>
              <w:t>Canada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W.H.B. Identification Solutions Inc.</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Canada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Doing Business As:</w:t>
            </w: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Brady</w:t>
            </w: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ind w:left="860"/>
              <w:spacing w:after="0"/>
              <w:rPr>
                <w:sz w:val="20"/>
                <w:szCs w:val="20"/>
                <w:color w:val="auto"/>
              </w:rPr>
            </w:pPr>
            <w:r>
              <w:rPr>
                <w:rFonts w:ascii="Arial" w:cs="Arial" w:eastAsia="Arial" w:hAnsi="Arial"/>
                <w:sz w:val="18"/>
                <w:szCs w:val="18"/>
                <w:color w:val="auto"/>
              </w:rPr>
              <w:t>Identicam Systems</w:t>
            </w: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Seton</w:t>
            </w: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ind w:left="860"/>
              <w:spacing w:after="0"/>
              <w:rPr>
                <w:sz w:val="20"/>
                <w:szCs w:val="20"/>
                <w:color w:val="auto"/>
              </w:rPr>
            </w:pPr>
            <w:r>
              <w:rPr>
                <w:rFonts w:ascii="Arial" w:cs="Arial" w:eastAsia="Arial" w:hAnsi="Arial"/>
                <w:sz w:val="18"/>
                <w:szCs w:val="18"/>
                <w:color w:val="auto"/>
              </w:rPr>
              <w:t>Varitronics Canada</w:t>
            </w: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Brady Cayman Finance Company</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Cayman Islands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Brady Investment Management (Shanghai) Co., Ltd.</w:t>
            </w:r>
          </w:p>
        </w:tc>
        <w:tc>
          <w:tcPr>
            <w:tcW w:w="2720" w:type="dxa"/>
            <w:vAlign w:val="bottom"/>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(Wuxi) Co. Ltd.</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Brady (Beijing) Co. Ltd.</w:t>
            </w:r>
          </w:p>
        </w:tc>
        <w:tc>
          <w:tcPr>
            <w:tcW w:w="2720" w:type="dxa"/>
            <w:vAlign w:val="bottom"/>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Brady (Shenzhen) Co., Ltd.</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Brady Technology (Dongguan) Co., Ltd.</w:t>
            </w:r>
          </w:p>
        </w:tc>
        <w:tc>
          <w:tcPr>
            <w:tcW w:w="2720" w:type="dxa"/>
            <w:vAlign w:val="bottom"/>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Suzhou Dicel EMC Co., Ltd.</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Brady Technology (Langfang) Co., Ltd.</w:t>
            </w:r>
          </w:p>
        </w:tc>
        <w:tc>
          <w:tcPr>
            <w:tcW w:w="2720" w:type="dxa"/>
            <w:vAlign w:val="bottom"/>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Tradex Converting (Suzhou) Co., Ltd.</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Brady (Xiamen) Co., Ltd.</w:t>
            </w:r>
          </w:p>
        </w:tc>
        <w:tc>
          <w:tcPr>
            <w:tcW w:w="2720" w:type="dxa"/>
            <w:vAlign w:val="bottom"/>
          </w:tcPr>
          <w:p>
            <w:pPr>
              <w:ind w:left="1400"/>
              <w:spacing w:after="0"/>
              <w:rPr>
                <w:sz w:val="20"/>
                <w:szCs w:val="20"/>
                <w:color w:val="auto"/>
              </w:rPr>
            </w:pPr>
            <w:r>
              <w:rPr>
                <w:rFonts w:ascii="Arial" w:cs="Arial" w:eastAsia="Arial" w:hAnsi="Arial"/>
                <w:sz w:val="18"/>
                <w:szCs w:val="18"/>
                <w:color w:val="auto"/>
              </w:rPr>
              <w:t>China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Brady A/S</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Denmark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Braton Europe S.A.R.L</w:t>
            </w:r>
          </w:p>
        </w:tc>
        <w:tc>
          <w:tcPr>
            <w:tcW w:w="2720" w:type="dxa"/>
            <w:vAlign w:val="bottom"/>
          </w:tcPr>
          <w:p>
            <w:pPr>
              <w:ind w:left="1400"/>
              <w:spacing w:after="0"/>
              <w:rPr>
                <w:sz w:val="20"/>
                <w:szCs w:val="20"/>
                <w:color w:val="auto"/>
              </w:rPr>
            </w:pPr>
            <w:r>
              <w:rPr>
                <w:rFonts w:ascii="Arial" w:cs="Arial" w:eastAsia="Arial" w:hAnsi="Arial"/>
                <w:sz w:val="18"/>
                <w:szCs w:val="18"/>
                <w:color w:val="auto"/>
              </w:rPr>
              <w:t>France</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Brady Groupe S.A.S</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France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Doing Business As:</w:t>
            </w: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Seton</w:t>
            </w: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ind w:left="860"/>
              <w:spacing w:after="0"/>
              <w:rPr>
                <w:sz w:val="20"/>
                <w:szCs w:val="20"/>
                <w:color w:val="auto"/>
              </w:rPr>
            </w:pPr>
            <w:r>
              <w:rPr>
                <w:rFonts w:ascii="Arial" w:cs="Arial" w:eastAsia="Arial" w:hAnsi="Arial"/>
                <w:sz w:val="18"/>
                <w:szCs w:val="18"/>
                <w:color w:val="auto"/>
              </w:rPr>
              <w:t>Signals</w:t>
            </w: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BIG</w:t>
            </w: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Securimed S.A.S.</w:t>
            </w:r>
          </w:p>
        </w:tc>
        <w:tc>
          <w:tcPr>
            <w:tcW w:w="2720" w:type="dxa"/>
            <w:vAlign w:val="bottom"/>
          </w:tcPr>
          <w:p>
            <w:pPr>
              <w:ind w:left="1400"/>
              <w:spacing w:after="0"/>
              <w:rPr>
                <w:sz w:val="20"/>
                <w:szCs w:val="20"/>
                <w:color w:val="auto"/>
              </w:rPr>
            </w:pPr>
            <w:r>
              <w:rPr>
                <w:rFonts w:ascii="Arial" w:cs="Arial" w:eastAsia="Arial" w:hAnsi="Arial"/>
                <w:sz w:val="18"/>
                <w:szCs w:val="18"/>
                <w:color w:val="auto"/>
              </w:rPr>
              <w:t>France</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Brady GmbH</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Germany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Doing Business As:</w:t>
            </w: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Seton</w:t>
            </w: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ind w:left="860"/>
              <w:spacing w:after="0"/>
              <w:rPr>
                <w:sz w:val="20"/>
                <w:szCs w:val="20"/>
                <w:color w:val="auto"/>
              </w:rPr>
            </w:pPr>
            <w:r>
              <w:rPr>
                <w:rFonts w:ascii="Arial" w:cs="Arial" w:eastAsia="Arial" w:hAnsi="Arial"/>
                <w:sz w:val="18"/>
                <w:szCs w:val="18"/>
                <w:color w:val="auto"/>
              </w:rPr>
              <w:t>Balkhausen</w:t>
            </w:r>
          </w:p>
        </w:tc>
        <w:tc>
          <w:tcPr>
            <w:tcW w:w="27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Etimark</w:t>
            </w:r>
          </w:p>
        </w:tc>
        <w:tc>
          <w:tcPr>
            <w:tcW w:w="2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Brady Holdings GmbH &amp; Co. KG</w:t>
            </w:r>
          </w:p>
        </w:tc>
        <w:tc>
          <w:tcPr>
            <w:tcW w:w="2720" w:type="dxa"/>
            <w:vAlign w:val="bottom"/>
          </w:tcPr>
          <w:p>
            <w:pPr>
              <w:ind w:left="1400"/>
              <w:spacing w:after="0"/>
              <w:rPr>
                <w:sz w:val="20"/>
                <w:szCs w:val="20"/>
                <w:color w:val="auto"/>
              </w:rPr>
            </w:pPr>
            <w:r>
              <w:rPr>
                <w:rFonts w:ascii="Arial" w:cs="Arial" w:eastAsia="Arial" w:hAnsi="Arial"/>
                <w:sz w:val="18"/>
                <w:szCs w:val="18"/>
                <w:color w:val="auto"/>
              </w:rPr>
              <w:t>Germany</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Brady Holdings Verwaltungs GmbH</w:t>
            </w:r>
          </w:p>
        </w:tc>
        <w:tc>
          <w:tcPr>
            <w:tcW w:w="2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Germany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Transposafe Systems Deutschland GmbH</w:t>
            </w:r>
          </w:p>
        </w:tc>
        <w:tc>
          <w:tcPr>
            <w:tcW w:w="2720" w:type="dxa"/>
            <w:vAlign w:val="bottom"/>
          </w:tcPr>
          <w:p>
            <w:pPr>
              <w:ind w:left="1400"/>
              <w:spacing w:after="0"/>
              <w:rPr>
                <w:sz w:val="20"/>
                <w:szCs w:val="20"/>
                <w:color w:val="auto"/>
              </w:rPr>
            </w:pPr>
            <w:r>
              <w:rPr>
                <w:rFonts w:ascii="Arial" w:cs="Arial" w:eastAsia="Arial" w:hAnsi="Arial"/>
                <w:sz w:val="18"/>
                <w:szCs w:val="18"/>
                <w:color w:val="auto"/>
              </w:rPr>
              <w:t>Germany</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9019"/>
          </w:cols>
          <w:pgMar w:left="1440" w:top="288" w:right="1440" w:bottom="1440" w:gutter="0" w:footer="0" w:header="0"/>
        </w:sectPr>
      </w:pPr>
    </w:p>
    <w:bookmarkStart w:id="119" w:name="page120"/>
    <w:bookmarkEnd w:id="1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Quo-Luck Company Limited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Hong Kong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Bakee Metal Manufactory Company Limited</w:t>
            </w:r>
          </w:p>
        </w:tc>
        <w:tc>
          <w:tcPr>
            <w:tcW w:w="3240" w:type="dxa"/>
            <w:vAlign w:val="bottom"/>
          </w:tcPr>
          <w:p>
            <w:pPr>
              <w:ind w:left="1500"/>
              <w:spacing w:after="0"/>
              <w:rPr>
                <w:sz w:val="20"/>
                <w:szCs w:val="20"/>
                <w:color w:val="auto"/>
              </w:rPr>
            </w:pPr>
            <w:r>
              <w:rPr>
                <w:rFonts w:ascii="Arial" w:cs="Arial" w:eastAsia="Arial" w:hAnsi="Arial"/>
                <w:sz w:val="18"/>
                <w:szCs w:val="18"/>
                <w:color w:val="auto"/>
              </w:rPr>
              <w:t>Hong Kong</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Hong Kong Limited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Hong Kong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Company India Private Limited</w:t>
            </w:r>
          </w:p>
        </w:tc>
        <w:tc>
          <w:tcPr>
            <w:tcW w:w="3240" w:type="dxa"/>
            <w:vAlign w:val="bottom"/>
          </w:tcPr>
          <w:p>
            <w:pPr>
              <w:ind w:left="1500"/>
              <w:spacing w:after="0"/>
              <w:rPr>
                <w:sz w:val="20"/>
                <w:szCs w:val="20"/>
                <w:color w:val="auto"/>
              </w:rPr>
            </w:pPr>
            <w:r>
              <w:rPr>
                <w:rFonts w:ascii="Arial" w:cs="Arial" w:eastAsia="Arial" w:hAnsi="Arial"/>
                <w:sz w:val="18"/>
                <w:szCs w:val="18"/>
                <w:color w:val="auto"/>
              </w:rPr>
              <w:t>India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Italia, S.r.l.</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Italy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Nippon Brady K.K.</w:t>
            </w:r>
          </w:p>
        </w:tc>
        <w:tc>
          <w:tcPr>
            <w:tcW w:w="3240" w:type="dxa"/>
            <w:vAlign w:val="bottom"/>
          </w:tcPr>
          <w:p>
            <w:pPr>
              <w:ind w:left="1500"/>
              <w:spacing w:after="0"/>
              <w:rPr>
                <w:sz w:val="20"/>
                <w:szCs w:val="20"/>
                <w:color w:val="auto"/>
              </w:rPr>
            </w:pPr>
            <w:r>
              <w:rPr>
                <w:rFonts w:ascii="Arial" w:cs="Arial" w:eastAsia="Arial" w:hAnsi="Arial"/>
                <w:sz w:val="18"/>
                <w:szCs w:val="18"/>
                <w:color w:val="auto"/>
              </w:rPr>
              <w:t>Japan</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Luxembourg S.à r.l.</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Luxembourg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Finance Luxembourg S.à r.l.</w:t>
            </w:r>
          </w:p>
        </w:tc>
        <w:tc>
          <w:tcPr>
            <w:tcW w:w="3240" w:type="dxa"/>
            <w:vAlign w:val="bottom"/>
          </w:tcPr>
          <w:p>
            <w:pPr>
              <w:ind w:left="1500"/>
              <w:spacing w:after="0"/>
              <w:rPr>
                <w:sz w:val="20"/>
                <w:szCs w:val="20"/>
                <w:color w:val="auto"/>
              </w:rPr>
            </w:pPr>
            <w:r>
              <w:rPr>
                <w:rFonts w:ascii="Arial" w:cs="Arial" w:eastAsia="Arial" w:hAnsi="Arial"/>
                <w:sz w:val="18"/>
                <w:szCs w:val="18"/>
                <w:color w:val="auto"/>
              </w:rPr>
              <w:t>Luxembourg</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SDN. BHD.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Malaysia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 H. Brady S. de R.L. de C.V.</w:t>
            </w:r>
          </w:p>
        </w:tc>
        <w:tc>
          <w:tcPr>
            <w:tcW w:w="3240" w:type="dxa"/>
            <w:vAlign w:val="bottom"/>
          </w:tcPr>
          <w:p>
            <w:pPr>
              <w:ind w:left="1500"/>
              <w:spacing w:after="0"/>
              <w:rPr>
                <w:sz w:val="20"/>
                <w:szCs w:val="20"/>
                <w:color w:val="auto"/>
              </w:rPr>
            </w:pPr>
            <w:r>
              <w:rPr>
                <w:rFonts w:ascii="Arial" w:cs="Arial" w:eastAsia="Arial" w:hAnsi="Arial"/>
                <w:sz w:val="18"/>
                <w:szCs w:val="18"/>
                <w:color w:val="auto"/>
              </w:rPr>
              <w:t>Mexico</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Servicios, S. de R.L. de C.V.</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Mexico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B.V.</w:t>
            </w:r>
          </w:p>
        </w:tc>
        <w:tc>
          <w:tcPr>
            <w:tcW w:w="3240" w:type="dxa"/>
            <w:vAlign w:val="bottom"/>
          </w:tcPr>
          <w:p>
            <w:pPr>
              <w:ind w:left="1500"/>
              <w:spacing w:after="0"/>
              <w:rPr>
                <w:sz w:val="20"/>
                <w:szCs w:val="20"/>
                <w:color w:val="auto"/>
              </w:rPr>
            </w:pPr>
            <w:r>
              <w:rPr>
                <w:rFonts w:ascii="Arial" w:cs="Arial" w:eastAsia="Arial" w:hAnsi="Arial"/>
                <w:sz w:val="18"/>
                <w:szCs w:val="18"/>
                <w:color w:val="auto"/>
              </w:rPr>
              <w:t>Netherlands</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Finance B.V.</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Netherlands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Holland Mounting Systems B.V.</w:t>
            </w:r>
          </w:p>
        </w:tc>
        <w:tc>
          <w:tcPr>
            <w:tcW w:w="3240" w:type="dxa"/>
            <w:vAlign w:val="bottom"/>
          </w:tcPr>
          <w:p>
            <w:pPr>
              <w:ind w:left="1500"/>
              <w:spacing w:after="0"/>
              <w:rPr>
                <w:sz w:val="20"/>
                <w:szCs w:val="20"/>
                <w:color w:val="auto"/>
              </w:rPr>
            </w:pPr>
            <w:r>
              <w:rPr>
                <w:rFonts w:ascii="Arial" w:cs="Arial" w:eastAsia="Arial" w:hAnsi="Arial"/>
                <w:sz w:val="18"/>
                <w:szCs w:val="18"/>
                <w:color w:val="auto"/>
              </w:rPr>
              <w:t>Netherlands</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Holland B.V.</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Netherlands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AS</w:t>
            </w:r>
          </w:p>
        </w:tc>
        <w:tc>
          <w:tcPr>
            <w:tcW w:w="3240" w:type="dxa"/>
            <w:vAlign w:val="bottom"/>
          </w:tcPr>
          <w:p>
            <w:pPr>
              <w:ind w:left="1500"/>
              <w:spacing w:after="0"/>
              <w:rPr>
                <w:sz w:val="20"/>
                <w:szCs w:val="20"/>
                <w:color w:val="auto"/>
              </w:rPr>
            </w:pPr>
            <w:r>
              <w:rPr>
                <w:rFonts w:ascii="Arial" w:cs="Arial" w:eastAsia="Arial" w:hAnsi="Arial"/>
                <w:sz w:val="18"/>
                <w:szCs w:val="18"/>
                <w:color w:val="auto"/>
              </w:rPr>
              <w:t>Norway</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Pervaco AS</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Norway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Philippines Direct Marketing Inc.</w:t>
            </w:r>
          </w:p>
        </w:tc>
        <w:tc>
          <w:tcPr>
            <w:tcW w:w="3240" w:type="dxa"/>
            <w:vAlign w:val="bottom"/>
          </w:tcPr>
          <w:p>
            <w:pPr>
              <w:ind w:left="1500"/>
              <w:spacing w:after="0"/>
              <w:rPr>
                <w:sz w:val="20"/>
                <w:szCs w:val="20"/>
                <w:color w:val="auto"/>
              </w:rPr>
            </w:pPr>
            <w:r>
              <w:rPr>
                <w:rFonts w:ascii="Arial" w:cs="Arial" w:eastAsia="Arial" w:hAnsi="Arial"/>
                <w:sz w:val="18"/>
                <w:szCs w:val="18"/>
                <w:color w:val="auto"/>
              </w:rPr>
              <w:t>Philippines</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Polska Sp. Z.o.o.</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Poland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Corporation S.E.A. Pte. Ltd.</w:t>
            </w:r>
          </w:p>
        </w:tc>
        <w:tc>
          <w:tcPr>
            <w:tcW w:w="3240" w:type="dxa"/>
            <w:vAlign w:val="bottom"/>
          </w:tcPr>
          <w:p>
            <w:pPr>
              <w:ind w:left="1500"/>
              <w:spacing w:after="0"/>
              <w:rPr>
                <w:sz w:val="20"/>
                <w:szCs w:val="20"/>
                <w:color w:val="auto"/>
              </w:rPr>
            </w:pPr>
            <w:r>
              <w:rPr>
                <w:rFonts w:ascii="Arial" w:cs="Arial" w:eastAsia="Arial" w:hAnsi="Arial"/>
                <w:sz w:val="18"/>
                <w:szCs w:val="18"/>
                <w:color w:val="auto"/>
              </w:rPr>
              <w:t>Singapore</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Asia Pte. Ltd.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Singapore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Asia Holding Pte. Ltd.</w:t>
            </w:r>
          </w:p>
        </w:tc>
        <w:tc>
          <w:tcPr>
            <w:tcW w:w="3240" w:type="dxa"/>
            <w:vAlign w:val="bottom"/>
          </w:tcPr>
          <w:p>
            <w:pPr>
              <w:ind w:left="1500"/>
              <w:spacing w:after="0"/>
              <w:rPr>
                <w:sz w:val="20"/>
                <w:szCs w:val="20"/>
                <w:color w:val="auto"/>
              </w:rPr>
            </w:pPr>
            <w:r>
              <w:rPr>
                <w:rFonts w:ascii="Arial" w:cs="Arial" w:eastAsia="Arial" w:hAnsi="Arial"/>
                <w:sz w:val="18"/>
                <w:szCs w:val="18"/>
                <w:color w:val="auto"/>
              </w:rPr>
              <w:t>Singapore</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Asia Pacific Pte. Ltd.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Singapore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Asia Pacific Pte. Ltd.</w:t>
            </w:r>
          </w:p>
        </w:tc>
        <w:tc>
          <w:tcPr>
            <w:tcW w:w="3240" w:type="dxa"/>
            <w:vAlign w:val="bottom"/>
          </w:tcPr>
          <w:p>
            <w:pPr>
              <w:ind w:left="1500"/>
              <w:spacing w:after="0"/>
              <w:rPr>
                <w:sz w:val="20"/>
                <w:szCs w:val="20"/>
                <w:color w:val="auto"/>
              </w:rPr>
            </w:pPr>
            <w:r>
              <w:rPr>
                <w:rFonts w:ascii="Arial" w:cs="Arial" w:eastAsia="Arial" w:hAnsi="Arial"/>
                <w:sz w:val="18"/>
                <w:szCs w:val="18"/>
                <w:color w:val="auto"/>
              </w:rPr>
              <w:t>Singapore</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s.r.o.</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Slovakia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Wiremarkers Africa Pty. Ltd.</w:t>
            </w:r>
          </w:p>
        </w:tc>
        <w:tc>
          <w:tcPr>
            <w:tcW w:w="3240" w:type="dxa"/>
            <w:vAlign w:val="bottom"/>
          </w:tcPr>
          <w:p>
            <w:pPr>
              <w:ind w:left="1500"/>
              <w:spacing w:after="0"/>
              <w:rPr>
                <w:sz w:val="20"/>
                <w:szCs w:val="20"/>
                <w:color w:val="auto"/>
              </w:rPr>
            </w:pPr>
            <w:r>
              <w:rPr>
                <w:rFonts w:ascii="Arial" w:cs="Arial" w:eastAsia="Arial" w:hAnsi="Arial"/>
                <w:sz w:val="18"/>
                <w:szCs w:val="18"/>
                <w:color w:val="auto"/>
              </w:rPr>
              <w:t>South Africa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Dartag Marking Pty. Ltd.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South Africa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Touch Fasteners Pty. Ltd.</w:t>
            </w:r>
          </w:p>
        </w:tc>
        <w:tc>
          <w:tcPr>
            <w:tcW w:w="3240" w:type="dxa"/>
            <w:vAlign w:val="bottom"/>
          </w:tcPr>
          <w:p>
            <w:pPr>
              <w:ind w:left="1500"/>
              <w:spacing w:after="0"/>
              <w:rPr>
                <w:sz w:val="20"/>
                <w:szCs w:val="20"/>
                <w:color w:val="auto"/>
              </w:rPr>
            </w:pPr>
            <w:r>
              <w:rPr>
                <w:rFonts w:ascii="Arial" w:cs="Arial" w:eastAsia="Arial" w:hAnsi="Arial"/>
                <w:sz w:val="18"/>
                <w:szCs w:val="18"/>
                <w:color w:val="auto"/>
              </w:rPr>
              <w:t>South Africa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Grafo Wiremarkers Pty. Ltd.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South Africa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Korea LLP</w:t>
            </w:r>
          </w:p>
        </w:tc>
        <w:tc>
          <w:tcPr>
            <w:tcW w:w="3240" w:type="dxa"/>
            <w:vAlign w:val="bottom"/>
          </w:tcPr>
          <w:p>
            <w:pPr>
              <w:ind w:left="1500"/>
              <w:spacing w:after="0"/>
              <w:rPr>
                <w:sz w:val="20"/>
                <w:szCs w:val="20"/>
                <w:color w:val="auto"/>
              </w:rPr>
            </w:pPr>
            <w:r>
              <w:rPr>
                <w:rFonts w:ascii="Arial" w:cs="Arial" w:eastAsia="Arial" w:hAnsi="Arial"/>
                <w:sz w:val="18"/>
                <w:szCs w:val="18"/>
                <w:color w:val="auto"/>
              </w:rPr>
              <w:t>South Korea</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Identificación S.L.U.</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Spain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Attent Fastighter AB</w:t>
            </w:r>
          </w:p>
        </w:tc>
        <w:tc>
          <w:tcPr>
            <w:tcW w:w="3240" w:type="dxa"/>
            <w:vAlign w:val="bottom"/>
          </w:tcPr>
          <w:p>
            <w:pPr>
              <w:ind w:left="1500"/>
              <w:spacing w:after="0"/>
              <w:rPr>
                <w:sz w:val="20"/>
                <w:szCs w:val="20"/>
                <w:color w:val="auto"/>
              </w:rPr>
            </w:pPr>
            <w:r>
              <w:rPr>
                <w:rFonts w:ascii="Arial" w:cs="Arial" w:eastAsia="Arial" w:hAnsi="Arial"/>
                <w:sz w:val="18"/>
                <w:szCs w:val="18"/>
                <w:color w:val="auto"/>
              </w:rPr>
              <w:t>Sweden</w:t>
            </w:r>
          </w:p>
        </w:tc>
        <w:tc>
          <w:tcPr>
            <w:tcW w:w="6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AB</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Sweden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Sweden Holding AB</w:t>
            </w:r>
          </w:p>
        </w:tc>
        <w:tc>
          <w:tcPr>
            <w:tcW w:w="3240" w:type="dxa"/>
            <w:vAlign w:val="bottom"/>
          </w:tcPr>
          <w:p>
            <w:pPr>
              <w:ind w:left="1500"/>
              <w:spacing w:after="0"/>
              <w:rPr>
                <w:sz w:val="20"/>
                <w:szCs w:val="20"/>
                <w:color w:val="auto"/>
              </w:rPr>
            </w:pPr>
            <w:r>
              <w:rPr>
                <w:rFonts w:ascii="Arial" w:cs="Arial" w:eastAsia="Arial" w:hAnsi="Arial"/>
                <w:sz w:val="18"/>
                <w:szCs w:val="18"/>
                <w:color w:val="auto"/>
              </w:rPr>
              <w:t>Sweden</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Runelandhs Försäljnings AB</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Sweden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Converting AB</w:t>
            </w:r>
          </w:p>
        </w:tc>
        <w:tc>
          <w:tcPr>
            <w:tcW w:w="3240" w:type="dxa"/>
            <w:vAlign w:val="bottom"/>
          </w:tcPr>
          <w:p>
            <w:pPr>
              <w:ind w:left="1500"/>
              <w:spacing w:after="0"/>
              <w:rPr>
                <w:sz w:val="20"/>
                <w:szCs w:val="20"/>
                <w:color w:val="auto"/>
              </w:rPr>
            </w:pPr>
            <w:r>
              <w:rPr>
                <w:rFonts w:ascii="Arial" w:cs="Arial" w:eastAsia="Arial" w:hAnsi="Arial"/>
                <w:sz w:val="18"/>
                <w:szCs w:val="18"/>
                <w:color w:val="auto"/>
              </w:rPr>
              <w:t>Sweden</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Tradex AB</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Sweden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Technologies (Thailand) Co. Ltd.</w:t>
            </w:r>
          </w:p>
        </w:tc>
        <w:tc>
          <w:tcPr>
            <w:tcW w:w="3240" w:type="dxa"/>
            <w:vAlign w:val="bottom"/>
          </w:tcPr>
          <w:p>
            <w:pPr>
              <w:ind w:left="1500"/>
              <w:spacing w:after="0"/>
              <w:rPr>
                <w:sz w:val="20"/>
                <w:szCs w:val="20"/>
                <w:color w:val="auto"/>
              </w:rPr>
            </w:pPr>
            <w:r>
              <w:rPr>
                <w:rFonts w:ascii="Arial" w:cs="Arial" w:eastAsia="Arial" w:hAnsi="Arial"/>
                <w:sz w:val="18"/>
                <w:szCs w:val="18"/>
                <w:color w:val="auto"/>
              </w:rPr>
              <w:t>Thailand</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Etiket ve Isaretleme Ticaret Ltd. Sirketi</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Turkey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Middle East FZE</w:t>
            </w:r>
          </w:p>
        </w:tc>
        <w:tc>
          <w:tcPr>
            <w:tcW w:w="3240" w:type="dxa"/>
            <w:vAlign w:val="bottom"/>
          </w:tcPr>
          <w:p>
            <w:pPr>
              <w:ind w:left="1500"/>
              <w:spacing w:after="0"/>
              <w:rPr>
                <w:sz w:val="20"/>
                <w:szCs w:val="20"/>
                <w:color w:val="auto"/>
              </w:rPr>
            </w:pPr>
            <w:r>
              <w:rPr>
                <w:rFonts w:ascii="Arial" w:cs="Arial" w:eastAsia="Arial" w:hAnsi="Arial"/>
                <w:sz w:val="18"/>
                <w:szCs w:val="18"/>
                <w:color w:val="auto"/>
              </w:rPr>
              <w:t>United Arab Emirates</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B.I. (UK) Limited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United Kingdom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Corporation Limited</w:t>
            </w:r>
          </w:p>
        </w:tc>
        <w:tc>
          <w:tcPr>
            <w:tcW w:w="3240" w:type="dxa"/>
            <w:vAlign w:val="bottom"/>
          </w:tcPr>
          <w:p>
            <w:pPr>
              <w:ind w:left="1500"/>
              <w:spacing w:after="0"/>
              <w:rPr>
                <w:sz w:val="20"/>
                <w:szCs w:val="20"/>
                <w:color w:val="auto"/>
              </w:rPr>
            </w:pPr>
            <w:r>
              <w:rPr>
                <w:rFonts w:ascii="Arial" w:cs="Arial" w:eastAsia="Arial" w:hAnsi="Arial"/>
                <w:sz w:val="18"/>
                <w:szCs w:val="18"/>
                <w:color w:val="auto"/>
              </w:rPr>
              <w:t>United Kingdom</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Brady European Finance Limited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United Kingdom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Brady European Holdings Limited</w:t>
            </w:r>
          </w:p>
        </w:tc>
        <w:tc>
          <w:tcPr>
            <w:tcW w:w="3240" w:type="dxa"/>
            <w:vAlign w:val="bottom"/>
          </w:tcPr>
          <w:p>
            <w:pPr>
              <w:ind w:left="1500"/>
              <w:spacing w:after="0"/>
              <w:rPr>
                <w:sz w:val="20"/>
                <w:szCs w:val="20"/>
                <w:color w:val="auto"/>
              </w:rPr>
            </w:pPr>
            <w:r>
              <w:rPr>
                <w:rFonts w:ascii="Arial" w:cs="Arial" w:eastAsia="Arial" w:hAnsi="Arial"/>
                <w:sz w:val="18"/>
                <w:szCs w:val="18"/>
                <w:color w:val="auto"/>
              </w:rPr>
              <w:t>United Kingdom</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Scafftag Limited</w:t>
            </w:r>
          </w:p>
        </w:tc>
        <w:tc>
          <w:tcPr>
            <w:tcW w:w="32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United Kingdom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9019"/>
          </w:cols>
          <w:pgMar w:left="1440" w:top="288"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Nos. 333-38857, 333-38859, 333-44505, 333-92417, 333-99615, 333-110949, 333-122867, 333-134503, 333-137686, 333-141402, 333-162538 and 333-177039 on Form S-8 and 333-177529 on Form S-3 of our reports dated September 26, 2012,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2012</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90" w:lineRule="exact"/>
        <w:rPr>
          <w:sz w:val="20"/>
          <w:szCs w:val="20"/>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64"/>
        <w:spacing w:after="0" w:line="332" w:lineRule="auto"/>
        <w:tabs>
          <w:tab w:leader="none" w:pos="723"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725"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3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09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25"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24"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20" w:firstLine="443"/>
        <w:spacing w:after="0" w:line="259" w:lineRule="auto"/>
        <w:tabs>
          <w:tab w:leader="none" w:pos="11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72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0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099"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M. Jaehnert)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2012</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firstLine="464"/>
        <w:spacing w:after="0" w:line="332" w:lineRule="auto"/>
        <w:tabs>
          <w:tab w:leader="none" w:pos="723"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0" w:firstLine="464"/>
        <w:spacing w:after="0" w:line="268" w:lineRule="auto"/>
        <w:tabs>
          <w:tab w:leader="none" w:pos="725"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09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2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24"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20" w:firstLine="443"/>
        <w:spacing w:after="0" w:line="259" w:lineRule="auto"/>
        <w:tabs>
          <w:tab w:leader="none" w:pos="1105"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72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092"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0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2012</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51" w:lineRule="exact"/>
        <w:rPr>
          <w:sz w:val="20"/>
          <w:szCs w:val="20"/>
          <w:color w:val="auto"/>
        </w:rPr>
      </w:pPr>
    </w:p>
    <w:p>
      <w:pPr>
        <w:ind w:left="460" w:firstLine="443"/>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2012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M. Jaehnert)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2012</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51" w:lineRule="exact"/>
        <w:rPr>
          <w:sz w:val="20"/>
          <w:szCs w:val="20"/>
          <w:color w:val="auto"/>
        </w:rPr>
      </w:pPr>
    </w:p>
    <w:p>
      <w:pPr>
        <w:ind w:left="460" w:firstLine="443"/>
        <w:spacing w:after="0" w:line="268" w:lineRule="auto"/>
        <w:tabs>
          <w:tab w:leader="none" w:pos="116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2012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2012</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Letter"/>
      <w:start w:val="1"/>
    </w:lvl>
    <w:lvl w:ilvl="1">
      <w:lvlJc w:val="left"/>
      <w:lvlText w:val="•"/>
      <w:numFmt w:val="bullet"/>
      <w:start w:val="1"/>
    </w:lvl>
  </w:abstractNum>
  <w:abstractNum w:abstractNumId="3">
    <w:nsid w:val="4B588F54"/>
    <w:multiLevelType w:val="hybridMultilevel"/>
    <w:lvl w:ilvl="0">
      <w:lvlJc w:val="left"/>
      <w:lvlText w:val="(%1)"/>
      <w:numFmt w:val="lowerLetter"/>
      <w:start w:val="3"/>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1)"/>
      <w:numFmt w:val="lowerLetter"/>
      <w:start w:val="2"/>
    </w:lvl>
  </w:abstractNum>
  <w:abstractNum w:abstractNumId="10">
    <w:nsid w:val="579478FE"/>
    <w:multiLevelType w:val="hybridMultilevel"/>
    <w:lvl w:ilvl="0">
      <w:lvlJc w:val="left"/>
      <w:lvlText w:val="(%1)"/>
      <w:numFmt w:val="lowerLetter"/>
      <w:start w:val="3"/>
    </w:lvl>
  </w:abstractNum>
  <w:abstractNum w:abstractNumId="11">
    <w:nsid w:val="749ABB43"/>
    <w:multiLevelType w:val="hybridMultilevel"/>
    <w:lvl w:ilvl="0">
      <w:lvlJc w:val="left"/>
      <w:lvlText w:val="(%1)"/>
      <w:numFmt w:val="lowerLetter"/>
      <w:start w:val="4"/>
    </w:lvl>
  </w:abstractNum>
  <w:abstractNum w:abstractNumId="12">
    <w:nsid w:val="3DC240FB"/>
    <w:multiLevelType w:val="hybridMultilevel"/>
    <w:lvl w:ilvl="0">
      <w:lvlJc w:val="left"/>
      <w:lvlText w:val="(%1)"/>
      <w:numFmt w:val="lowerLetter"/>
      <w:start w:val="5"/>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2"/>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3"/>
    </w:lvl>
  </w:abstractNum>
  <w:abstractNum w:abstractNumId="34">
    <w:nsid w:val="3F6AB60F"/>
    <w:multiLevelType w:val="hybridMultilevel"/>
    <w:lvl w:ilvl="0">
      <w:lvlJc w:val="left"/>
      <w:lvlText w:val="(%1)"/>
      <w:numFmt w:val="decimal"/>
      <w:start w:val="5"/>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2"/>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lowerLetter"/>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lowerLetter"/>
      <w:start w:val="2"/>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lowerLetter"/>
      <w:start w:val="3"/>
    </w:lvl>
  </w:abstractNum>
  <w:abstractNum w:abstractNumId="52">
    <w:nsid w:val="98A3148"/>
    <w:multiLevelType w:val="hybridMultilevel"/>
    <w:lvl w:ilvl="0">
      <w:lvlJc w:val="left"/>
      <w:lvlText w:val="(%1)"/>
      <w:numFmt w:val="lowerLetter"/>
      <w:start w:val="4"/>
    </w:lvl>
  </w:abstractNum>
  <w:abstractNum w:abstractNumId="53">
    <w:nsid w:val="799D0247"/>
    <w:multiLevelType w:val="hybridMultilevel"/>
    <w:lvl w:ilvl="0">
      <w:lvlJc w:val="left"/>
      <w:lvlText w:val="(%1)"/>
      <w:numFmt w:val="decimal"/>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
      <w:numFmt w:val="bullet"/>
      <w:start w:val="1"/>
    </w:lvl>
    <w:lvl w:ilvl="1">
      <w:lvlJc w:val="left"/>
      <w:lvlText w:val="%2"/>
      <w:numFmt w:val="decimal"/>
      <w:start w:val="23"/>
    </w:lvl>
  </w:abstractNum>
  <w:abstractNum w:abstractNumId="56">
    <w:nsid w:val="168E121F"/>
    <w:multiLevelType w:val="hybridMultilevel"/>
    <w:lvl w:ilvl="0">
      <w:lvlJc w:val="left"/>
      <w:lvlText w:val="*"/>
      <w:numFmt w:val="bullet"/>
      <w:start w:val="1"/>
    </w:lvl>
    <w:lvl w:ilvl="1">
      <w:lvlJc w:val="left"/>
      <w:lvlText w:val="%2"/>
      <w:numFmt w:val="decimal"/>
      <w:start w:val="10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24"/>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3"/>
    </w:lvl>
    <w:lvl w:ilvl="1">
      <w:lvlJc w:val="left"/>
      <w:lvlText w:val="(%2)"/>
      <w:numFmt w:val="lowerLetter"/>
      <w:start w:val="1"/>
    </w:lvl>
  </w:abstractNum>
  <w:abstractNum w:abstractNumId="62">
    <w:nsid w:val="51D9C5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3">
    <w:nsid w:val="613EFDC5"/>
    <w:multiLevelType w:val="hybridMultilevel"/>
    <w:lvl w:ilvl="0">
      <w:lvlJc w:val="left"/>
      <w:lvlText w:val="%1"/>
      <w:numFmt w:val="lowerLetter"/>
      <w:start w:val="1"/>
    </w:lvl>
    <w:lvl w:ilvl="1">
      <w:lvlJc w:val="left"/>
      <w:lvlText w:val="(%2)"/>
      <w:numFmt w:val="lowerRoman"/>
      <w:start w:val="3"/>
    </w:lvl>
  </w:abstractNum>
  <w:abstractNum w:abstractNumId="64">
    <w:nsid w:val="BF72B14"/>
    <w:multiLevelType w:val="hybridMultilevel"/>
    <w:lvl w:ilvl="0">
      <w:lvlJc w:val="left"/>
      <w:lvlText w:val="(%1)"/>
      <w:numFmt w:val="lowerLetter"/>
      <w:start w:val="2"/>
    </w:lvl>
    <w:lvl w:ilvl="1">
      <w:lvlJc w:val="left"/>
      <w:lvlText w:val="(%2)"/>
      <w:numFmt w:val="lowerRoman"/>
      <w:start w:val="1"/>
    </w:lvl>
  </w:abstractNum>
  <w:abstractNum w:abstractNumId="65">
    <w:nsid w:val="11447B73"/>
    <w:multiLevelType w:val="hybridMultilevel"/>
    <w:lvl w:ilvl="0">
      <w:lvlJc w:val="left"/>
      <w:lvlText w:val="(%1)"/>
      <w:numFmt w:val="lowerLetter"/>
      <w:start w:val="3"/>
    </w:lvl>
  </w:abstractNum>
  <w:abstractNum w:abstractNumId="66">
    <w:nsid w:val="42963E5A"/>
    <w:multiLevelType w:val="hybridMultilevel"/>
    <w:lvl w:ilvl="0">
      <w:lvlJc w:val="left"/>
      <w:lvlText w:val="%1"/>
      <w:numFmt w:val="decimal"/>
      <w:start w:val="1"/>
    </w:lvl>
    <w:lvl w:ilvl="1">
      <w:lvlJc w:val="left"/>
      <w:lvlText w:val="(%2)"/>
      <w:numFmt w:val="lowerLetter"/>
      <w:start w:val="4"/>
    </w:lvl>
  </w:abstractNum>
  <w:abstractNum w:abstractNumId="67">
    <w:nsid w:val="A0382C5"/>
    <w:multiLevelType w:val="hybridMultilevel"/>
    <w:lvl w:ilvl="0">
      <w:lvlJc w:val="left"/>
      <w:lvlText w:val="%1."/>
      <w:numFmt w:val="decimal"/>
      <w:start w:val="11"/>
    </w:lvl>
    <w:lvl w:ilvl="1">
      <w:lvlJc w:val="left"/>
      <w:lvlText w:val="%2"/>
      <w:numFmt w:val="lowerLetter"/>
      <w:start w:val="1"/>
    </w:lvl>
  </w:abstractNum>
  <w:abstractNum w:abstractNumId="68">
    <w:nsid w:val="8F2B15E"/>
    <w:multiLevelType w:val="hybridMultilevel"/>
    <w:lvl w:ilvl="0">
      <w:lvlJc w:val="left"/>
      <w:lvlText w:val="%1."/>
      <w:numFmt w:val="decimal"/>
      <w:start w:val="13"/>
    </w:lvl>
  </w:abstractNum>
  <w:abstractNum w:abstractNumId="69">
    <w:nsid w:val="1A32234B"/>
    <w:multiLevelType w:val="hybridMultilevel"/>
    <w:lvl w:ilvl="0">
      <w:lvlJc w:val="left"/>
      <w:lvlText w:val="%1."/>
      <w:numFmt w:val="decimal"/>
      <w:start w:val="18"/>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3"/>
    </w:lvl>
    <w:lvl w:ilvl="1">
      <w:lvlJc w:val="left"/>
      <w:lvlText w:val="%2"/>
      <w:numFmt w:val="upperLetter"/>
      <w:start w:val="1"/>
    </w:lvl>
  </w:abstractNum>
  <w:abstractNum w:abstractNumId="72">
    <w:nsid w:val="4962813B"/>
    <w:multiLevelType w:val="hybridMultilevel"/>
    <w:lvl w:ilvl="0">
      <w:lvlJc w:val="left"/>
      <w:lvlText w:val="%1."/>
      <w:numFmt w:val="decimal"/>
      <w:start w:val="4"/>
    </w:lvl>
  </w:abstractNum>
  <w:abstractNum w:abstractNumId="73">
    <w:nsid w:val="60B6DF70"/>
    <w:multiLevelType w:val="hybridMultilevel"/>
    <w:lvl w:ilvl="0">
      <w:lvlJc w:val="left"/>
      <w:lvlText w:val="%1."/>
      <w:numFmt w:val="decimal"/>
      <w:start w:val="10"/>
    </w:lvl>
  </w:abstractNum>
  <w:abstractNum w:abstractNumId="74">
    <w:nsid w:val="6A5EE64"/>
    <w:multiLevelType w:val="hybridMultilevel"/>
    <w:lvl w:ilvl="0">
      <w:lvlJc w:val="left"/>
      <w:lvlText w:val="%1."/>
      <w:numFmt w:val="decimal"/>
      <w:start w:val="17"/>
    </w:lvl>
  </w:abstractNum>
  <w:abstractNum w:abstractNumId="75">
    <w:nsid w:val="14330624"/>
    <w:multiLevelType w:val="hybridMultilevel"/>
    <w:lvl w:ilvl="0">
      <w:lvlJc w:val="left"/>
      <w:lvlText w:val="%1."/>
      <w:numFmt w:val="decimal"/>
      <w:start w:val="1"/>
    </w:lvl>
    <w:lvl w:ilvl="1">
      <w:lvlJc w:val="left"/>
      <w:lvlText w:val="(%2)"/>
      <w:numFmt w:val="lowerLetter"/>
      <w:start w:val="1"/>
    </w:lvl>
  </w:abstractNum>
  <w:abstractNum w:abstractNumId="76">
    <w:nsid w:val="7FFFCA11"/>
    <w:multiLevelType w:val="hybridMultilevel"/>
    <w:lvl w:ilvl="0">
      <w:lvlJc w:val="left"/>
      <w:lvlText w:val="%1"/>
      <w:numFmt w:val="decimal"/>
      <w:start w:val="1"/>
    </w:lvl>
    <w:lvl w:ilvl="1">
      <w:lvlJc w:val="left"/>
      <w:lvlText w:val="(%2)"/>
      <w:numFmt w:val="lowerLetter"/>
      <w:start w:val="3"/>
    </w:lvl>
  </w:abstractNum>
  <w:abstractNum w:abstractNumId="77">
    <w:nsid w:val="1A27709E"/>
    <w:multiLevelType w:val="hybridMultilevel"/>
    <w:lvl w:ilvl="0">
      <w:lvlJc w:val="left"/>
      <w:lvlText w:val="%1."/>
      <w:numFmt w:val="decimal"/>
      <w:start w:val="4"/>
    </w:lvl>
    <w:lvl w:ilvl="1">
      <w:lvlJc w:val="left"/>
      <w:lvlText w:val="%2"/>
      <w:numFmt w:val="lowerLetter"/>
      <w:start w:val="1"/>
    </w:lvl>
  </w:abstractNum>
  <w:abstractNum w:abstractNumId="78">
    <w:nsid w:val="71EA110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9">
    <w:nsid w:val="100F59DC"/>
    <w:multiLevelType w:val="hybridMultilevel"/>
    <w:lvl w:ilvl="0">
      <w:lvlJc w:val="left"/>
      <w:lvlText w:val="%1"/>
      <w:numFmt w:val="lowerLetter"/>
      <w:start w:val="1"/>
    </w:lvl>
    <w:lvl w:ilvl="1">
      <w:lvlJc w:val="left"/>
      <w:lvlText w:val="(%2)"/>
      <w:numFmt w:val="lowerRoman"/>
      <w:start w:val="4"/>
    </w:lvl>
  </w:abstractNum>
  <w:abstractNum w:abstractNumId="80">
    <w:nsid w:val="7FB7E0AA"/>
    <w:multiLevelType w:val="hybridMultilevel"/>
    <w:lvl w:ilvl="0">
      <w:lvlJc w:val="left"/>
      <w:lvlText w:val="(%1)"/>
      <w:numFmt w:val="lowerLetter"/>
      <w:start w:val="2"/>
    </w:lvl>
    <w:lvl w:ilvl="1">
      <w:lvlJc w:val="left"/>
      <w:lvlText w:val="(%2)"/>
      <w:numFmt w:val="lowerRoman"/>
      <w:start w:val="1"/>
    </w:lvl>
  </w:abstractNum>
  <w:abstractNum w:abstractNumId="81">
    <w:nsid w:val="6EB5BD4"/>
    <w:multiLevelType w:val="hybridMultilevel"/>
    <w:lvl w:ilvl="0">
      <w:lvlJc w:val="left"/>
      <w:lvlText w:val="(%1)"/>
      <w:numFmt w:val="lowerLetter"/>
      <w:start w:val="3"/>
    </w:lvl>
  </w:abstractNum>
  <w:abstractNum w:abstractNumId="82">
    <w:nsid w:val="6F6DD9AC"/>
    <w:multiLevelType w:val="hybridMultilevel"/>
    <w:lvl w:ilvl="0">
      <w:lvlJc w:val="left"/>
      <w:lvlText w:val="%1"/>
      <w:numFmt w:val="decimal"/>
      <w:start w:val="1"/>
    </w:lvl>
    <w:lvl w:ilvl="1">
      <w:lvlJc w:val="left"/>
      <w:lvlText w:val="(%2)"/>
      <w:numFmt w:val="lowerLetter"/>
      <w:start w:val="5"/>
    </w:lvl>
  </w:abstractNum>
  <w:abstractNum w:abstractNumId="83">
    <w:nsid w:val="94211F2"/>
    <w:multiLevelType w:val="hybridMultilevel"/>
    <w:lvl w:ilvl="0">
      <w:lvlJc w:val="left"/>
      <w:lvlText w:val="%1."/>
      <w:numFmt w:val="decimal"/>
      <w:start w:val="10"/>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2019-12-09T09:01:18Z</dcterms:created>
  <dcterms:modified xsi:type="dcterms:W3CDTF">2019-12-09T09:01:18Z</dcterms:modified>
</cp:coreProperties>
</file>