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38735</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53340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47625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6"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4920" w:type="dxa"/>
            <w:vAlign w:val="bottom"/>
            <w:gridSpan w:val="2"/>
          </w:tcPr>
          <w:p>
            <w:pPr>
              <w:jc w:val="center"/>
              <w:ind w:right="229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63"/>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2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5"/>
        </w:trPr>
        <w:tc>
          <w:tcPr>
            <w:tcW w:w="2840" w:type="dxa"/>
            <w:vAlign w:val="bottom"/>
          </w:tcPr>
          <w:p>
            <w:pPr>
              <w:jc w:val="center"/>
              <w:ind w:right="30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0"/>
                <w:szCs w:val="10"/>
                <w:color w:val="auto"/>
              </w:rPr>
            </w:pPr>
          </w:p>
        </w:tc>
        <w:tc>
          <w:tcPr>
            <w:tcW w:w="2400" w:type="dxa"/>
            <w:vAlign w:val="bottom"/>
          </w:tcPr>
          <w:p>
            <w:pPr>
              <w:jc w:val="center"/>
              <w:ind w:left="95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72"/>
        </w:trPr>
        <w:tc>
          <w:tcPr>
            <w:tcW w:w="2840" w:type="dxa"/>
            <w:vAlign w:val="bottom"/>
          </w:tcPr>
          <w:p>
            <w:pPr>
              <w:spacing w:after="0"/>
              <w:rPr>
                <w:sz w:val="23"/>
                <w:szCs w:val="23"/>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2"/>
        </w:trPr>
        <w:tc>
          <w:tcPr>
            <w:tcW w:w="2840" w:type="dxa"/>
            <w:vAlign w:val="bottom"/>
          </w:tcPr>
          <w:p>
            <w:pPr>
              <w:spacing w:after="0"/>
              <w:rPr>
                <w:sz w:val="12"/>
                <w:szCs w:val="12"/>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244"/>
        </w:trPr>
        <w:tc>
          <w:tcPr>
            <w:tcW w:w="284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400" w:type="dxa"/>
            <w:vAlign w:val="bottom"/>
          </w:tcPr>
          <w:p>
            <w:pPr>
              <w:spacing w:after="0"/>
              <w:rPr>
                <w:sz w:val="21"/>
                <w:szCs w:val="21"/>
                <w:color w:val="auto"/>
              </w:rPr>
            </w:pPr>
          </w:p>
        </w:tc>
      </w:tr>
      <w:tr>
        <w:trPr>
          <w:trHeight w:val="125"/>
        </w:trPr>
        <w:tc>
          <w:tcPr>
            <w:tcW w:w="2840" w:type="dxa"/>
            <w:vAlign w:val="bottom"/>
          </w:tcPr>
          <w:p>
            <w:pPr>
              <w:spacing w:after="0"/>
              <w:rPr>
                <w:sz w:val="10"/>
                <w:szCs w:val="10"/>
                <w:color w:val="auto"/>
              </w:rPr>
            </w:pPr>
          </w:p>
        </w:tc>
        <w:tc>
          <w:tcPr>
            <w:tcW w:w="492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62"/>
        </w:trPr>
        <w:tc>
          <w:tcPr>
            <w:tcW w:w="284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400" w:type="dxa"/>
            <w:vAlign w:val="bottom"/>
          </w:tcPr>
          <w:p>
            <w:pPr>
              <w:spacing w:after="0"/>
              <w:rPr>
                <w:sz w:val="5"/>
                <w:szCs w:val="5"/>
                <w:color w:val="auto"/>
              </w:rPr>
            </w:pPr>
          </w:p>
        </w:tc>
      </w:tr>
    </w:tbl>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29"/>
        </w:trPr>
        <w:tc>
          <w:tcPr>
            <w:tcW w:w="6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159"/>
        </w:trPr>
        <w:tc>
          <w:tcPr>
            <w:tcW w:w="61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bl>
    <w:p>
      <w:pPr>
        <w:spacing w:after="0" w:line="160"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or the Securities Exchange Act of 1934 (§240.12b-2 of this chapter).</w:t>
      </w:r>
    </w:p>
    <w:p>
      <w:pPr>
        <w:spacing w:after="0" w:line="5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344805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February 24, 2023, Brady Corporation (the “Company”) issued a press release announcing its fiscal 2023 second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February 24, 2023, the Company hosted a conference call related to its fiscal 2023 second quarter financial results. A copy of the slides referenced in the conference call, which is also posted on the Company’s website, is being furnished to the Securities and Exchange Commission as Exhibit 99.2 attached hereto and is incorporated herein by reference.</w:t>
      </w: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2"/>
          <w:szCs w:val="12"/>
          <w:color w:val="auto"/>
        </w:rPr>
        <w:t>Item 9.01</w:t>
      </w:r>
      <w:r>
        <w:rPr>
          <w:sz w:val="20"/>
          <w:szCs w:val="20"/>
          <w:color w:val="auto"/>
        </w:rPr>
        <w:tab/>
      </w:r>
      <w:r>
        <w:rPr>
          <w:rFonts w:ascii="Times New Roman" w:cs="Times New Roman" w:eastAsia="Times New Roman" w:hAnsi="Times New Roman"/>
          <w:sz w:val="11"/>
          <w:szCs w:val="11"/>
          <w:color w:val="auto"/>
        </w:rPr>
        <w:t>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5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27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EXHIBIT NUMBER</w:t>
            </w: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5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Press Release of Brady Corporation, dated February 24, 2023, relating to fiscal 2023 second quarter financial results.</w:t>
            </w:r>
          </w:p>
        </w:tc>
        <w:tc>
          <w:tcPr>
            <w:tcW w:w="4500" w:type="dxa"/>
            <w:vAlign w:val="bottom"/>
            <w:gridSpan w:val="2"/>
          </w:tcPr>
          <w:p>
            <w:pPr>
              <w:spacing w:after="0"/>
              <w:rPr>
                <w:sz w:val="15"/>
                <w:szCs w:val="15"/>
                <w:color w:val="auto"/>
              </w:rPr>
            </w:pPr>
          </w:p>
        </w:tc>
      </w:tr>
      <w:tr>
        <w:trPr>
          <w:trHeight w:val="19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6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Informational slides provided by Brady Corporation, dated February 24, 2023, relating to fiscal 2023 second quarter financial results.</w:t>
            </w:r>
          </w:p>
        </w:tc>
        <w:tc>
          <w:tcPr>
            <w:tcW w:w="3720" w:type="dxa"/>
            <w:vAlign w:val="bottom"/>
          </w:tcPr>
          <w:p>
            <w:pPr>
              <w:spacing w:after="0"/>
              <w:rPr>
                <w:sz w:val="17"/>
                <w:szCs w:val="17"/>
                <w:color w:val="auto"/>
              </w:rPr>
            </w:pPr>
          </w:p>
        </w:tc>
      </w:tr>
      <w:tr>
        <w:trPr>
          <w:trHeight w:val="223"/>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1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24, 2023</w:t>
      </w:r>
    </w:p>
    <w:p>
      <w:pPr>
        <w:spacing w:after="0" w:line="19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10795</wp:posOffset>
            </wp:positionV>
            <wp:extent cx="34518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Aaron J. Pearce</w:t>
      </w:r>
    </w:p>
    <w:p>
      <w:pPr>
        <w:spacing w:after="0" w:line="1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ectPr>
          <w:pgSz w:w="11900" w:h="16838" w:orient="portrait"/>
          <w:cols w:equalWidth="0" w:num="1">
            <w:col w:w="11300"/>
          </w:cols>
          <w:pgMar w:left="300" w:top="669"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Fiscal 2023 Second Quarter Results and Raises the low end of its Fiscal 2023 Guidance</w:t>
      </w:r>
    </w:p>
    <w:p>
      <w:pPr>
        <w:spacing w:after="0" w:line="195"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Sales for the quarter increased 2.6 percent. Organic sales increased 6.3 percent while foreign currency reduced sales by 3.7 percent.</w:t>
      </w:r>
    </w:p>
    <w:p>
      <w:pPr>
        <w:spacing w:after="0" w:line="55" w:lineRule="exact"/>
        <w:rPr>
          <w:rFonts w:ascii="Arial" w:cs="Arial" w:eastAsia="Arial" w:hAnsi="Arial"/>
          <w:sz w:val="14"/>
          <w:szCs w:val="14"/>
          <w:color w:val="auto"/>
        </w:rPr>
      </w:pPr>
    </w:p>
    <w:p>
      <w:pPr>
        <w:ind w:left="420" w:right="20" w:hanging="212"/>
        <w:spacing w:after="0" w:line="310"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Diluted EPS increased 16.9 percent to $0.76 in the second quarter of fiscal 2023 compared to $0.65 in the same quarter of the prior year. Diluted EPS Excluding Certain Items* increased 15.7 percent to $0.81 in the second quarter of fiscal 2023 compared to $0.70 in the same quarter of the prior year.</w:t>
      </w:r>
    </w:p>
    <w:p>
      <w:pPr>
        <w:spacing w:after="0" w:line="12"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Net cash provided by operating activities increased to $29.4 million in the second quarter of fiscal 2023 compared to $(3.2 million) in the second quarter of last year.</w:t>
      </w:r>
    </w:p>
    <w:p>
      <w:pPr>
        <w:spacing w:after="0" w:line="55" w:lineRule="exact"/>
        <w:rPr>
          <w:rFonts w:ascii="Arial" w:cs="Arial" w:eastAsia="Arial" w:hAnsi="Arial"/>
          <w:sz w:val="14"/>
          <w:szCs w:val="14"/>
          <w:color w:val="auto"/>
        </w:rPr>
      </w:pPr>
    </w:p>
    <w:p>
      <w:pPr>
        <w:ind w:left="420" w:right="20" w:hanging="212"/>
        <w:spacing w:after="0" w:line="349" w:lineRule="auto"/>
        <w:tabs>
          <w:tab w:leader="none" w:pos="41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3"/>
          <w:szCs w:val="13"/>
          <w:color w:val="auto"/>
        </w:rPr>
        <w:t>The low end of the Earnings per diluted Class A Common Share guidance was raised for the full year ending July 31, 2023 from the previous range of $3.13 to $3.43 to the new range of $3.23 to $3.43 on a GAAP basis and was raised from the previous range of $3.30 to $3.60 to the new range of $3.40 to $3.60, excluding after-tax amortization expense.</w:t>
      </w:r>
    </w:p>
    <w:p>
      <w:pPr>
        <w:spacing w:after="0" w:line="116"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13"/>
          <w:szCs w:val="13"/>
          <w:color w:val="auto"/>
        </w:rPr>
        <w:t>MILWAUKEE (February 24, 2023) -- Brady Corporation (NYSE: BRC) (“Brady” or “Company”), a world leader in identification solutions, today reported its financial results for its fiscal 2023 second quarter ended January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January 31, 2023 Financial Results:</w:t>
      </w:r>
    </w:p>
    <w:p>
      <w:pPr>
        <w:spacing w:after="0" w:line="60" w:lineRule="exact"/>
        <w:rPr>
          <w:sz w:val="20"/>
          <w:szCs w:val="20"/>
          <w:color w:val="auto"/>
        </w:rPr>
      </w:pPr>
    </w:p>
    <w:p>
      <w:pPr>
        <w:jc w:val="both"/>
        <w:ind w:firstLine="432"/>
        <w:spacing w:after="0" w:line="337" w:lineRule="auto"/>
        <w:rPr>
          <w:sz w:val="20"/>
          <w:szCs w:val="20"/>
          <w:color w:val="auto"/>
        </w:rPr>
      </w:pPr>
      <w:r>
        <w:rPr>
          <w:rFonts w:ascii="Times New Roman" w:cs="Times New Roman" w:eastAsia="Times New Roman" w:hAnsi="Times New Roman"/>
          <w:sz w:val="13"/>
          <w:szCs w:val="13"/>
          <w:color w:val="auto"/>
        </w:rPr>
        <w:t>Sales for the quarter ended January 31, 2023 increased 2.6 percent, which consisted of an organic sales increase of 6.3 percent and a decrease of 3.7 percent from foreign currency translation. Sales for the quarter ended January 31, 2023 were $326.2 million compared to $318.1 million in the same quarter last year. By segment, sales increased 4.4 percent in Identification Solutions and decreased 3.4 percent in Workplace Safety, which consisted of an organic sales increase of 7.4 percent in Identification Solutions and an organic sales increase of 2.8 percent in Workplace Safety.</w:t>
      </w: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Income before income taxes increased 15.4 percent to $48.5 million for the quarter ended January 31, 2023, compared to $42.0 million in the same quarter last year. Income Before Income Taxes Excluding Certain Items* for the quarter ended January 31, 2023, which was adjusted for amortization expense of $3.3 million, was $51.8 million, an increase of 13.1 percent compared to the second quarter of last year.</w:t>
      </w:r>
    </w:p>
    <w:p>
      <w:pPr>
        <w:jc w:val="both"/>
        <w:ind w:firstLine="432"/>
        <w:spacing w:after="0" w:line="342" w:lineRule="auto"/>
        <w:rPr>
          <w:sz w:val="20"/>
          <w:szCs w:val="20"/>
          <w:color w:val="auto"/>
        </w:rPr>
      </w:pPr>
      <w:r>
        <w:rPr>
          <w:rFonts w:ascii="Times New Roman" w:cs="Times New Roman" w:eastAsia="Times New Roman" w:hAnsi="Times New Roman"/>
          <w:sz w:val="13"/>
          <w:szCs w:val="13"/>
          <w:color w:val="auto"/>
        </w:rPr>
        <w:t>Net income for the quarter ended January 31, 2023 was $38.0 million compared to $33.8 million in the same quarter last year. Earnings per diluted Class A Nonvoting Common Share were $0.76 in the second quarter of fiscal 2023, compared to $0.65 in the same quarter last year. Net Income Excluding Certain Items* for the quarter ended January 31, 2023 was $40.5 million and Diluted EPS Excluding Certain Items* for the quarter ended January</w:t>
      </w:r>
    </w:p>
    <w:p>
      <w:pPr>
        <w:sectPr>
          <w:pgSz w:w="11900" w:h="16838" w:orient="portrait"/>
          <w:cols w:equalWidth="0" w:num="1">
            <w:col w:w="11300"/>
          </w:cols>
          <w:pgMar w:left="300" w:top="636"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auto"/>
        </w:rPr>
        <w:t>31, 2023 was $0.81. Net Income Excluding Certain Items* for the quarter ended January 31, 2022 was $36.7 million, and Diluted EPS Excluding Certain Items* for the quarter ended January 31, 2022 was $0.70.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Six-Month Period Ended January 31, 2023 Financial Results:</w:t>
      </w:r>
    </w:p>
    <w:p>
      <w:pPr>
        <w:spacing w:after="0" w:line="51" w:lineRule="exact"/>
        <w:rPr>
          <w:sz w:val="20"/>
          <w:szCs w:val="20"/>
          <w:color w:val="auto"/>
        </w:rPr>
      </w:pPr>
    </w:p>
    <w:p>
      <w:pPr>
        <w:jc w:val="both"/>
        <w:ind w:firstLine="432"/>
        <w:spacing w:after="0" w:line="332" w:lineRule="auto"/>
        <w:rPr>
          <w:sz w:val="20"/>
          <w:szCs w:val="20"/>
          <w:color w:val="auto"/>
        </w:rPr>
      </w:pPr>
      <w:r>
        <w:rPr>
          <w:rFonts w:ascii="Times New Roman" w:cs="Times New Roman" w:eastAsia="Times New Roman" w:hAnsi="Times New Roman"/>
          <w:sz w:val="13"/>
          <w:szCs w:val="13"/>
          <w:color w:val="auto"/>
        </w:rPr>
        <w:t>Sales for the six-month period ended January 31, 2023 increased 1.5 percent, which consisted of an organic sales increase of 6.6 percent and a decrease of 5.1 percent from foreign currency translation. Sales for the six months ended January 31, 2023 were $648.8 million compared to $639.5 million in the same period last year. By segment, sales increased 3.7 percent in Identification Solutions and decreased 6.3 percent in Workplace Safety, which consisted of an organic sales increase of 8.0 percent in Identification Solutions and an organic sales increase of 2.0 percent in Workplace Safety.</w:t>
      </w:r>
    </w:p>
    <w:p>
      <w:pPr>
        <w:spacing w:after="0" w:line="1"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3"/>
          <w:szCs w:val="13"/>
          <w:color w:val="auto"/>
        </w:rPr>
        <w:t>Income before income taxes increased 14.0 percent to $98.8 million for the six-month period ended January 31, 2023, compared to $86.7 million in the same period last year. Income Before Income Taxes Excluding Certain Items* for the six months ended January 31, 2023, which was adjusted for amortization expense of $6.9 million, was $105.7 million, an increase of 12.1 percent compared to the same period of the prior year.</w:t>
      </w:r>
    </w:p>
    <w:p>
      <w:pPr>
        <w:spacing w:after="0" w:line="1" w:lineRule="exact"/>
        <w:rPr>
          <w:sz w:val="20"/>
          <w:szCs w:val="20"/>
          <w:color w:val="auto"/>
        </w:rPr>
      </w:pPr>
    </w:p>
    <w:p>
      <w:pPr>
        <w:jc w:val="both"/>
        <w:ind w:firstLine="432"/>
        <w:spacing w:after="0" w:line="353" w:lineRule="auto"/>
        <w:rPr>
          <w:sz w:val="20"/>
          <w:szCs w:val="20"/>
          <w:color w:val="auto"/>
        </w:rPr>
      </w:pPr>
      <w:r>
        <w:rPr>
          <w:rFonts w:ascii="Times New Roman" w:cs="Times New Roman" w:eastAsia="Times New Roman" w:hAnsi="Times New Roman"/>
          <w:sz w:val="13"/>
          <w:szCs w:val="13"/>
          <w:color w:val="auto"/>
        </w:rPr>
        <w:t>Net income for the six-month period ended January 31, 2023 was $77.4 million compared to $68.9 million in the same period last year. Earnings per diluted Class A Nonvoting Common Share were $1.55 for the six months ended January 31, 2023, compared to $1.32 in the same period last year. Net Income Excluding Certain Items* for the six months ended January 31, 2023 was $82.7 million and Diluted EPS Excluding Certain Items* for the six months ended January 31, 2023 was $1.65. Net Income Excluding Certain Items* for the six months ended January 31, 2022 was $74.6 million, and Diluted EPS Excluding Certain Items* for the six months ended January 31, 2022 was $1.43.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60" w:lineRule="exact"/>
        <w:rPr>
          <w:sz w:val="20"/>
          <w:szCs w:val="20"/>
          <w:color w:val="auto"/>
        </w:rPr>
      </w:pPr>
    </w:p>
    <w:p>
      <w:pPr>
        <w:jc w:val="both"/>
        <w:ind w:firstLine="432"/>
        <w:spacing w:after="0" w:line="339" w:lineRule="auto"/>
        <w:rPr>
          <w:sz w:val="20"/>
          <w:szCs w:val="20"/>
          <w:color w:val="auto"/>
        </w:rPr>
      </w:pPr>
      <w:r>
        <w:rPr>
          <w:rFonts w:ascii="Times New Roman" w:cs="Times New Roman" w:eastAsia="Times New Roman" w:hAnsi="Times New Roman"/>
          <w:sz w:val="13"/>
          <w:szCs w:val="13"/>
          <w:color w:val="auto"/>
        </w:rPr>
        <w:t>“This quarter’s results once again demonstrate our commitment to serving our customers extremely well while making their jobs easier and safer. Our investments in sales, marketing, and research and development are paying off as we’ve now generated organic sales growth of at least six percent in each of the last eight quarters and our reinvigorated innovative spirit has set the stage for continued future growth,” said Brady’s President and Chief Executive Officer, Russell R. Shaller. “Our Identification Solutions segment is performing well, with a robust pipeline of innovative new products set to launch in the second half of this fiscal year. In our Workplace Safety segment, we are seeing the benefits from the actions we took to simplify our product offering, to streamline our cost structure, and to improve our price competitiveness, resulting in another quarter of organic sales growth and increased segment profit. This quarter, we announced the reorganization of Brady around two new operating segments which will be effective next quarter: Americas &amp; Asia and Europe &amp; Australia. This reorganization allows us to further integrate our businesses, support continued growth through the application of our best go-to-market strategies in key geographies, facilitate new product development in our recent acquisitions, and further simplify our global businesses. While we recognize that the macro-economy is uncertain and that foreign currency translation is creating challenges, we continue to experience robust demand and we will continue to invest in our critical organic growth initiatives throughout the economic cycle, which we believe positions us for future success.”</w:t>
      </w:r>
    </w:p>
    <w:p>
      <w:pPr>
        <w:spacing w:after="0" w:line="3" w:lineRule="exact"/>
        <w:rPr>
          <w:sz w:val="20"/>
          <w:szCs w:val="20"/>
          <w:color w:val="auto"/>
        </w:rPr>
      </w:pPr>
    </w:p>
    <w:p>
      <w:pPr>
        <w:jc w:val="both"/>
        <w:ind w:firstLine="432"/>
        <w:spacing w:after="0" w:line="357" w:lineRule="auto"/>
        <w:rPr>
          <w:sz w:val="20"/>
          <w:szCs w:val="20"/>
          <w:color w:val="auto"/>
        </w:rPr>
      </w:pPr>
      <w:r>
        <w:rPr>
          <w:rFonts w:ascii="Times New Roman" w:cs="Times New Roman" w:eastAsia="Times New Roman" w:hAnsi="Times New Roman"/>
          <w:sz w:val="13"/>
          <w:szCs w:val="13"/>
          <w:color w:val="auto"/>
        </w:rPr>
        <w:t>“Brady is in an enviable financial position. This quarter, we grew organic sales by 6.3 percent, we grew GAAP diluted earnings per share by 16.9 percent, and cash flow from operating activities was a robust $29.4 million. For the first half of this fiscal year, our cash flow from operating activities was more than double what it was in the first half of last year,” said Brady’s Chief Financial Officer, Aaron Pearce. “We also returned $22.8</w:t>
      </w:r>
    </w:p>
    <w:p>
      <w:pPr>
        <w:sectPr>
          <w:pgSz w:w="11900" w:h="16838" w:orient="portrait"/>
          <w:cols w:equalWidth="0" w:num="1">
            <w:col w:w="11300"/>
          </w:cols>
          <w:pgMar w:left="300" w:top="674" w:right="299" w:bottom="1440" w:gutter="0" w:footer="0" w:header="0"/>
        </w:sectPr>
      </w:pPr>
    </w:p>
    <w:bookmarkStart w:id="4" w:name="page5"/>
    <w:bookmarkEnd w:id="4"/>
    <w:p>
      <w:pPr>
        <w:jc w:val="both"/>
        <w:spacing w:after="0" w:line="350" w:lineRule="auto"/>
        <w:rPr>
          <w:sz w:val="20"/>
          <w:szCs w:val="20"/>
          <w:color w:val="auto"/>
        </w:rPr>
      </w:pPr>
      <w:r>
        <w:rPr>
          <w:rFonts w:ascii="Times New Roman" w:cs="Times New Roman" w:eastAsia="Times New Roman" w:hAnsi="Times New Roman"/>
          <w:sz w:val="13"/>
          <w:szCs w:val="13"/>
          <w:color w:val="auto"/>
        </w:rPr>
        <w:t>million to our shareholders in the form of dividends and repurchased another $17.9 million worth of shares in the first half of this fiscal year. We are in a net cash position of $30.9 million at January 31, 2023. We will remain disciplined with capital allocation by fully funding our organic investments, returning funds to our shareholders in the form of dividends, being opportunistic with share buybacks and executing acquisitions that increase our growth trajectory in a highly disciplined manner. We are confident that this disciplined approach to capital allocation will serve our shareholders well over the long term.”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2023 Guidance:</w:t>
      </w:r>
    </w:p>
    <w:p>
      <w:pPr>
        <w:spacing w:after="0" w:line="51"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3"/>
          <w:szCs w:val="13"/>
          <w:color w:val="auto"/>
        </w:rPr>
        <w:t>The Company raised the low end of its GAAP earnings per diluted Class A Nonvoting Common Share guidance for the year ending July 31, 2023 from the previous guidance range of $3.13 to $3.43 per share to the new full year guidance range of $3.23 to $3.43 per share. The Company also raised the low end of its Diluted EPS Excluding Certain Items* guidance for the year ending July 31, 2023 from the previous range of $3.30 to $3.60 per share to the new full year guidance range of $3.40 to $3.60 per share.</w:t>
      </w:r>
    </w:p>
    <w:p>
      <w:pPr>
        <w:spacing w:after="0" w:line="1" w:lineRule="exact"/>
        <w:rPr>
          <w:sz w:val="20"/>
          <w:szCs w:val="20"/>
          <w:color w:val="auto"/>
        </w:rPr>
      </w:pPr>
    </w:p>
    <w:p>
      <w:pPr>
        <w:jc w:val="both"/>
        <w:ind w:right="20" w:firstLine="432"/>
        <w:spacing w:after="0" w:line="367" w:lineRule="auto"/>
        <w:rPr>
          <w:sz w:val="20"/>
          <w:szCs w:val="20"/>
          <w:color w:val="auto"/>
        </w:rPr>
      </w:pPr>
      <w:r>
        <w:rPr>
          <w:rFonts w:ascii="Times New Roman" w:cs="Times New Roman" w:eastAsia="Times New Roman" w:hAnsi="Times New Roman"/>
          <w:sz w:val="13"/>
          <w:szCs w:val="13"/>
          <w:color w:val="auto"/>
        </w:rPr>
        <w:t>The other assumptions included in our fiscal 2023 guidance include a full-year income tax rate of approximately 21 percent, depreciation and amortization expense ranging from $32 million to $34 million, and capital expenditures of approximately $22 million. Our fiscal 2023 guidance is based on foreign currency exchange rates as of January 31, 2023 and assumes continued economic growth.</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2023 second quarter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52"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 sales were approximately $1.30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290" w:lineRule="exact"/>
        <w:rPr>
          <w:sz w:val="20"/>
          <w:szCs w:val="20"/>
          <w:color w:val="auto"/>
        </w:rPr>
      </w:pPr>
    </w:p>
    <w:p>
      <w:pPr>
        <w:ind w:firstLine="424"/>
        <w:spacing w:after="0" w:line="367" w:lineRule="auto"/>
        <w:tabs>
          <w:tab w:leader="none" w:pos="53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ectPr>
          <w:pgSz w:w="11900" w:h="16838" w:orient="portrait"/>
          <w:cols w:equalWidth="0" w:num="1">
            <w:col w:w="11300"/>
          </w:cols>
          <w:pgMar w:left="300" w:top="674" w:right="299" w:bottom="144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labor and freight as well as material shortages and supply chain disruptions;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adverse impacts of the novel coronavirus (“COVID-19”) pandemic or other pandemics;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3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2022</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326,249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318,055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648,818</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639,530</w:t>
            </w:r>
          </w:p>
        </w:tc>
      </w:tr>
      <w:tr>
        <w:trPr>
          <w:trHeight w:val="142"/>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169,809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168,693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337,114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335,180</w:t>
            </w:r>
          </w:p>
        </w:tc>
      </w:tr>
      <w:tr>
        <w:trPr>
          <w:trHeight w:val="135"/>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156,440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149,362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311,704</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304,350</w:t>
            </w:r>
          </w:p>
        </w:tc>
      </w:tr>
      <w:tr>
        <w:trPr>
          <w:trHeight w:val="142"/>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15,377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29,310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27,872</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92,282</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92,525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182,227</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189,271</w:t>
            </w:r>
          </w:p>
        </w:tc>
      </w:tr>
      <w:tr>
        <w:trPr>
          <w:trHeight w:val="135"/>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107,659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106,490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211,537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217,143</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48,781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42,872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100,167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87,207</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 (expense)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48,510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42,042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98,845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86,738</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8,227</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17,877</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0"/>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37,986</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33,815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77,427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68,861</w:t>
            </w:r>
          </w:p>
        </w:tc>
      </w:tr>
      <w:tr>
        <w:trPr>
          <w:trHeight w:val="153"/>
        </w:trPr>
        <w:tc>
          <w:tcPr>
            <w:tcW w:w="5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0.65</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0.65</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71"/>
        </w:trPr>
        <w:tc>
          <w:tcPr>
            <w:tcW w:w="5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49,745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49,806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51,887</w:t>
            </w:r>
          </w:p>
        </w:tc>
      </w:tr>
      <w:tr>
        <w:trPr>
          <w:trHeight w:val="14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52,162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50,049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52,299</w:t>
            </w:r>
          </w:p>
        </w:tc>
      </w:tr>
    </w:tbl>
    <w:p>
      <w:pPr>
        <w:sectPr>
          <w:pgSz w:w="11900" w:h="16838" w:orient="portrait"/>
          <w:cols w:equalWidth="0" w:num="1">
            <w:col w:w="11300"/>
          </w:cols>
          <w:pgMar w:left="300" w:top="56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January 31, 2023</w:t>
            </w:r>
          </w:p>
        </w:tc>
        <w:tc>
          <w:tcPr>
            <w:tcW w:w="220" w:type="dxa"/>
            <w:vAlign w:val="bottom"/>
          </w:tcPr>
          <w:p>
            <w:pPr>
              <w:spacing w:after="0"/>
              <w:rPr>
                <w:sz w:val="12"/>
                <w:szCs w:val="12"/>
                <w:color w:val="auto"/>
              </w:rPr>
            </w:pPr>
          </w:p>
        </w:tc>
        <w:tc>
          <w:tcPr>
            <w:tcW w:w="114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July 31, 2022</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(Unaudited)</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108,210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114,069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$8,097 and $7,355,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186,852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183,233</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195,167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190,023</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13,986</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10,743</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504,215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498,068</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139,511</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590,776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586,832</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74,028</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15,881</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31,411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31,293</w:t>
            </w:r>
          </w:p>
        </w:tc>
      </w:tr>
      <w:tr>
        <w:trPr>
          <w:trHeight w:val="144"/>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21,748</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21,719</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1,372,273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1,367,332</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8"/>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75,876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81,116</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76,764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12,799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12,539</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8,294</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15,402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15,003</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65,765</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61,458</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229,849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255,174</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77,281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95,000</w:t>
            </w:r>
          </w:p>
        </w:tc>
      </w:tr>
      <w:tr>
        <w:trPr>
          <w:trHeight w:val="146"/>
        </w:trPr>
        <w:tc>
          <w:tcPr>
            <w:tcW w:w="84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19,143</w:t>
            </w:r>
          </w:p>
        </w:tc>
      </w:tr>
      <w:tr>
        <w:trPr>
          <w:trHeight w:val="142"/>
        </w:trPr>
        <w:tc>
          <w:tcPr>
            <w:tcW w:w="84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79,917</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86,717</w:t>
            </w:r>
          </w:p>
        </w:tc>
      </w:tr>
      <w:tr>
        <w:trPr>
          <w:trHeight w:val="135"/>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404,869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456,034</w:t>
            </w:r>
          </w:p>
        </w:tc>
      </w:tr>
      <w:tr>
        <w:trPr>
          <w:trHeight w:val="142"/>
        </w:trPr>
        <w:tc>
          <w:tcPr>
            <w:tcW w:w="848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46,115,760 and 46,370,708 shares,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48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348,513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345,266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947,051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892,417</w:t>
            </w:r>
          </w:p>
        </w:tc>
      </w:tr>
      <w:tr>
        <w:trPr>
          <w:trHeight w:val="142"/>
        </w:trPr>
        <w:tc>
          <w:tcPr>
            <w:tcW w:w="8480" w:type="dxa"/>
            <w:vAlign w:val="bottom"/>
            <w:gridSpan w:val="5"/>
          </w:tcPr>
          <w:p>
            <w:pPr>
              <w:ind w:left="220"/>
              <w:spacing w:after="0"/>
              <w:rPr>
                <w:sz w:val="20"/>
                <w:szCs w:val="20"/>
                <w:color w:val="auto"/>
              </w:rPr>
            </w:pPr>
            <w:r>
              <w:rPr>
                <w:rFonts w:ascii="Times New Roman" w:cs="Times New Roman" w:eastAsia="Times New Roman" w:hAnsi="Times New Roman"/>
                <w:sz w:val="11"/>
                <w:szCs w:val="11"/>
                <w:color w:val="auto"/>
              </w:rPr>
              <w:t>Treasury stock—5,145,727 and 4,890,779 shares, respectively of Class A nonvoting common stock, at cost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(233,338)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(217,856)</w:t>
            </w:r>
          </w:p>
        </w:tc>
      </w:tr>
      <w:tr>
        <w:trPr>
          <w:trHeight w:val="146"/>
        </w:trPr>
        <w:tc>
          <w:tcPr>
            <w:tcW w:w="84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(95,370)</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(109,077)</w:t>
            </w:r>
          </w:p>
        </w:tc>
      </w:tr>
      <w:tr>
        <w:trPr>
          <w:trHeight w:val="131"/>
        </w:trPr>
        <w:tc>
          <w:tcPr>
            <w:tcW w:w="8480" w:type="dxa"/>
            <w:vAlign w:val="bottom"/>
            <w:tcBorders>
              <w:bottom w:val="single" w:sz="8" w:color="CCEEFF"/>
            </w:tcBorders>
            <w:gridSpan w:val="5"/>
          </w:tcPr>
          <w:p>
            <w:pPr>
              <w:ind w:left="36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967,404</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911,298</w:t>
            </w:r>
          </w:p>
        </w:tc>
      </w:tr>
      <w:tr>
        <w:trPr>
          <w:trHeight w:val="151"/>
        </w:trPr>
        <w:tc>
          <w:tcPr>
            <w:tcW w:w="84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1,372,273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1,367,332</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26"/>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2023</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2022</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77,427</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68,861</w:t>
            </w:r>
          </w:p>
        </w:tc>
      </w:tr>
      <w:tr>
        <w:trPr>
          <w:trHeight w:val="146"/>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16,996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7,170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(7,216)</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(34,360)</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w:t>
            </w:r>
          </w:p>
        </w:tc>
      </w:tr>
      <w:tr>
        <w:trPr>
          <w:trHeight w:val="142"/>
        </w:trPr>
        <w:tc>
          <w:tcPr>
            <w:tcW w:w="84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(29,156)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(25,357)</w:t>
            </w:r>
          </w:p>
        </w:tc>
      </w:tr>
      <w:tr>
        <w:trPr>
          <w:trHeight w:val="146"/>
        </w:trPr>
        <w:tc>
          <w:tcPr>
            <w:tcW w:w="84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(1,734)</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982</w:t>
            </w:r>
          </w:p>
        </w:tc>
      </w:tr>
      <w:tr>
        <w:trPr>
          <w:trHeight w:val="131"/>
        </w:trPr>
        <w:tc>
          <w:tcPr>
            <w:tcW w:w="8480" w:type="dxa"/>
            <w:vAlign w:val="bottom"/>
          </w:tcPr>
          <w:p>
            <w:pPr>
              <w:ind w:left="1000"/>
              <w:spacing w:after="0" w:line="121"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57,384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24,328</w:t>
            </w:r>
          </w:p>
        </w:tc>
      </w:tr>
      <w:tr>
        <w:trPr>
          <w:trHeight w:val="173"/>
        </w:trPr>
        <w:tc>
          <w:tcPr>
            <w:tcW w:w="8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2"/>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(16,440)</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investing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(8,156)</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(16,381)</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(22,793)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(23,249)</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(5,025)</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(17,861)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(21,720)</w:t>
            </w:r>
          </w:p>
        </w:tc>
      </w:tr>
      <w:tr>
        <w:trPr>
          <w:trHeight w:val="142"/>
        </w:trPr>
        <w:tc>
          <w:tcPr>
            <w:tcW w:w="84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agreement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71,036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131,216</w:t>
            </w:r>
          </w:p>
        </w:tc>
      </w:tr>
      <w:tr>
        <w:trPr>
          <w:trHeight w:val="146"/>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agreement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(88,755)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(86,216)</w:t>
            </w:r>
          </w:p>
        </w:tc>
      </w:tr>
      <w:tr>
        <w:trPr>
          <w:trHeight w:val="142"/>
        </w:trPr>
        <w:tc>
          <w:tcPr>
            <w:tcW w:w="8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(57,128)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(4,505)</w:t>
            </w:r>
          </w:p>
        </w:tc>
      </w:tr>
      <w:tr>
        <w:trPr>
          <w:trHeight w:val="171"/>
        </w:trPr>
        <w:tc>
          <w:tcPr>
            <w:tcW w:w="8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2"/>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(3,370)</w:t>
            </w:r>
          </w:p>
        </w:tc>
      </w:tr>
      <w:tr>
        <w:trPr>
          <w:trHeight w:val="153"/>
        </w:trPr>
        <w:tc>
          <w:tcPr>
            <w:tcW w:w="8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(decrease) increase in cash and cash equivalents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r>
      <w:tr>
        <w:trPr>
          <w:trHeight w:val="142"/>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114,069</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147,335</w:t>
            </w:r>
          </w:p>
        </w:tc>
      </w:tr>
      <w:tr>
        <w:trPr>
          <w:trHeight w:val="153"/>
        </w:trPr>
        <w:tc>
          <w:tcPr>
            <w:tcW w:w="8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88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108,210</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147,407</w:t>
            </w:r>
          </w:p>
        </w:tc>
      </w:tr>
      <w:tr>
        <w:trPr>
          <w:trHeight w:val="20"/>
        </w:trPr>
        <w:tc>
          <w:tcPr>
            <w:tcW w:w="8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16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820" w:type="dxa"/>
            <w:vAlign w:val="bottom"/>
            <w:tcBorders>
              <w:bottom w:val="single" w:sz="8" w:color="auto"/>
            </w:tcBorders>
          </w:tcPr>
          <w:p>
            <w:pPr>
              <w:spacing w:after="0"/>
              <w:rPr>
                <w:sz w:val="12"/>
                <w:szCs w:val="12"/>
                <w:color w:val="auto"/>
              </w:rPr>
            </w:pPr>
          </w:p>
        </w:tc>
      </w:tr>
      <w:tr>
        <w:trPr>
          <w:trHeight w:val="151"/>
        </w:trPr>
        <w:tc>
          <w:tcPr>
            <w:tcW w:w="53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2022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0"/>
              </w:rPr>
              <w:t>2022</w:t>
            </w:r>
          </w:p>
        </w:tc>
      </w:tr>
      <w:tr>
        <w:trPr>
          <w:trHeight w:val="126"/>
        </w:trPr>
        <w:tc>
          <w:tcPr>
            <w:tcW w:w="53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2"/>
        </w:trPr>
        <w:tc>
          <w:tcPr>
            <w:tcW w:w="53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IDS</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255,683</w:t>
            </w:r>
          </w:p>
        </w:tc>
        <w:tc>
          <w:tcPr>
            <w:tcW w:w="80" w:type="dxa"/>
            <w:vAlign w:val="bottom"/>
          </w:tcPr>
          <w:p>
            <w:pPr>
              <w:spacing w:after="0"/>
              <w:rPr>
                <w:sz w:val="12"/>
                <w:szCs w:val="12"/>
                <w:color w:val="auto"/>
              </w:rPr>
            </w:pPr>
          </w:p>
        </w:tc>
        <w:tc>
          <w:tcPr>
            <w:tcW w:w="880" w:type="dxa"/>
            <w:vAlign w:val="bottom"/>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244,986</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512,039</w:t>
            </w:r>
          </w:p>
        </w:tc>
        <w:tc>
          <w:tcPr>
            <w:tcW w:w="100" w:type="dxa"/>
            <w:vAlign w:val="bottom"/>
          </w:tcPr>
          <w:p>
            <w:pPr>
              <w:spacing w:after="0"/>
              <w:rPr>
                <w:sz w:val="12"/>
                <w:szCs w:val="12"/>
                <w:color w:val="auto"/>
              </w:rPr>
            </w:pPr>
          </w:p>
        </w:tc>
        <w:tc>
          <w:tcPr>
            <w:tcW w:w="60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493,603</w:t>
            </w:r>
          </w:p>
        </w:tc>
      </w:tr>
      <w:tr>
        <w:trPr>
          <w:trHeight w:val="144"/>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WPS</w:t>
            </w: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70,566</w:t>
            </w:r>
          </w:p>
        </w:tc>
        <w:tc>
          <w:tcPr>
            <w:tcW w:w="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73,069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136,779</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145,927</w:t>
            </w:r>
          </w:p>
        </w:tc>
      </w:tr>
      <w:tr>
        <w:trPr>
          <w:trHeight w:val="151"/>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326,249</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318,055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648,818</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639,530</w:t>
            </w:r>
          </w:p>
        </w:tc>
      </w:tr>
      <w:tr>
        <w:trPr>
          <w:trHeight w:val="153"/>
        </w:trPr>
        <w:tc>
          <w:tcPr>
            <w:tcW w:w="5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IDS</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53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7.4 %</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16.0 %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8.0 %</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14.6 %</w:t>
            </w:r>
          </w:p>
        </w:tc>
      </w:tr>
      <w:tr>
        <w:trPr>
          <w:trHeight w:val="15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53"/>
        </w:trPr>
        <w:tc>
          <w:tcPr>
            <w:tcW w:w="53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Acquisition</w:t>
            </w:r>
          </w:p>
        </w:tc>
        <w:tc>
          <w:tcPr>
            <w:tcW w:w="900" w:type="dxa"/>
            <w:vAlign w:val="bottom"/>
          </w:tcPr>
          <w:p>
            <w:pPr>
              <w:spacing w:after="0"/>
              <w:rPr>
                <w:sz w:val="13"/>
                <w:szCs w:val="13"/>
                <w:color w:val="auto"/>
              </w:rPr>
            </w:pPr>
          </w:p>
        </w:tc>
        <w:tc>
          <w:tcPr>
            <w:tcW w:w="1520" w:type="dxa"/>
            <w:vAlign w:val="bottom"/>
            <w:gridSpan w:val="4"/>
          </w:tcPr>
          <w:p>
            <w:pPr>
              <w:jc w:val="right"/>
              <w:ind w:right="966"/>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11.8 %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4"/>
          </w:tcPr>
          <w:p>
            <w:pPr>
              <w:jc w:val="right"/>
              <w:ind w:right="646"/>
              <w:spacing w:after="0"/>
              <w:rPr>
                <w:sz w:val="20"/>
                <w:szCs w:val="20"/>
                <w:color w:val="auto"/>
              </w:rPr>
            </w:pPr>
            <w:r>
              <w:rPr>
                <w:rFonts w:ascii="Times New Roman" w:cs="Times New Roman" w:eastAsia="Times New Roman" w:hAnsi="Times New Roman"/>
                <w:sz w:val="12"/>
                <w:szCs w:val="12"/>
                <w:color w:val="auto"/>
              </w:rPr>
              <w:t>—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11.7 %</w:t>
            </w:r>
          </w:p>
        </w:tc>
      </w:tr>
      <w:tr>
        <w:trPr>
          <w:trHeight w:val="153"/>
        </w:trPr>
        <w:tc>
          <w:tcPr>
            <w:tcW w:w="5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21"/>
        </w:trPr>
        <w:tc>
          <w:tcPr>
            <w:tcW w:w="534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WPS</w:t>
            </w: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5"/>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r>
      <w:tr>
        <w:trPr>
          <w:trHeight w:val="142"/>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(6.2) %</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(8.3) %</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55"/>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 %</w:t>
            </w:r>
          </w:p>
        </w:tc>
      </w:tr>
      <w:tr>
        <w:trPr>
          <w:trHeight w:val="121"/>
        </w:trPr>
        <w:tc>
          <w:tcPr>
            <w:tcW w:w="534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4"/>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Organic</w:t>
            </w:r>
          </w:p>
        </w:tc>
        <w:tc>
          <w:tcPr>
            <w:tcW w:w="9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6.3 %</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13.1 %</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6.6 %</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r>
      <w:tr>
        <w:trPr>
          <w:trHeight w:val="153"/>
        </w:trPr>
        <w:tc>
          <w:tcPr>
            <w:tcW w:w="53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Currency</w:t>
            </w:r>
          </w:p>
        </w:tc>
        <w:tc>
          <w:tcPr>
            <w:tcW w:w="9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(0.7)%</w:t>
            </w:r>
          </w:p>
        </w:tc>
      </w:tr>
      <w:tr>
        <w:trPr>
          <w:trHeight w:val="15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Acquisition</w:t>
            </w:r>
          </w:p>
        </w:tc>
        <w:tc>
          <w:tcPr>
            <w:tcW w:w="900" w:type="dxa"/>
            <w:vAlign w:val="bottom"/>
            <w:shd w:val="clear" w:color="auto" w:fill="CCEEFF"/>
          </w:tcPr>
          <w:p>
            <w:pPr>
              <w:spacing w:after="0"/>
              <w:rPr>
                <w:sz w:val="13"/>
                <w:szCs w:val="13"/>
                <w:color w:val="auto"/>
              </w:rPr>
            </w:pPr>
          </w:p>
        </w:tc>
        <w:tc>
          <w:tcPr>
            <w:tcW w:w="1520" w:type="dxa"/>
            <w:vAlign w:val="bottom"/>
            <w:gridSpan w:val="4"/>
            <w:shd w:val="clear" w:color="auto" w:fill="CCEEFF"/>
          </w:tcPr>
          <w:p>
            <w:pPr>
              <w:jc w:val="right"/>
              <w:ind w:right="966"/>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8.6 %</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780" w:type="dxa"/>
            <w:vAlign w:val="bottom"/>
            <w:gridSpan w:val="4"/>
            <w:shd w:val="clear" w:color="auto" w:fill="CCEEFF"/>
          </w:tcPr>
          <w:p>
            <w:pPr>
              <w:jc w:val="right"/>
              <w:ind w:right="646"/>
              <w:spacing w:after="0"/>
              <w:rPr>
                <w:sz w:val="20"/>
                <w:szCs w:val="20"/>
                <w:color w:val="auto"/>
              </w:rPr>
            </w:pPr>
            <w:r>
              <w:rPr>
                <w:rFonts w:ascii="Times New Roman" w:cs="Times New Roman" w:eastAsia="Times New Roman" w:hAnsi="Times New Roman"/>
                <w:sz w:val="12"/>
                <w:szCs w:val="12"/>
                <w:color w:val="auto"/>
              </w:rPr>
              <w:t>— %</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8.5 %</w:t>
            </w:r>
          </w:p>
        </w:tc>
      </w:tr>
      <w:tr>
        <w:trPr>
          <w:trHeight w:val="149"/>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53"/>
        </w:trPr>
        <w:tc>
          <w:tcPr>
            <w:tcW w:w="5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3"/>
        </w:trPr>
        <w:tc>
          <w:tcPr>
            <w:tcW w:w="5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IDS</w:t>
            </w: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47,384</w:t>
            </w:r>
          </w:p>
        </w:tc>
        <w:tc>
          <w:tcPr>
            <w:tcW w:w="1100" w:type="dxa"/>
            <w:vAlign w:val="bottom"/>
            <w:gridSpan w:val="3"/>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44,129</w:t>
            </w:r>
          </w:p>
        </w:tc>
        <w:tc>
          <w:tcPr>
            <w:tcW w:w="540" w:type="dxa"/>
            <w:vAlign w:val="bottom"/>
            <w:gridSpan w:val="3"/>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98,909</w:t>
            </w:r>
          </w:p>
        </w:tc>
        <w:tc>
          <w:tcPr>
            <w:tcW w:w="800" w:type="dxa"/>
            <w:vAlign w:val="bottom"/>
            <w:gridSpan w:val="3"/>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92,945</w:t>
            </w:r>
          </w:p>
        </w:tc>
        <w:tc>
          <w:tcPr>
            <w:tcW w:w="120" w:type="dxa"/>
            <w:vAlign w:val="bottom"/>
            <w:shd w:val="clear" w:color="auto" w:fill="CCEEFF"/>
          </w:tcPr>
          <w:p>
            <w:pPr>
              <w:spacing w:after="0"/>
              <w:rPr>
                <w:sz w:val="12"/>
                <w:szCs w:val="12"/>
                <w:color w:val="auto"/>
              </w:rPr>
            </w:pPr>
          </w:p>
        </w:tc>
      </w:tr>
      <w:tr>
        <w:trPr>
          <w:trHeight w:val="142"/>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WPS</w:t>
            </w: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4,515</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12,627</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6,808</w:t>
            </w:r>
          </w:p>
        </w:tc>
        <w:tc>
          <w:tcPr>
            <w:tcW w:w="120" w:type="dxa"/>
            <w:vAlign w:val="bottom"/>
            <w:tcBorders>
              <w:bottom w:val="single" w:sz="8" w:color="auto"/>
            </w:tcBorders>
          </w:tcPr>
          <w:p>
            <w:pPr>
              <w:spacing w:after="0"/>
              <w:rPr>
                <w:sz w:val="12"/>
                <w:szCs w:val="12"/>
                <w:color w:val="auto"/>
              </w:rPr>
            </w:pPr>
          </w:p>
        </w:tc>
      </w:tr>
      <w:tr>
        <w:trPr>
          <w:trHeight w:val="155"/>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53,633</w:t>
            </w: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48,644</w:t>
            </w: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111,536</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99,753</w:t>
            </w:r>
          </w:p>
        </w:tc>
        <w:tc>
          <w:tcPr>
            <w:tcW w:w="120" w:type="dxa"/>
            <w:vAlign w:val="bottom"/>
            <w:tcBorders>
              <w:bottom w:val="single" w:sz="8" w:color="auto"/>
            </w:tcBorders>
            <w:shd w:val="clear" w:color="auto" w:fill="CCEEFF"/>
          </w:tcPr>
          <w:p>
            <w:pPr>
              <w:spacing w:after="0"/>
              <w:rPr>
                <w:sz w:val="13"/>
                <w:szCs w:val="13"/>
                <w:color w:val="auto"/>
              </w:rPr>
            </w:pPr>
          </w:p>
        </w:tc>
      </w:tr>
      <w:tr>
        <w:trPr>
          <w:trHeight w:val="121"/>
        </w:trPr>
        <w:tc>
          <w:tcPr>
            <w:tcW w:w="534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5"/>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IDS</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142"/>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WPS</w:t>
            </w: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8.9 %</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6.2 %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9.2 %</w:t>
            </w: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4.7 %</w:t>
            </w:r>
          </w:p>
        </w:tc>
      </w:tr>
      <w:tr>
        <w:trPr>
          <w:trHeight w:val="151"/>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r>
      <w:tr>
        <w:trPr>
          <w:trHeight w:val="493"/>
        </w:trPr>
        <w:tc>
          <w:tcPr>
            <w:tcW w:w="534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20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51"/>
        </w:trPr>
        <w:tc>
          <w:tcPr>
            <w:tcW w:w="534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2023</w:t>
            </w:r>
          </w:p>
        </w:tc>
        <w:tc>
          <w:tcPr>
            <w:tcW w:w="420" w:type="dxa"/>
            <w:vAlign w:val="bottom"/>
          </w:tcPr>
          <w:p>
            <w:pPr>
              <w:spacing w:after="0"/>
              <w:rPr>
                <w:sz w:val="13"/>
                <w:szCs w:val="13"/>
                <w:color w:val="auto"/>
              </w:rPr>
            </w:pPr>
          </w:p>
        </w:tc>
        <w:tc>
          <w:tcPr>
            <w:tcW w:w="110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jc w:val="right"/>
              <w:ind w:right="445"/>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jc w:val="right"/>
              <w:ind w:right="424"/>
              <w:spacing w:after="0"/>
              <w:rPr>
                <w:sz w:val="20"/>
                <w:szCs w:val="20"/>
                <w:color w:val="auto"/>
              </w:rPr>
            </w:pPr>
            <w:r>
              <w:rPr>
                <w:rFonts w:ascii="Times New Roman" w:cs="Times New Roman" w:eastAsia="Times New Roman" w:hAnsi="Times New Roman"/>
                <w:sz w:val="11"/>
                <w:szCs w:val="11"/>
                <w:color w:val="auto"/>
                <w:w w:val="90"/>
              </w:rPr>
              <w:t>2022</w:t>
            </w:r>
          </w:p>
        </w:tc>
        <w:tc>
          <w:tcPr>
            <w:tcW w:w="120" w:type="dxa"/>
            <w:vAlign w:val="bottom"/>
          </w:tcPr>
          <w:p>
            <w:pPr>
              <w:spacing w:after="0"/>
              <w:rPr>
                <w:sz w:val="13"/>
                <w:szCs w:val="13"/>
                <w:color w:val="auto"/>
              </w:rPr>
            </w:pPr>
          </w:p>
        </w:tc>
      </w:tr>
      <w:tr>
        <w:trPr>
          <w:trHeight w:val="135"/>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900" w:type="dxa"/>
            <w:vAlign w:val="bottom"/>
            <w:tcBorders>
              <w:top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53,633</w:t>
            </w: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48,644</w:t>
            </w: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111,536</w:t>
            </w: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99,753</w:t>
            </w:r>
          </w:p>
        </w:tc>
        <w:tc>
          <w:tcPr>
            <w:tcW w:w="120" w:type="dxa"/>
            <w:vAlign w:val="bottom"/>
            <w:tcBorders>
              <w:top w:val="single" w:sz="8" w:color="auto"/>
            </w:tcBorders>
            <w:shd w:val="clear" w:color="auto" w:fill="CCEEFF"/>
          </w:tcPr>
          <w:p>
            <w:pPr>
              <w:spacing w:after="0"/>
              <w:rPr>
                <w:sz w:val="11"/>
                <w:szCs w:val="11"/>
                <w:color w:val="auto"/>
              </w:rPr>
            </w:pP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9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(12,546)</w:t>
            </w:r>
          </w:p>
        </w:tc>
        <w:tc>
          <w:tcPr>
            <w:tcW w:w="120" w:type="dxa"/>
            <w:vAlign w:val="bottom"/>
            <w:shd w:val="clear" w:color="auto" w:fill="CCEEFF"/>
          </w:tcPr>
          <w:p>
            <w:pPr>
              <w:spacing w:after="0"/>
              <w:rPr>
                <w:sz w:val="12"/>
                <w:szCs w:val="12"/>
                <w:color w:val="auto"/>
              </w:rPr>
            </w:pPr>
          </w:p>
        </w:tc>
      </w:tr>
      <w:tr>
        <w:trPr>
          <w:trHeight w:val="142"/>
        </w:trPr>
        <w:tc>
          <w:tcPr>
            <w:tcW w:w="53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Investment and other (expense) income</w:t>
            </w:r>
          </w:p>
        </w:tc>
        <w:tc>
          <w:tcPr>
            <w:tcW w:w="9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12"/>
                <w:szCs w:val="12"/>
                <w:color w:val="auto"/>
              </w:rPr>
            </w:pPr>
          </w:p>
        </w:tc>
      </w:tr>
      <w:tr>
        <w:trPr>
          <w:trHeight w:val="14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(1,239)</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w:t>
            </w:r>
          </w:p>
        </w:tc>
        <w:tc>
          <w:tcPr>
            <w:tcW w:w="10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20" w:type="dxa"/>
            <w:vAlign w:val="bottom"/>
            <w:tcBorders>
              <w:bottom w:val="single" w:sz="8" w:color="auto"/>
            </w:tcBorders>
            <w:shd w:val="clear" w:color="auto" w:fill="CCEEFF"/>
          </w:tcPr>
          <w:p>
            <w:pPr>
              <w:spacing w:after="0"/>
              <w:rPr>
                <w:sz w:val="12"/>
                <w:szCs w:val="12"/>
                <w:color w:val="auto"/>
              </w:rPr>
            </w:pPr>
          </w:p>
        </w:tc>
      </w:tr>
      <w:tr>
        <w:trPr>
          <w:trHeight w:val="133"/>
        </w:trPr>
        <w:tc>
          <w:tcPr>
            <w:tcW w:w="534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90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48,510</w:t>
            </w: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42,042</w:t>
            </w: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98,845</w:t>
            </w: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86,738</w:t>
            </w:r>
          </w:p>
        </w:tc>
        <w:tc>
          <w:tcPr>
            <w:tcW w:w="120" w:type="dxa"/>
            <w:vAlign w:val="bottom"/>
            <w:tcBorders>
              <w:bottom w:val="single" w:sz="8" w:color="auto"/>
            </w:tcBorders>
          </w:tcPr>
          <w:p>
            <w:pPr>
              <w:spacing w:after="0"/>
              <w:rPr>
                <w:sz w:val="11"/>
                <w:szCs w:val="1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Income Before Income Taxes Excluding Certain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2022</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48,510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42,042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98,845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86,738</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3,258</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3,749</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6,889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7,556</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51,768</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45,791</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105,734</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94,294</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 Expense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0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Six months ended January 31,</w:t>
            </w:r>
          </w:p>
        </w:tc>
        <w:tc>
          <w:tcPr>
            <w:tcW w:w="46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460" w:type="dxa"/>
            <w:vAlign w:val="bottom"/>
            <w:tcBorders>
              <w:bottom w:val="single" w:sz="8" w:color="auto"/>
            </w:tcBorders>
          </w:tcPr>
          <w:p>
            <w:pPr>
              <w:spacing w:after="0"/>
              <w:rPr>
                <w:sz w:val="11"/>
                <w:szCs w:val="11"/>
                <w:color w:val="auto"/>
              </w:rPr>
            </w:pP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10,524</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8,227</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21,418</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17,877</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1,634</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1,787</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11,293</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9,114</w:t>
            </w:r>
          </w:p>
        </w:tc>
        <w:tc>
          <w:tcPr>
            <w:tcW w:w="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23,052</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19,664</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2023</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2022</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37,986</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33,815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77,427</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68,861</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5,769</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Excluding Certain Items (non-GAAP measure)</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40,475</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36,677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82,682</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74,630</w:t>
            </w:r>
          </w:p>
        </w:tc>
      </w:tr>
    </w:tbl>
    <w:p>
      <w:pPr>
        <w:sectPr>
          <w:pgSz w:w="11900" w:h="16838" w:orient="portrait"/>
          <w:cols w:equalWidth="0" w:num="1">
            <w:col w:w="11300"/>
          </w:cols>
          <w:pgMar w:left="300" w:top="557"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January 31,</w:t>
            </w: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Times New Roman" w:cs="Times New Roman" w:eastAsia="Times New Roman" w:hAnsi="Times New Roman"/>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2023</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2022</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0.65</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r>
      <w:tr>
        <w:trPr>
          <w:trHeight w:val="142"/>
        </w:trPr>
        <w:tc>
          <w:tcPr>
            <w:tcW w:w="55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0.11</w:t>
            </w:r>
          </w:p>
        </w:tc>
      </w:tr>
      <w:tr>
        <w:trPr>
          <w:trHeight w:val="151"/>
        </w:trPr>
        <w:tc>
          <w:tcPr>
            <w:tcW w:w="558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96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0.81</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0.70</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1.65</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1.43</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2023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0.17</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3.60</w:t>
            </w:r>
          </w:p>
        </w:tc>
      </w:tr>
    </w:tbl>
    <w:p>
      <w:pPr>
        <w:sectPr>
          <w:pgSz w:w="11900" w:h="16838" w:orient="portrait"/>
          <w:cols w:equalWidth="0" w:num="1">
            <w:col w:w="11300"/>
          </w:cols>
          <w:pgMar w:left="300" w:top="665" w:right="299" w:bottom="1440"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2023-02-24T06:10:50Z</dcterms:created>
  <dcterms:modified xsi:type="dcterms:W3CDTF">2023-02-24T06:10:50Z</dcterms:modified>
</cp:coreProperties>
</file>