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46355</wp:posOffset>
            </wp:positionV>
            <wp:extent cx="15906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0675" cy="762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79375</wp:posOffset>
            </wp:positionV>
            <wp:extent cx="15906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0675" cy="762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58420</wp:posOffset>
            </wp:positionV>
            <wp:extent cx="15906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0675" cy="762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BRADY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52705</wp:posOffset>
            </wp:positionV>
            <wp:extent cx="15906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0675" cy="7620"/>
                    </a:xfrm>
                    <a:prstGeom prst="rect">
                      <a:avLst/>
                    </a:prstGeom>
                    <a:noFill/>
                  </pic:spPr>
                </pic:pic>
              </a:graphicData>
            </a:graphic>
          </wp:anchor>
        </w:drawing>
      </w:r>
    </w:p>
    <w:p>
      <w:pPr>
        <w:spacing w:after="0" w:line="265" w:lineRule="exact"/>
        <w:rPr>
          <w:sz w:val="24"/>
          <w:szCs w:val="24"/>
          <w:color w:val="auto"/>
        </w:rPr>
      </w:pPr>
    </w:p>
    <w:tbl>
      <w:tblPr>
        <w:tblLayout w:type="fixed"/>
        <w:tblInd w:w="108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30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Commission File Number 1-14959</w:t>
            </w:r>
          </w:p>
        </w:tc>
        <w:tc>
          <w:tcPr>
            <w:tcW w:w="2160" w:type="dxa"/>
            <w:vAlign w:val="bottom"/>
          </w:tcPr>
          <w:p>
            <w:pPr>
              <w:spacing w:after="0"/>
              <w:rPr>
                <w:sz w:val="18"/>
                <w:szCs w:val="18"/>
                <w:color w:val="auto"/>
              </w:rPr>
            </w:pPr>
          </w:p>
        </w:tc>
      </w:tr>
      <w:tr>
        <w:trPr>
          <w:trHeight w:val="358"/>
        </w:trPr>
        <w:tc>
          <w:tcPr>
            <w:tcW w:w="6260" w:type="dxa"/>
            <w:vAlign w:val="bottom"/>
            <w:gridSpan w:val="3"/>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w w:val="99"/>
              </w:rPr>
              <w:t>Wisconsin</w:t>
            </w:r>
          </w:p>
        </w:tc>
        <w:tc>
          <w:tcPr>
            <w:tcW w:w="2160" w:type="dxa"/>
            <w:vAlign w:val="bottom"/>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39-0178960</w:t>
            </w:r>
          </w:p>
        </w:tc>
      </w:tr>
      <w:tr>
        <w:trPr>
          <w:trHeight w:val="170"/>
        </w:trPr>
        <w:tc>
          <w:tcPr>
            <w:tcW w:w="6260" w:type="dxa"/>
            <w:vAlign w:val="bottom"/>
            <w:gridSpan w:val="3"/>
          </w:tcPr>
          <w:p>
            <w:pPr>
              <w:jc w:val="center"/>
              <w:ind w:right="29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2160" w:type="dxa"/>
            <w:vAlign w:val="bottom"/>
          </w:tcPr>
          <w:p>
            <w:pPr>
              <w:jc w:val="center"/>
              <w:ind w:left="187"/>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371"/>
        </w:trPr>
        <w:tc>
          <w:tcPr>
            <w:tcW w:w="3260" w:type="dxa"/>
            <w:vAlign w:val="bottom"/>
          </w:tcPr>
          <w:p>
            <w:pPr>
              <w:spacing w:after="0"/>
              <w:rPr>
                <w:sz w:val="24"/>
                <w:szCs w:val="24"/>
                <w:color w:val="auto"/>
              </w:rPr>
            </w:pPr>
          </w:p>
        </w:tc>
        <w:tc>
          <w:tcPr>
            <w:tcW w:w="30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6555 West Good Hope Road</w:t>
            </w:r>
          </w:p>
        </w:tc>
        <w:tc>
          <w:tcPr>
            <w:tcW w:w="2160" w:type="dxa"/>
            <w:vAlign w:val="bottom"/>
          </w:tcPr>
          <w:p>
            <w:pPr>
              <w:spacing w:after="0"/>
              <w:rPr>
                <w:sz w:val="24"/>
                <w:szCs w:val="24"/>
                <w:color w:val="auto"/>
              </w:rPr>
            </w:pPr>
          </w:p>
        </w:tc>
      </w:tr>
      <w:tr>
        <w:trPr>
          <w:trHeight w:val="192"/>
        </w:trPr>
        <w:tc>
          <w:tcPr>
            <w:tcW w:w="3260" w:type="dxa"/>
            <w:vAlign w:val="bottom"/>
          </w:tcPr>
          <w:p>
            <w:pPr>
              <w:spacing w:after="0"/>
              <w:rPr>
                <w:sz w:val="16"/>
                <w:szCs w:val="16"/>
                <w:color w:val="auto"/>
              </w:rPr>
            </w:pPr>
          </w:p>
        </w:tc>
        <w:tc>
          <w:tcPr>
            <w:tcW w:w="30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Milwaukee, Wisconsin 53223</w:t>
            </w:r>
          </w:p>
        </w:tc>
        <w:tc>
          <w:tcPr>
            <w:tcW w:w="2160" w:type="dxa"/>
            <w:vAlign w:val="bottom"/>
          </w:tcPr>
          <w:p>
            <w:pPr>
              <w:spacing w:after="0"/>
              <w:rPr>
                <w:sz w:val="16"/>
                <w:szCs w:val="16"/>
                <w:color w:val="auto"/>
              </w:rPr>
            </w:pPr>
          </w:p>
        </w:tc>
      </w:tr>
      <w:tr>
        <w:trPr>
          <w:trHeight w:val="170"/>
        </w:trPr>
        <w:tc>
          <w:tcPr>
            <w:tcW w:w="6260" w:type="dxa"/>
            <w:vAlign w:val="bottom"/>
            <w:gridSpan w:val="3"/>
          </w:tcPr>
          <w:p>
            <w:pPr>
              <w:jc w:val="center"/>
              <w:ind w:left="2767"/>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 and Zip Code)</w:t>
            </w:r>
          </w:p>
        </w:tc>
        <w:tc>
          <w:tcPr>
            <w:tcW w:w="2160" w:type="dxa"/>
            <w:vAlign w:val="bottom"/>
          </w:tcPr>
          <w:p>
            <w:pPr>
              <w:spacing w:after="0"/>
              <w:rPr>
                <w:sz w:val="14"/>
                <w:szCs w:val="14"/>
                <w:color w:val="auto"/>
              </w:rPr>
            </w:pPr>
          </w:p>
        </w:tc>
      </w:tr>
      <w:tr>
        <w:trPr>
          <w:trHeight w:val="331"/>
        </w:trPr>
        <w:tc>
          <w:tcPr>
            <w:tcW w:w="5780" w:type="dxa"/>
            <w:vAlign w:val="bottom"/>
            <w:gridSpan w:val="2"/>
          </w:tcPr>
          <w:p>
            <w:pPr>
              <w:jc w:val="center"/>
              <w:ind w:left="3247"/>
              <w:spacing w:after="0"/>
              <w:rPr>
                <w:sz w:val="20"/>
                <w:szCs w:val="20"/>
                <w:color w:val="auto"/>
              </w:rPr>
            </w:pPr>
            <w:r>
              <w:rPr>
                <w:rFonts w:ascii="Times New Roman" w:cs="Times New Roman" w:eastAsia="Times New Roman" w:hAnsi="Times New Roman"/>
                <w:sz w:val="16"/>
                <w:szCs w:val="16"/>
                <w:b w:val="1"/>
                <w:bCs w:val="1"/>
                <w:color w:val="auto"/>
              </w:rPr>
              <w:t>(414) 358-6600</w:t>
            </w: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0"/>
        </w:trPr>
        <w:tc>
          <w:tcPr>
            <w:tcW w:w="3260" w:type="dxa"/>
            <w:vAlign w:val="bottom"/>
          </w:tcPr>
          <w:p>
            <w:pPr>
              <w:spacing w:after="0"/>
              <w:rPr>
                <w:sz w:val="14"/>
                <w:szCs w:val="14"/>
                <w:color w:val="auto"/>
              </w:rPr>
            </w:pPr>
          </w:p>
        </w:tc>
        <w:tc>
          <w:tcPr>
            <w:tcW w:w="30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(Registrant’s Telephone Number)</w:t>
            </w:r>
          </w:p>
        </w:tc>
        <w:tc>
          <w:tcPr>
            <w:tcW w:w="2160" w:type="dxa"/>
            <w:vAlign w:val="bottom"/>
          </w:tcPr>
          <w:p>
            <w:pPr>
              <w:spacing w:after="0"/>
              <w:rPr>
                <w:sz w:val="14"/>
                <w:szCs w:val="14"/>
                <w:color w:val="auto"/>
              </w:rPr>
            </w:pPr>
          </w:p>
        </w:tc>
      </w:tr>
      <w:tr>
        <w:trPr>
          <w:trHeight w:val="84"/>
        </w:trPr>
        <w:tc>
          <w:tcPr>
            <w:tcW w:w="3260" w:type="dxa"/>
            <w:vAlign w:val="bottom"/>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46"/>
        <w:spacing w:after="0"/>
        <w:tabs>
          <w:tab w:leader="none" w:pos="6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660" w:hanging="646"/>
        <w:spacing w:after="0"/>
        <w:tabs>
          <w:tab w:leader="none" w:pos="6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660" w:hanging="646"/>
        <w:spacing w:after="0"/>
        <w:tabs>
          <w:tab w:leader="none" w:pos="6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660" w:hanging="646"/>
        <w:spacing w:after="0"/>
        <w:tabs>
          <w:tab w:leader="none" w:pos="6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9"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6120" w:type="dxa"/>
            <w:vAlign w:val="bottom"/>
            <w:tcBorders>
              <w:top w:val="single" w:sz="8" w:color="auto"/>
              <w:left w:val="single" w:sz="8" w:color="auto"/>
              <w:right w:val="single" w:sz="8" w:color="auto"/>
            </w:tcBorders>
          </w:tcPr>
          <w:p>
            <w:pPr>
              <w:spacing w:after="0"/>
              <w:rPr>
                <w:sz w:val="15"/>
                <w:szCs w:val="15"/>
                <w:color w:val="auto"/>
              </w:rPr>
            </w:pPr>
          </w:p>
        </w:tc>
        <w:tc>
          <w:tcPr>
            <w:tcW w:w="1660" w:type="dxa"/>
            <w:vAlign w:val="bottom"/>
            <w:tcBorders>
              <w:top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3420" w:type="dxa"/>
            <w:vAlign w:val="bottom"/>
            <w:tcBorders>
              <w:top w:val="single" w:sz="8" w:color="auto"/>
              <w:right w:val="single" w:sz="8" w:color="auto"/>
            </w:tcBorders>
          </w:tcPr>
          <w:p>
            <w:pPr>
              <w:spacing w:after="0"/>
              <w:rPr>
                <w:sz w:val="15"/>
                <w:szCs w:val="15"/>
                <w:color w:val="auto"/>
              </w:rPr>
            </w:pPr>
          </w:p>
        </w:tc>
      </w:tr>
      <w:tr>
        <w:trPr>
          <w:trHeight w:val="214"/>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0"/>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16"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or the Securities Exchange Act of 1934 (§240.12b-2 of this chapter).</w:t>
      </w:r>
    </w:p>
    <w:p>
      <w:pPr>
        <w:spacing w:after="0" w:line="6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9"/>
          <w:szCs w:val="19"/>
          <w:color w:val="auto"/>
        </w:rPr>
        <w:t>☐</w:t>
      </w:r>
    </w:p>
    <w:p>
      <w:pPr>
        <w:spacing w:after="0" w:line="188"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472440</wp:posOffset>
            </wp:positionV>
            <wp:extent cx="717105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 w:name="page2"/>
    <w:bookmarkEnd w:id="1"/>
    <w:p>
      <w:pPr>
        <w:ind w:left="20"/>
        <w:spacing w:after="0"/>
        <w:tabs>
          <w:tab w:leader="none" w:pos="980" w:val="left"/>
        </w:tabs>
        <w:rPr>
          <w:sz w:val="20"/>
          <w:szCs w:val="20"/>
          <w:color w:val="auto"/>
        </w:rPr>
      </w:pPr>
      <w:r>
        <w:rPr>
          <w:rFonts w:ascii="Times New Roman" w:cs="Times New Roman" w:eastAsia="Times New Roman" w:hAnsi="Times New Roman"/>
          <w:sz w:val="16"/>
          <w:szCs w:val="16"/>
          <w:color w:val="auto"/>
        </w:rPr>
        <w:t>Item 2.02</w:t>
      </w:r>
      <w:r>
        <w:rPr>
          <w:sz w:val="20"/>
          <w:szCs w:val="20"/>
          <w:color w:val="auto"/>
        </w:rPr>
        <w:tab/>
      </w:r>
      <w:r>
        <w:rPr>
          <w:rFonts w:ascii="Times New Roman" w:cs="Times New Roman" w:eastAsia="Times New Roman" w:hAnsi="Times New Roman"/>
          <w:sz w:val="16"/>
          <w:szCs w:val="16"/>
          <w:color w:val="auto"/>
        </w:rPr>
        <w:t>RESULTS OF OPERATIONS AND FINANCIAL CONDITION</w:t>
      </w:r>
    </w:p>
    <w:p>
      <w:pPr>
        <w:spacing w:after="0" w:line="317" w:lineRule="exact"/>
        <w:rPr>
          <w:sz w:val="20"/>
          <w:szCs w:val="20"/>
          <w:color w:val="auto"/>
        </w:rPr>
      </w:pPr>
    </w:p>
    <w:p>
      <w:pPr>
        <w:jc w:val="both"/>
        <w:ind w:right="20" w:firstLine="293"/>
        <w:spacing w:after="0" w:line="272" w:lineRule="auto"/>
        <w:rPr>
          <w:sz w:val="20"/>
          <w:szCs w:val="20"/>
          <w:color w:val="auto"/>
        </w:rPr>
      </w:pPr>
      <w:r>
        <w:rPr>
          <w:rFonts w:ascii="Times New Roman" w:cs="Times New Roman" w:eastAsia="Times New Roman" w:hAnsi="Times New Roman"/>
          <w:sz w:val="16"/>
          <w:szCs w:val="16"/>
          <w:color w:val="auto"/>
        </w:rPr>
        <w:t>On February 24, 2023, Brady Corporation (the “Company”) issued a press release providing recast historical financial data for fiscal 2021, 2022 and the first two quarters of fiscal 2023 for its new operating segments announced on December 1, 2022. Beginning in the third quarter of fiscal 2023, the Company will report sales and segment profit based on the following two operating segments: Americas &amp; Asia and Europe &amp; Australia.</w:t>
      </w:r>
    </w:p>
    <w:p>
      <w:pPr>
        <w:spacing w:after="0" w:line="181" w:lineRule="exact"/>
        <w:rPr>
          <w:sz w:val="20"/>
          <w:szCs w:val="20"/>
          <w:color w:val="auto"/>
        </w:rPr>
      </w:pPr>
    </w:p>
    <w:p>
      <w:pPr>
        <w:jc w:val="both"/>
        <w:ind w:right="20" w:firstLine="293"/>
        <w:spacing w:after="0" w:line="290" w:lineRule="auto"/>
        <w:rPr>
          <w:sz w:val="20"/>
          <w:szCs w:val="20"/>
          <w:color w:val="auto"/>
        </w:rPr>
      </w:pPr>
      <w:r>
        <w:rPr>
          <w:rFonts w:ascii="Times New Roman" w:cs="Times New Roman" w:eastAsia="Times New Roman" w:hAnsi="Times New Roman"/>
          <w:sz w:val="16"/>
          <w:szCs w:val="16"/>
          <w:color w:val="auto"/>
        </w:rPr>
        <w:t>Exhibit 99.1 provides recast segment information under the new structure for fiscal years 2021, 2022 and the first two quarters of fiscal 2023. The recast financial information contained in Exhibit 99.1 does not represent a restatement or reissuance of previously issued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9.01</w:t>
            </w:r>
          </w:p>
        </w:tc>
        <w:tc>
          <w:tcPr>
            <w:tcW w:w="103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FINANCIAL STATEMENTS AND EXHIBITS</w:t>
            </w:r>
          </w:p>
        </w:tc>
      </w:tr>
      <w:tr>
        <w:trPr>
          <w:trHeight w:val="48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30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9"/>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w:t>
            </w:r>
          </w:p>
        </w:tc>
        <w:tc>
          <w:tcPr>
            <w:tcW w:w="30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2"/>
        </w:trPr>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NUMBER</w:t>
            </w:r>
          </w:p>
        </w:tc>
        <w:tc>
          <w:tcPr>
            <w:tcW w:w="300" w:type="dxa"/>
            <w:vAlign w:val="bottom"/>
            <w:tcBorders>
              <w:bottom w:val="single" w:sz="8" w:color="auto"/>
            </w:tcBorders>
          </w:tcPr>
          <w:p>
            <w:pPr>
              <w:spacing w:after="0"/>
              <w:rPr>
                <w:sz w:val="18"/>
                <w:szCs w:val="18"/>
                <w:color w:val="auto"/>
              </w:rPr>
            </w:pPr>
          </w:p>
        </w:tc>
        <w:tc>
          <w:tcPr>
            <w:tcW w:w="10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49"/>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300" w:type="dxa"/>
            <w:vAlign w:val="bottom"/>
          </w:tcPr>
          <w:p>
            <w:pPr>
              <w:spacing w:after="0"/>
              <w:rPr>
                <w:sz w:val="21"/>
                <w:szCs w:val="21"/>
                <w:color w:val="auto"/>
              </w:rPr>
            </w:pPr>
          </w:p>
        </w:tc>
        <w:tc>
          <w:tcPr>
            <w:tcW w:w="10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Press Release of Brady Corporation, dated February 24, 2023, relating to recast segment sales and segment profit under new regional operating segments.</w:t>
            </w:r>
          </w:p>
        </w:tc>
        <w:tc>
          <w:tcPr>
            <w:tcW w:w="60" w:type="dxa"/>
            <w:vAlign w:val="bottom"/>
          </w:tcPr>
          <w:p>
            <w:pPr>
              <w:spacing w:after="0"/>
              <w:rPr>
                <w:sz w:val="21"/>
                <w:szCs w:val="21"/>
                <w:color w:val="auto"/>
              </w:rPr>
            </w:pPr>
          </w:p>
        </w:tc>
      </w:tr>
      <w:tr>
        <w:trPr>
          <w:trHeight w:val="309"/>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30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Inline XBRL document).</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3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BRADY CORPORATION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24, 2023</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17780</wp:posOffset>
            </wp:positionV>
            <wp:extent cx="34366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6620" cy="762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Aaron J. Pearce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60"/>
          </w:cols>
          <w:pgMar w:left="320" w:top="1003" w:right="3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More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 Ann Thornton 414-438-6887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 Kate Venne 414-358-5176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 Provides Recast Historical Data for new Operating Segments</w:t>
      </w:r>
    </w:p>
    <w:p>
      <w:pPr>
        <w:spacing w:after="0" w:line="249"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8"/>
          <w:szCs w:val="18"/>
          <w:color w:val="auto"/>
        </w:rPr>
        <w:t>MILWAUKEE (February 24, 2023) -- Brady Corporation (NYSE: BRC) (“Brady” or “Company”) is providing recast historical financial data for fiscal 2021, 2022 and the first two quarters of fiscal 2023 for its new operating segments announced on December 1, 2022, which are effective in the Company’s third quarter of fiscal 2023.</w:t>
      </w:r>
    </w:p>
    <w:p>
      <w:pPr>
        <w:spacing w:after="0" w:line="1" w:lineRule="exact"/>
        <w:rPr>
          <w:sz w:val="20"/>
          <w:szCs w:val="20"/>
          <w:color w:val="auto"/>
        </w:rPr>
      </w:pPr>
    </w:p>
    <w:p>
      <w:pPr>
        <w:jc w:val="both"/>
        <w:ind w:firstLine="586"/>
        <w:spacing w:after="0" w:line="328" w:lineRule="auto"/>
        <w:rPr>
          <w:sz w:val="20"/>
          <w:szCs w:val="20"/>
          <w:color w:val="auto"/>
        </w:rPr>
      </w:pPr>
      <w:r>
        <w:rPr>
          <w:rFonts w:ascii="Times New Roman" w:cs="Times New Roman" w:eastAsia="Times New Roman" w:hAnsi="Times New Roman"/>
          <w:sz w:val="18"/>
          <w:szCs w:val="18"/>
          <w:color w:val="auto"/>
        </w:rPr>
        <w:t>The Company has recast its historical financial data to disclose sales and segment profit for its two new operating segments: Americas &amp; Asia and Europe &amp; Australia. This change to a regional operating structure will allow the Company to further integrate its businesses, support continued growth through the application of its best go-to-market strategies in key geographies, facilitate new product development in its recent acquisitions and further simplify its global business. The Company expects that the change to a regional structure will result in an improvement of approximately $0.10 to $0.20 of Earnings per diluted Class A Common Share beginning primarily in fiscal 2024. One-time charges resulting from employee severance are expected to be largely offset by reduced costs in fiscal 2023.</w:t>
      </w:r>
    </w:p>
    <w:p>
      <w:pPr>
        <w:spacing w:after="0" w:line="1" w:lineRule="exact"/>
        <w:rPr>
          <w:sz w:val="20"/>
          <w:szCs w:val="20"/>
          <w:color w:val="auto"/>
        </w:rPr>
      </w:pPr>
    </w:p>
    <w:p>
      <w:pPr>
        <w:jc w:val="both"/>
        <w:ind w:right="20" w:firstLine="586"/>
        <w:spacing w:after="0" w:line="341" w:lineRule="auto"/>
        <w:rPr>
          <w:sz w:val="20"/>
          <w:szCs w:val="20"/>
          <w:color w:val="auto"/>
        </w:rPr>
      </w:pPr>
      <w:r>
        <w:rPr>
          <w:rFonts w:ascii="Times New Roman" w:cs="Times New Roman" w:eastAsia="Times New Roman" w:hAnsi="Times New Roman"/>
          <w:sz w:val="18"/>
          <w:szCs w:val="18"/>
          <w:color w:val="auto"/>
        </w:rPr>
        <w:t>The following tables provide recast segment sales, segment profit, and sales growth data by quarter for fiscal years 2021, 2022 and the first two quarters of fiscal 2023. This recast does not represent a restatement of previously issued financial statements and does not affect the Company’s reported net income, earnings per share, total assets or stockholders’ equity for any of the previously reported periods.</w:t>
      </w:r>
    </w:p>
    <w:p>
      <w:pPr>
        <w:spacing w:after="0" w:line="168" w:lineRule="exact"/>
        <w:rPr>
          <w:sz w:val="20"/>
          <w:szCs w:val="20"/>
          <w:color w:val="auto"/>
        </w:rPr>
      </w:pPr>
    </w:p>
    <w:p>
      <w:pPr>
        <w:jc w:val="both"/>
        <w:ind w:right="20" w:firstLine="586"/>
        <w:spacing w:after="0" w:line="337" w:lineRule="auto"/>
        <w:rPr>
          <w:sz w:val="20"/>
          <w:szCs w:val="20"/>
          <w:color w:val="auto"/>
        </w:rPr>
      </w:pPr>
      <w:r>
        <w:rPr>
          <w:rFonts w:ascii="Times New Roman" w:cs="Times New Roman" w:eastAsia="Times New Roman" w:hAnsi="Times New Roman"/>
          <w:sz w:val="18"/>
          <w:szCs w:val="18"/>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Times New Roman" w:cs="Times New Roman" w:eastAsia="Times New Roman" w:hAnsi="Times New Roman"/>
          <w:sz w:val="18"/>
          <w:szCs w:val="18"/>
          <w:u w:val="single" w:color="auto"/>
          <w:color w:val="0000FF"/>
        </w:rPr>
        <w:t>www.bradyid.com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use of words such as “may,” “will,” “expect,” “intend,” “estimate,” “anticipate,” “believe,” “should,” “project,” “plan” or similar terminology are generally intended to</w:t>
      </w:r>
    </w:p>
    <w:p>
      <w:pPr>
        <w:spacing w:after="0" w:line="2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w:t>
      </w:r>
    </w:p>
    <w:p>
      <w:pPr>
        <w:sectPr>
          <w:pgSz w:w="11900" w:h="16838" w:orient="portrait"/>
          <w:cols w:equalWidth="0" w:num="1">
            <w:col w:w="11260"/>
          </w:cols>
          <w:pgMar w:left="320" w:top="811" w:right="319" w:bottom="1440" w:gutter="0" w:footer="0" w:header="0"/>
        </w:sectPr>
      </w:pPr>
    </w:p>
    <w:bookmarkStart w:id="3" w:name="page4"/>
    <w:bookmarkEnd w:id="3"/>
    <w:p>
      <w:pPr>
        <w:jc w:val="both"/>
        <w:spacing w:after="0" w:line="241" w:lineRule="auto"/>
        <w:rPr>
          <w:sz w:val="20"/>
          <w:szCs w:val="20"/>
          <w:color w:val="auto"/>
        </w:rPr>
      </w:pPr>
      <w:r>
        <w:rPr>
          <w:rFonts w:ascii="Times New Roman" w:cs="Times New Roman" w:eastAsia="Times New Roman" w:hAnsi="Times New Roman"/>
          <w:sz w:val="16"/>
          <w:szCs w:val="16"/>
          <w:color w:val="auto"/>
        </w:rPr>
        <w:t>forward-looking statements. For Brady, uncertainties arise from: increased cost of raw materials, labor and freight as well as raw material shortages and supply chain disruptions;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adverse impacts of the novel coronavirus (“COVID-19”) pandemic or other pandemics;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240"/>
          </w:cols>
          <w:pgMar w:left="320" w:top="84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color w:val="auto"/>
        </w:rPr>
        <w:t>BRADY CORPORATION AND SUBSIDIARIES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Dollars in thousands)</w:t>
      </w:r>
    </w:p>
    <w:p>
      <w:pPr>
        <w:spacing w:after="0" w:line="1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The following table represents segment sales, sales growth information, and segment profit for the three and six months ended January 31, 2023 and 2022 recast to reflect the Company's regional operating structure effective February 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5"/>
                <w:szCs w:val="15"/>
                <w:color w:val="auto"/>
              </w:rPr>
              <w:t>Three months ended January 31,</w:t>
            </w:r>
          </w:p>
        </w:tc>
        <w:tc>
          <w:tcPr>
            <w:tcW w:w="340" w:type="dxa"/>
            <w:vAlign w:val="bottom"/>
          </w:tcPr>
          <w:p>
            <w:pPr>
              <w:spacing w:after="0"/>
              <w:rPr>
                <w:sz w:val="16"/>
                <w:szCs w:val="16"/>
                <w:color w:val="auto"/>
              </w:rPr>
            </w:pPr>
          </w:p>
        </w:tc>
        <w:tc>
          <w:tcPr>
            <w:tcW w:w="2660" w:type="dxa"/>
            <w:vAlign w:val="bottom"/>
            <w:gridSpan w:val="4"/>
          </w:tcPr>
          <w:p>
            <w:pPr>
              <w:jc w:val="right"/>
              <w:ind w:right="547"/>
              <w:spacing w:after="0"/>
              <w:rPr>
                <w:sz w:val="20"/>
                <w:szCs w:val="20"/>
                <w:color w:val="auto"/>
              </w:rPr>
            </w:pPr>
            <w:r>
              <w:rPr>
                <w:rFonts w:ascii="Times New Roman" w:cs="Times New Roman" w:eastAsia="Times New Roman" w:hAnsi="Times New Roman"/>
                <w:sz w:val="15"/>
                <w:szCs w:val="15"/>
                <w:color w:val="auto"/>
              </w:rPr>
              <w:t>Six months ended January 31,</w:t>
            </w:r>
          </w:p>
        </w:tc>
      </w:tr>
      <w:tr>
        <w:trPr>
          <w:trHeight w:val="212"/>
        </w:trPr>
        <w:tc>
          <w:tcPr>
            <w:tcW w:w="5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2022</w:t>
            </w:r>
          </w:p>
        </w:tc>
      </w:tr>
      <w:tr>
        <w:trPr>
          <w:trHeight w:val="17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Americas &amp; Asia</w:t>
            </w:r>
          </w:p>
        </w:tc>
        <w:tc>
          <w:tcPr>
            <w:tcW w:w="32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220,067</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207,842</w:t>
            </w:r>
          </w:p>
        </w:tc>
        <w:tc>
          <w:tcPr>
            <w:tcW w:w="10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438,562</w:t>
            </w:r>
          </w:p>
        </w:tc>
        <w:tc>
          <w:tcPr>
            <w:tcW w:w="1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420,713</w:t>
            </w:r>
          </w:p>
        </w:tc>
      </w:tr>
      <w:tr>
        <w:trPr>
          <w:trHeight w:val="195"/>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Europe &amp; Australia</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106,182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110,213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210,256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218,817</w:t>
            </w:r>
          </w:p>
        </w:tc>
      </w:tr>
      <w:tr>
        <w:trPr>
          <w:trHeight w:val="190"/>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326,249</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318,055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648,818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639,530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SALES INFORMATION</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Americas &amp; Asia</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Organic</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Currency</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3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0" w:type="dxa"/>
            <w:vAlign w:val="bottom"/>
          </w:tcPr>
          <w:p>
            <w:pPr>
              <w:spacing w:after="0"/>
              <w:rPr>
                <w:sz w:val="1"/>
                <w:szCs w:val="1"/>
                <w:color w:val="auto"/>
              </w:rPr>
            </w:pPr>
          </w:p>
        </w:tc>
      </w:tr>
      <w:tr>
        <w:trPr>
          <w:trHeight w:val="215"/>
        </w:trPr>
        <w:tc>
          <w:tcPr>
            <w:tcW w:w="51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Europe &amp; Australia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Organic</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Currency</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8.9 %</w:t>
            </w:r>
          </w:p>
        </w:tc>
        <w:tc>
          <w:tcPr>
            <w:tcW w:w="0" w:type="dxa"/>
            <w:vAlign w:val="bottom"/>
          </w:tcPr>
          <w:p>
            <w:pPr>
              <w:spacing w:after="0"/>
              <w:rPr>
                <w:sz w:val="1"/>
                <w:szCs w:val="1"/>
                <w:color w:val="auto"/>
              </w:rPr>
            </w:pPr>
          </w:p>
        </w:tc>
      </w:tr>
      <w:tr>
        <w:trPr>
          <w:trHeight w:val="190"/>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13.4 %</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i w:val="1"/>
                <w:iCs w:val="1"/>
                <w:color w:val="auto"/>
              </w:rPr>
              <w:t>Total Company</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Organic</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Currency</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3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0" w:type="dxa"/>
            <w:vAlign w:val="bottom"/>
          </w:tcPr>
          <w:p>
            <w:pPr>
              <w:spacing w:after="0"/>
              <w:rPr>
                <w:sz w:val="1"/>
                <w:szCs w:val="1"/>
                <w:color w:val="auto"/>
              </w:rPr>
            </w:pPr>
          </w:p>
        </w:tc>
      </w:tr>
      <w:tr>
        <w:trPr>
          <w:trHeight w:val="215"/>
        </w:trPr>
        <w:tc>
          <w:tcPr>
            <w:tcW w:w="51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SEGMENT PROFIT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Americas &amp; Asia</w:t>
            </w:r>
          </w:p>
        </w:tc>
        <w:tc>
          <w:tcPr>
            <w:tcW w:w="32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40,174</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32,331</w:t>
            </w:r>
          </w:p>
        </w:tc>
        <w:tc>
          <w:tcPr>
            <w:tcW w:w="10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81,319</w:t>
            </w:r>
          </w:p>
        </w:tc>
        <w:tc>
          <w:tcPr>
            <w:tcW w:w="1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69,638</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Europe &amp; Australia</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13,459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16,313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30,217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30,115</w:t>
            </w:r>
          </w:p>
        </w:tc>
        <w:tc>
          <w:tcPr>
            <w:tcW w:w="0" w:type="dxa"/>
            <w:vAlign w:val="bottom"/>
          </w:tcPr>
          <w:p>
            <w:pPr>
              <w:spacing w:after="0"/>
              <w:rPr>
                <w:sz w:val="1"/>
                <w:szCs w:val="1"/>
                <w:color w:val="auto"/>
              </w:rPr>
            </w:pPr>
          </w:p>
        </w:tc>
      </w:tr>
      <w:tr>
        <w:trPr>
          <w:trHeight w:val="190"/>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53,633</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48,644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111,536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99,753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SEGMENT PROFIT AS A PERCENT OF NET SALES</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Americas &amp; Asia</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16.6 %</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Europe &amp; Australia</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12.7 %</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14.8 %</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13.8 %</w:t>
            </w:r>
          </w:p>
        </w:tc>
        <w:tc>
          <w:tcPr>
            <w:tcW w:w="0" w:type="dxa"/>
            <w:vAlign w:val="bottom"/>
          </w:tcPr>
          <w:p>
            <w:pPr>
              <w:spacing w:after="0"/>
              <w:rPr>
                <w:sz w:val="1"/>
                <w:szCs w:val="1"/>
                <w:color w:val="auto"/>
              </w:rPr>
            </w:pPr>
          </w:p>
        </w:tc>
      </w:tr>
      <w:tr>
        <w:trPr>
          <w:trHeight w:val="190"/>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5"/>
                <w:szCs w:val="15"/>
                <w:color w:val="auto"/>
              </w:rPr>
              <w:t>Three months ended January 31,</w:t>
            </w:r>
          </w:p>
        </w:tc>
        <w:tc>
          <w:tcPr>
            <w:tcW w:w="340" w:type="dxa"/>
            <w:vAlign w:val="bottom"/>
          </w:tcPr>
          <w:p>
            <w:pPr>
              <w:spacing w:after="0"/>
              <w:rPr>
                <w:sz w:val="24"/>
                <w:szCs w:val="24"/>
                <w:color w:val="auto"/>
              </w:rPr>
            </w:pPr>
          </w:p>
        </w:tc>
        <w:tc>
          <w:tcPr>
            <w:tcW w:w="2660" w:type="dxa"/>
            <w:vAlign w:val="bottom"/>
            <w:gridSpan w:val="4"/>
          </w:tcPr>
          <w:p>
            <w:pPr>
              <w:jc w:val="right"/>
              <w:ind w:right="547"/>
              <w:spacing w:after="0"/>
              <w:rPr>
                <w:sz w:val="20"/>
                <w:szCs w:val="20"/>
                <w:color w:val="auto"/>
              </w:rPr>
            </w:pPr>
            <w:r>
              <w:rPr>
                <w:rFonts w:ascii="Times New Roman" w:cs="Times New Roman" w:eastAsia="Times New Roman" w:hAnsi="Times New Roman"/>
                <w:sz w:val="15"/>
                <w:szCs w:val="15"/>
                <w:color w:val="auto"/>
              </w:rPr>
              <w:t>Six months ended January 31,</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segment profit</w:t>
            </w:r>
          </w:p>
        </w:tc>
        <w:tc>
          <w:tcPr>
            <w:tcW w:w="3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53,633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48,644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111,536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99,753</w:t>
            </w: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Unallocated amounts: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Administrative costs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(4,852)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(5,772)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(11,369)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(12,546)</w:t>
            </w:r>
          </w:p>
        </w:tc>
        <w:tc>
          <w:tcPr>
            <w:tcW w:w="0" w:type="dxa"/>
            <w:vAlign w:val="bottom"/>
          </w:tcPr>
          <w:p>
            <w:pPr>
              <w:spacing w:after="0"/>
              <w:rPr>
                <w:sz w:val="1"/>
                <w:szCs w:val="1"/>
                <w:color w:val="auto"/>
              </w:rPr>
            </w:pPr>
          </w:p>
        </w:tc>
      </w:tr>
      <w:tr>
        <w:trPr>
          <w:trHeight w:val="193"/>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Investment and other income (expense)</w:t>
            </w:r>
          </w:p>
        </w:tc>
        <w:tc>
          <w:tcPr>
            <w:tcW w:w="320" w:type="dxa"/>
            <w:vAlign w:val="bottom"/>
          </w:tcPr>
          <w:p>
            <w:pPr>
              <w:spacing w:after="0"/>
              <w:rPr>
                <w:sz w:val="16"/>
                <w:szCs w:val="16"/>
                <w:color w:val="auto"/>
              </w:rPr>
            </w:pPr>
          </w:p>
        </w:tc>
        <w:tc>
          <w:tcPr>
            <w:tcW w:w="114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968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(578)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811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(1,239)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(2,133)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(434)</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48,510</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42,042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98,845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86,738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color w:val="auto"/>
        </w:rPr>
        <w:t>BRADY CORPORATION AND SUBSIDIARIES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(Unaudited; Dollars in thousands)</w:t>
      </w:r>
    </w:p>
    <w:p>
      <w:pPr>
        <w:spacing w:after="0" w:line="13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5"/>
          <w:szCs w:val="15"/>
          <w:color w:val="auto"/>
        </w:rPr>
        <w:t>The following table provides recast segment sales, sales growth information, and segment profit for each of the quarters in the six-month period ended January 31, 2023, and for the fiscal years ended July 31, 2022 and 2021. This recast does not represent a restatement of previously issued financial statements and does not affect the Company's reported net income, earnings per share, total assets or shareholders' equity for any of the previously reported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right w:val="single" w:sz="8" w:color="auto"/>
            </w:tcBorders>
            <w:gridSpan w:val="4"/>
          </w:tcPr>
          <w:p>
            <w:pPr>
              <w:jc w:val="right"/>
              <w:ind w:right="587"/>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Q1</w:t>
            </w:r>
          </w:p>
        </w:tc>
        <w:tc>
          <w:tcPr>
            <w:tcW w:w="8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Q2</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Q1</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Q2</w:t>
            </w: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Q3</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Q4</w:t>
            </w:r>
          </w:p>
        </w:tc>
        <w:tc>
          <w:tcPr>
            <w:tcW w:w="1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Full Year</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Q1</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Q2</w:t>
            </w: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Q3</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Q4</w:t>
            </w:r>
          </w:p>
        </w:tc>
        <w:tc>
          <w:tcPr>
            <w:tcW w:w="100" w:type="dxa"/>
            <w:vAlign w:val="bottom"/>
          </w:tcPr>
          <w:p>
            <w:pPr>
              <w:spacing w:after="0"/>
              <w:rPr>
                <w:sz w:val="18"/>
                <w:szCs w:val="18"/>
                <w:color w:val="auto"/>
              </w:rPr>
            </w:pPr>
          </w:p>
        </w:tc>
        <w:tc>
          <w:tcPr>
            <w:tcW w:w="7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Full 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24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Americas &amp;</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218,495</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w w:val="94"/>
              </w:rPr>
              <w:t>220,067</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212,871</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207,842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222,579</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w w:val="94"/>
              </w:rPr>
              <w:t>217,792</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147"/>
              <w:spacing w:after="0"/>
              <w:rPr>
                <w:sz w:val="20"/>
                <w:szCs w:val="20"/>
                <w:color w:val="auto"/>
              </w:rPr>
            </w:pPr>
            <w:r>
              <w:rPr>
                <w:rFonts w:ascii="Times New Roman" w:cs="Times New Roman" w:eastAsia="Times New Roman" w:hAnsi="Times New Roman"/>
                <w:sz w:val="15"/>
                <w:szCs w:val="15"/>
                <w:color w:val="auto"/>
              </w:rPr>
              <w:t>861,084</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179,712</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8"/>
              </w:rPr>
              <w:t>170,430</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189,074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w w:val="94"/>
              </w:rPr>
              <w:t>196,366</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735,582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Asia</w:t>
            </w: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5"/>
                <w:szCs w:val="15"/>
                <w:color w:val="auto"/>
              </w:rPr>
              <w:t>Europe &amp;</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94"/>
              </w:rPr>
              <w:t>104,074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94"/>
              </w:rPr>
              <w:t>106,182</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94"/>
              </w:rPr>
              <w:t>108,604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94"/>
              </w:rPr>
              <w:t>110,213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94"/>
              </w:rPr>
              <w:t>115,972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94"/>
              </w:rPr>
              <w:t>106,189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440,978</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97,515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95,408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94"/>
              </w:rPr>
              <w:t>106,429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94"/>
              </w:rPr>
              <w:t>109,764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409,116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Australia</w:t>
            </w: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322,569</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94"/>
              </w:rPr>
              <w:t>326,249</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321,475</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318,055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338,551</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94"/>
              </w:rPr>
              <w:t>323,981</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93"/>
              </w:rPr>
              <w:t>1,302,062</w:t>
            </w: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277,227</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8"/>
              </w:rPr>
              <w:t>265,838</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295,503</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4"/>
              </w:rPr>
              <w:t>306,130</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96"/>
              </w:rPr>
              <w:t>1,144,698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SALES INFORMATION</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Americas &amp; Asia</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Organic</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Currency</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40" w:type="dxa"/>
            <w:vAlign w:val="bottom"/>
            <w:tcBorders>
              <w:top w:val="single" w:sz="8" w:color="CCEEFF"/>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w w:val="96"/>
              </w:rPr>
              <w:t>Europe &amp; Australia</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Organic</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Currency</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7.8 %</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15.2 %</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18.1 %</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40" w:type="dxa"/>
            <w:vAlign w:val="bottom"/>
            <w:tcBorders>
              <w:right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i w:val="1"/>
                <w:iCs w:val="1"/>
                <w:color w:val="auto"/>
              </w:rPr>
              <w:t>Total Company</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Organic</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Currency</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40" w:type="dxa"/>
            <w:vAlign w:val="bottom"/>
            <w:tcBorders>
              <w:top w:val="single" w:sz="8" w:color="CCEEFF"/>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SEGMENT PROFIT</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Americas &amp;</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41,145</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40,174</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37,307</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32,331</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45,021</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42,648</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147"/>
              <w:spacing w:after="0"/>
              <w:rPr>
                <w:sz w:val="20"/>
                <w:szCs w:val="20"/>
                <w:color w:val="auto"/>
              </w:rPr>
            </w:pPr>
            <w:r>
              <w:rPr>
                <w:rFonts w:ascii="Times New Roman" w:cs="Times New Roman" w:eastAsia="Times New Roman" w:hAnsi="Times New Roman"/>
                <w:sz w:val="15"/>
                <w:szCs w:val="15"/>
                <w:color w:val="auto"/>
              </w:rPr>
              <w:t>157,307</w:t>
            </w: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35,939</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30,558</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37,309</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32,829</w:t>
            </w:r>
          </w:p>
        </w:tc>
        <w:tc>
          <w:tcPr>
            <w:tcW w:w="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136,635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Asia</w:t>
            </w: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5"/>
                <w:szCs w:val="15"/>
                <w:color w:val="auto"/>
              </w:rPr>
              <w:t>Europe &amp;</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16,758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13,459</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13,802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16,313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16,050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16,893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63,058</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12,328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11,905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15,886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15,238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55,357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Australia</w:t>
            </w: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57,903</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53,633</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51,109</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48,644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61,071</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59,541</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rPr>
              <w:t>220,365</w:t>
            </w: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48,267</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42,463</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53,195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48,067</w:t>
            </w: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191,992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40" w:type="dxa"/>
            <w:vAlign w:val="bottom"/>
            <w:gridSpan w:val="9"/>
            <w:shd w:val="clear" w:color="auto" w:fill="CCEEFF"/>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SEGMENT PROFIT AS A PERCENT OF NET SALES</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Americas &amp;</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18.8 %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17.5 %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15.6 %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20.2 %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19.6 %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20.0 %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17.9 %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19.7 %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18.6 %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Asia</w:t>
            </w: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5"/>
                <w:szCs w:val="15"/>
                <w:color w:val="auto"/>
              </w:rPr>
              <w:t>Europe &amp;</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12.7 %</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14.3 %</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Australia</w:t>
            </w: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16.4 %</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15.9 %</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15.3 %</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16.9 %</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17.4 %</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15.7 %</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4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gridSpan w:val="4"/>
          </w:tcPr>
          <w:p>
            <w:pPr>
              <w:jc w:val="right"/>
              <w:ind w:right="587"/>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2021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Q1</w:t>
            </w:r>
          </w:p>
        </w:tc>
        <w:tc>
          <w:tcPr>
            <w:tcW w:w="8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Q2</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Q1</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Q2</w:t>
            </w: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Q3</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Q4</w:t>
            </w:r>
          </w:p>
        </w:tc>
        <w:tc>
          <w:tcPr>
            <w:tcW w:w="1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Full Year</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Q1</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Q2</w:t>
            </w: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Q3</w:t>
            </w:r>
          </w:p>
        </w:tc>
        <w:tc>
          <w:tcPr>
            <w:tcW w:w="100" w:type="dxa"/>
            <w:vAlign w:val="bottom"/>
          </w:tcPr>
          <w:p>
            <w:pPr>
              <w:spacing w:after="0"/>
              <w:rPr>
                <w:sz w:val="18"/>
                <w:szCs w:val="18"/>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Q4</w:t>
            </w:r>
          </w:p>
        </w:tc>
        <w:tc>
          <w:tcPr>
            <w:tcW w:w="100" w:type="dxa"/>
            <w:vAlign w:val="bottom"/>
          </w:tcPr>
          <w:p>
            <w:pPr>
              <w:spacing w:after="0"/>
              <w:rPr>
                <w:sz w:val="18"/>
                <w:szCs w:val="18"/>
                <w:color w:val="auto"/>
              </w:rPr>
            </w:pPr>
          </w:p>
        </w:tc>
        <w:tc>
          <w:tcPr>
            <w:tcW w:w="78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Full 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6"/>
              </w:rPr>
              <w:t>Total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57,903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right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53,633</w:t>
            </w: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51,109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48,644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61,071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59,541</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right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220,365</w:t>
            </w: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48,267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42,463</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53,195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48,067</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191,992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Unallocated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amounts: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5"/>
                <w:szCs w:val="15"/>
                <w:color w:val="auto"/>
                <w:w w:val="99"/>
              </w:rPr>
              <w:t>Administrative</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(6,517)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(4,852)</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(6,774)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(5,772)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(8,182)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(6,625)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(27,353)</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(6,079)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(5,051)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(6,470)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(7,265)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(24,865)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costs</w:t>
            </w: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vMerge w:val="continue"/>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Investment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and other</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300"/>
              <w:spacing w:after="0" w:line="146" w:lineRule="exact"/>
              <w:rPr>
                <w:sz w:val="20"/>
                <w:szCs w:val="20"/>
                <w:color w:val="auto"/>
              </w:rPr>
            </w:pPr>
            <w:r>
              <w:rPr>
                <w:rFonts w:ascii="Times New Roman" w:cs="Times New Roman" w:eastAsia="Times New Roman" w:hAnsi="Times New Roman"/>
                <w:sz w:val="15"/>
                <w:szCs w:val="15"/>
                <w:color w:val="auto"/>
              </w:rPr>
              <w:t>(expense)</w:t>
            </w:r>
          </w:p>
        </w:tc>
        <w:tc>
          <w:tcPr>
            <w:tcW w:w="80" w:type="dxa"/>
            <w:vAlign w:val="bottom"/>
          </w:tcPr>
          <w:p>
            <w:pPr>
              <w:spacing w:after="0"/>
              <w:rPr>
                <w:sz w:val="12"/>
                <w:szCs w:val="12"/>
                <w:color w:val="auto"/>
              </w:rPr>
            </w:pPr>
          </w:p>
        </w:tc>
        <w:tc>
          <w:tcPr>
            <w:tcW w:w="660" w:type="dxa"/>
            <w:vAlign w:val="bottom"/>
            <w:vMerge w:val="restart"/>
          </w:tcPr>
          <w:p>
            <w:pPr>
              <w:jc w:val="right"/>
              <w:ind w:right="67"/>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968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543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67"/>
              <w:spacing w:after="0"/>
              <w:rPr>
                <w:sz w:val="20"/>
                <w:szCs w:val="20"/>
                <w:color w:val="auto"/>
              </w:rPr>
            </w:pPr>
            <w:r>
              <w:rPr>
                <w:rFonts w:ascii="Times New Roman" w:cs="Times New Roman" w:eastAsia="Times New Roman" w:hAnsi="Times New Roman"/>
                <w:sz w:val="15"/>
                <w:szCs w:val="15"/>
                <w:color w:val="auto"/>
              </w:rPr>
              <w:t>(578)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7"/>
              <w:spacing w:after="0"/>
              <w:rPr>
                <w:sz w:val="20"/>
                <w:szCs w:val="20"/>
                <w:color w:val="auto"/>
              </w:rPr>
            </w:pPr>
            <w:r>
              <w:rPr>
                <w:rFonts w:ascii="Times New Roman" w:cs="Times New Roman" w:eastAsia="Times New Roman" w:hAnsi="Times New Roman"/>
                <w:sz w:val="15"/>
                <w:szCs w:val="15"/>
                <w:color w:val="auto"/>
              </w:rPr>
              <w:t>(1,308)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1,587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47"/>
              <w:spacing w:after="0"/>
              <w:rPr>
                <w:sz w:val="20"/>
                <w:szCs w:val="20"/>
                <w:color w:val="auto"/>
              </w:rPr>
            </w:pPr>
            <w:r>
              <w:rPr>
                <w:rFonts w:ascii="Times New Roman" w:cs="Times New Roman" w:eastAsia="Times New Roman" w:hAnsi="Times New Roman"/>
                <w:sz w:val="15"/>
                <w:szCs w:val="15"/>
                <w:color w:val="auto"/>
              </w:rPr>
              <w:t>244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155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2,036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1,181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961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income</w:t>
            </w: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5"/>
                <w:szCs w:val="15"/>
                <w:color w:val="auto"/>
              </w:rPr>
              <w:t>Interest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(894)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(1,239)</w:t>
            </w: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(329)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(513)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right w:val="single" w:sz="8" w:color="CCEEFF"/>
            </w:tcBorders>
            <w:vMerge w:val="restart"/>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(1,276)</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(149)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expense</w:t>
            </w: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vMerge w:val="continue"/>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12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color w:val="auto"/>
              </w:rPr>
              <w:t>Income before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income taxes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losses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0"/>
              <w:spacing w:after="0" w:line="146" w:lineRule="exact"/>
              <w:rPr>
                <w:sz w:val="20"/>
                <w:szCs w:val="20"/>
                <w:color w:val="auto"/>
              </w:rPr>
            </w:pPr>
            <w:r>
              <w:rPr>
                <w:rFonts w:ascii="Times New Roman" w:cs="Times New Roman" w:eastAsia="Times New Roman" w:hAnsi="Times New Roman"/>
                <w:sz w:val="15"/>
                <w:szCs w:val="15"/>
                <w:color w:val="auto"/>
              </w:rPr>
              <w:t>unconsolidated</w:t>
            </w:r>
          </w:p>
        </w:tc>
        <w:tc>
          <w:tcPr>
            <w:tcW w:w="8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50,335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48,510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44,696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42,042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51,252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27"/>
              <w:spacing w:after="0"/>
              <w:rPr>
                <w:sz w:val="20"/>
                <w:szCs w:val="20"/>
                <w:color w:val="auto"/>
              </w:rPr>
            </w:pPr>
            <w:r>
              <w:rPr>
                <w:rFonts w:ascii="Times New Roman" w:cs="Times New Roman" w:eastAsia="Times New Roman" w:hAnsi="Times New Roman"/>
                <w:sz w:val="15"/>
                <w:szCs w:val="15"/>
                <w:color w:val="auto"/>
              </w:rPr>
              <w:t>53,990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47"/>
              <w:spacing w:after="0"/>
              <w:rPr>
                <w:sz w:val="20"/>
                <w:szCs w:val="20"/>
                <w:color w:val="auto"/>
              </w:rPr>
            </w:pPr>
            <w:r>
              <w:rPr>
                <w:rFonts w:ascii="Times New Roman" w:cs="Times New Roman" w:eastAsia="Times New Roman" w:hAnsi="Times New Roman"/>
                <w:sz w:val="15"/>
                <w:szCs w:val="15"/>
                <w:color w:val="auto"/>
              </w:rPr>
              <w:t>191,980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42,237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39,397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47,775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41,614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auto"/>
              </w:rPr>
              <w:t>171,023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affiliate</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7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2023-02-24T06:21:25Z</dcterms:created>
  <dcterms:modified xsi:type="dcterms:W3CDTF">2023-02-24T06:21:25Z</dcterms:modified>
</cp:coreProperties>
</file>