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98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829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Felmer Thomas J</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10/21/2010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227"/>
        <w:spacing w:after="0"/>
        <w:rPr>
          <w:sz w:val="20"/>
          <w:szCs w:val="20"/>
          <w:color w:val="auto"/>
        </w:rPr>
      </w:pPr>
      <w:r>
        <w:rPr>
          <w:rFonts w:ascii="Arial" w:cs="Arial" w:eastAsia="Arial" w:hAnsi="Arial"/>
          <w:sz w:val="17"/>
          <w:szCs w:val="17"/>
          <w:color w:val="0000FF"/>
        </w:rPr>
        <w:t>SR VP CFO</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0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1,935</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13,169.9448</w:t>
            </w:r>
            <w:r>
              <w:rPr>
                <w:rFonts w:ascii="Arial" w:cs="Arial" w:eastAsia="Arial" w:hAnsi="Arial"/>
                <w:sz w:val="22"/>
                <w:szCs w:val="22"/>
                <w:color w:val="008000"/>
                <w:w w:val="87"/>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10/21/2010</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ind w:right="114"/>
              <w:spacing w:after="0"/>
              <w:rPr>
                <w:sz w:val="20"/>
                <w:szCs w:val="20"/>
                <w:color w:val="auto"/>
              </w:rPr>
            </w:pPr>
            <w:r>
              <w:rPr>
                <w:rFonts w:ascii="Arial" w:cs="Arial" w:eastAsia="Arial" w:hAnsi="Arial"/>
                <w:sz w:val="17"/>
                <w:szCs w:val="17"/>
                <w:color w:val="0000FF"/>
              </w:rPr>
              <w:t>2,149</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14.1575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3,376</w:t>
            </w:r>
            <w:r>
              <w:rPr>
                <w:rFonts w:ascii="Arial" w:cs="Arial" w:eastAsia="Arial" w:hAnsi="Arial"/>
                <w:sz w:val="22"/>
                <w:szCs w:val="22"/>
                <w:color w:val="008000"/>
                <w:w w:val="82"/>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10/21/2010</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right"/>
              <w:ind w:right="174"/>
              <w:spacing w:after="0"/>
              <w:rPr>
                <w:sz w:val="20"/>
                <w:szCs w:val="20"/>
                <w:color w:val="auto"/>
              </w:rPr>
            </w:pPr>
            <w:r>
              <w:rPr>
                <w:rFonts w:ascii="Arial" w:cs="Arial" w:eastAsia="Arial" w:hAnsi="Arial"/>
                <w:sz w:val="17"/>
                <w:szCs w:val="17"/>
                <w:color w:val="0000FF"/>
              </w:rPr>
              <w:t>708</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30.59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3,376</w:t>
            </w:r>
            <w:r>
              <w:rPr>
                <w:rFonts w:ascii="Arial" w:cs="Arial" w:eastAsia="Arial" w:hAnsi="Arial"/>
                <w:sz w:val="22"/>
                <w:szCs w:val="22"/>
                <w:color w:val="008000"/>
                <w:w w:val="82"/>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1"/>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right"/>
              <w:ind w:right="234"/>
              <w:spacing w:after="0"/>
              <w:rPr>
                <w:sz w:val="20"/>
                <w:szCs w:val="20"/>
                <w:color w:val="auto"/>
              </w:rPr>
            </w:pPr>
            <w:r>
              <w:rPr>
                <w:rFonts w:ascii="Arial" w:cs="Arial" w:eastAsia="Arial" w:hAnsi="Arial"/>
                <w:sz w:val="11"/>
                <w:szCs w:val="11"/>
                <w:color w:val="008000"/>
              </w:rPr>
              <w:t>(1)</w:t>
            </w: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jc w:val="right"/>
              <w:ind w:right="15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0000FF"/>
              </w:rPr>
              <w:t>10,388.5158</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jc w:val="right"/>
              <w:ind w:right="33"/>
              <w:spacing w:after="0"/>
              <w:rPr>
                <w:sz w:val="20"/>
                <w:szCs w:val="20"/>
                <w:color w:val="auto"/>
              </w:rPr>
            </w:pPr>
            <w:r>
              <w:rPr>
                <w:rFonts w:ascii="Arial" w:cs="Arial" w:eastAsia="Arial" w:hAnsi="Arial"/>
                <w:sz w:val="17"/>
                <w:szCs w:val="17"/>
                <w:color w:val="0000FF"/>
              </w:rPr>
              <w:t>2,149</w:t>
            </w:r>
          </w:p>
        </w:tc>
        <w:tc>
          <w:tcPr>
            <w:tcW w:w="60" w:type="dxa"/>
            <w:vAlign w:val="bottom"/>
          </w:tcPr>
          <w:p>
            <w:pPr>
              <w:spacing w:after="0"/>
              <w:rPr>
                <w:sz w:val="16"/>
                <w:szCs w:val="1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10,388.5158</w:t>
            </w:r>
            <w:r>
              <w:rPr>
                <w:rFonts w:ascii="Arial" w:cs="Arial" w:eastAsia="Arial" w:hAnsi="Arial"/>
                <w:sz w:val="22"/>
                <w:szCs w:val="22"/>
                <w:color w:val="008000"/>
                <w:w w:val="90"/>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860" w:type="dxa"/>
            <w:vAlign w:val="bottom"/>
            <w:vMerge w:val="restart"/>
          </w:tcPr>
          <w:p>
            <w:pPr>
              <w:jc w:val="center"/>
              <w:ind w:right="121"/>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14.1575</w:t>
            </w:r>
          </w:p>
        </w:tc>
        <w:tc>
          <w:tcPr>
            <w:tcW w:w="106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10/21/2010</w:t>
            </w:r>
          </w:p>
        </w:tc>
        <w:tc>
          <w:tcPr>
            <w:tcW w:w="1120" w:type="dxa"/>
            <w:vAlign w:val="bottom"/>
          </w:tcPr>
          <w:p>
            <w:pPr>
              <w:spacing w:after="0"/>
              <w:rPr>
                <w:sz w:val="4"/>
                <w:szCs w:val="4"/>
                <w:color w:val="auto"/>
              </w:rPr>
            </w:pPr>
          </w:p>
        </w:tc>
        <w:tc>
          <w:tcPr>
            <w:tcW w:w="4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4"/>
                <w:szCs w:val="4"/>
                <w:color w:val="auto"/>
              </w:rPr>
            </w:pPr>
          </w:p>
        </w:tc>
        <w:tc>
          <w:tcPr>
            <w:tcW w:w="4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2,149</w:t>
            </w:r>
          </w:p>
        </w:tc>
        <w:tc>
          <w:tcPr>
            <w:tcW w:w="240" w:type="dxa"/>
            <w:vAlign w:val="bottom"/>
          </w:tcPr>
          <w:p>
            <w:pPr>
              <w:spacing w:after="0"/>
              <w:rPr>
                <w:sz w:val="4"/>
                <w:szCs w:val="4"/>
                <w:color w:val="auto"/>
              </w:rPr>
            </w:pPr>
          </w:p>
        </w:tc>
        <w:tc>
          <w:tcPr>
            <w:tcW w:w="820" w:type="dxa"/>
            <w:vAlign w:val="bottom"/>
            <w:vMerge w:val="restart"/>
          </w:tcPr>
          <w:p>
            <w:pPr>
              <w:jc w:val="right"/>
              <w:ind w:right="19"/>
              <w:spacing w:after="0" w:line="142" w:lineRule="exact"/>
              <w:rPr>
                <w:sz w:val="20"/>
                <w:szCs w:val="20"/>
                <w:color w:val="auto"/>
              </w:rPr>
            </w:pPr>
            <w:r>
              <w:rPr>
                <w:rFonts w:ascii="Arial" w:cs="Arial" w:eastAsia="Arial" w:hAnsi="Arial"/>
                <w:sz w:val="13"/>
                <w:szCs w:val="13"/>
                <w:color w:val="0000FF"/>
              </w:rPr>
              <w:t>10/24/2000</w:t>
            </w:r>
          </w:p>
        </w:tc>
        <w:tc>
          <w:tcPr>
            <w:tcW w:w="76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10/24/2010</w:t>
            </w:r>
          </w:p>
        </w:tc>
        <w:tc>
          <w:tcPr>
            <w:tcW w:w="6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920" w:type="dxa"/>
            <w:vAlign w:val="bottom"/>
            <w:gridSpan w:val="2"/>
          </w:tcPr>
          <w:p>
            <w:pPr>
              <w:jc w:val="right"/>
              <w:ind w:right="270"/>
              <w:spacing w:after="0" w:line="93" w:lineRule="exact"/>
              <w:rPr>
                <w:sz w:val="20"/>
                <w:szCs w:val="20"/>
                <w:color w:val="auto"/>
              </w:rPr>
            </w:pPr>
            <w:r>
              <w:rPr>
                <w:rFonts w:ascii="Arial" w:cs="Arial" w:eastAsia="Arial" w:hAnsi="Arial"/>
                <w:sz w:val="10"/>
                <w:szCs w:val="10"/>
                <w:color w:val="008000"/>
              </w:rPr>
              <w:t>(3)</w:t>
            </w: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exercised pursuant to a net exercise. The amount of derivative securities beneficially owned following this reported transaction remains the same.</w:t>
      </w:r>
    </w:p>
    <w:p>
      <w:pPr>
        <w:spacing w:after="0" w:line="49" w:lineRule="exact"/>
        <w:rPr>
          <w:rFonts w:ascii="Arial" w:cs="Arial" w:eastAsia="Arial" w:hAnsi="Arial"/>
          <w:sz w:val="13"/>
          <w:szCs w:val="13"/>
          <w:color w:val="008000"/>
        </w:rPr>
      </w:pPr>
    </w:p>
    <w:p>
      <w:pPr>
        <w:ind w:left="40" w:right="3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21, 2010 Mr. Felmer did a "net exercise" of 2,149 stock options (each with an expiration date of October 24, 2010). In that "net exercise," Mr. Felmer acquired 1,441 shares of common stock. The number of shares was net of the 708 shares that Brady withheld for the payment of the options' exercise price and taxes incident to the exercise.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10/27/2010</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2019-12-18T15:52:13Z</dcterms:created>
  <dcterms:modified xsi:type="dcterms:W3CDTF">2019-12-18T15:52:13Z</dcterms:modified>
</cp:coreProperties>
</file>