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16, 2007</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927" w:right="359" w:bottom="1440" w:gutter="0" w:footer="0" w:header="0"/>
          <w:type w:val="continuous"/>
        </w:sectPr>
      </w:pPr>
    </w:p>
    <w:p>
      <w:pPr>
        <w:spacing w:after="0" w:line="342"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May 16, 2007, Brady Corporation issued a press release announcing its fiscal 2007 third quarter financial results. A copy of the press release is being furnished to the Securities and Exchange Commission as Exhibit 99 attached herewith and incorporated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ectPr>
          <w:pgSz w:w="11900" w:h="16838" w:orient="portrait"/>
          <w:cols w:equalWidth="0" w:num="1">
            <w:col w:w="11420"/>
          </w:cols>
          <w:pgMar w:left="240" w:top="935"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Exhibit No.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11" w:lineRule="exact"/>
        <w:rPr>
          <w:sz w:val="20"/>
          <w:szCs w:val="20"/>
          <w:color w:val="auto"/>
        </w:rPr>
      </w:pPr>
    </w:p>
    <w:p>
      <w:pPr>
        <w:sectPr>
          <w:pgSz w:w="11900" w:h="16838" w:orient="portrait"/>
          <w:cols w:equalWidth="0" w:num="2">
            <w:col w:w="680" w:space="700"/>
            <w:col w:w="10040"/>
          </w:cols>
          <w:pgMar w:left="240" w:top="935" w:right="239" w:bottom="1440" w:gutter="0" w:footer="0" w:header="0"/>
          <w:type w:val="continuous"/>
        </w:sectPr>
      </w:pP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of Brady Corporation, dated May 16, 2007.</w:t>
      </w:r>
    </w:p>
    <w:p>
      <w:pPr>
        <w:spacing w:after="0" w:line="200" w:lineRule="exact"/>
        <w:rPr>
          <w:sz w:val="20"/>
          <w:szCs w:val="20"/>
          <w:color w:val="auto"/>
        </w:rPr>
      </w:pPr>
    </w:p>
    <w:p>
      <w:pPr>
        <w:sectPr>
          <w:pgSz w:w="11900" w:h="16838" w:orient="portrait"/>
          <w:cols w:equalWidth="0" w:num="2">
            <w:col w:w="660" w:space="720"/>
            <w:col w:w="10040"/>
          </w:cols>
          <w:pgMar w:left="240" w:top="935" w:right="23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May 21,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&amp; Chief Financial Officer</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 w:name="page4"/>
    <w:bookmarkEnd w:id="3"/>
    <w:p>
      <w:pPr>
        <w:spacing w:after="0" w:line="36"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36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96"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of Brady Corporation dated May 16, 2007.</w:t>
      </w:r>
    </w:p>
    <w:p>
      <w:pPr>
        <w:sectPr>
          <w:pgSz w:w="11900" w:h="16838" w:orient="portrait"/>
          <w:cols w:equalWidth="0" w:num="1">
            <w:col w:w="10219"/>
          </w:cols>
          <w:pgMar w:left="240" w:top="1440"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EXHIBIT 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reports F’07 third-quarter sales and earnings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MILWAUKEE (May 16, 2007)—Brady Corporation (NYSE: BRC), a world leader in identification solutions, today announced sales and earnings for its fiscal 2007 third quarter ended April 30, 2007.</w:t>
      </w:r>
    </w:p>
    <w:p>
      <w:pPr>
        <w:spacing w:after="0" w:line="62"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Sales for the quarter were $346.3 million, up 30 percent compared to sales of $266.5 million in the third quarter last year. Organic sales were up 1 percent over the prior year, acquisitions contributed 24 percent to sales growth, and currency exchange added 5 percent to sales results in the quarter.</w:t>
      </w:r>
    </w:p>
    <w:p>
      <w:pPr>
        <w:spacing w:after="0" w:line="16"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Net income for the quarter was down 4 percent to $29.0 million compared to $30.2 million in the same quarter last year. Earnings per diluted Class A Common Share were $0.53, down 13 percent compared to $0.61 in the fiscal 2006 third quarter. Fiscal 2007 earnings per share results include the effect of issuance of an additional 4.6 million shares through an equity offering in the fourth quarter of fiscal 2006 that reduced earnings per share by $0.05.</w:t>
      </w:r>
    </w:p>
    <w:p>
      <w:pPr>
        <w:spacing w:after="0" w:line="3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Sales for the nine months ended April 30, 2007, rose 37 percent to $999.9 million compared to $730.1 million in the same period last year. Net income for the nine-month period was $83.1 million, up 2 percent compared to $81.7 million in the prior year. Nine-month earnings per share were $1.52 , down 7 percent compared to $1.64 per share in the period last year.</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Pre-tax charges to the income statement of $2.7 million for the quarter and $3.9 million for the nine- month period were taken for cost reduction actions. In addition, in connection with planned integration activities of acquisitions completed in the last 12 months, the company incurred severance and other charges of $6.6 million for the quarter and $8.2 million for the nine-month period that increased goodwill. Pre-tax savings from these actions are expected to be approximately $10 million in fiscal 2008.</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“We are pleased with the swift actions taken in the quarter to streamline our business and best fit the needs of our customers around the world. While it is still too early to see the results from these actions, we believe we are making the right adjustments to our cost structure,” said Brady President and Chief Executive Officer Frank M. Jaehnert.</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“Our results this quarter clearly demonstrate the benefits of geographic diversification. While the economy is slowing in the Americas and sales in Asia-Pacific were down primarily due to challenges in the OEM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ind w:right="380"/>
        <w:spacing w:after="0" w:line="264" w:lineRule="auto"/>
        <w:rPr>
          <w:sz w:val="20"/>
          <w:szCs w:val="20"/>
          <w:color w:val="auto"/>
        </w:rPr>
      </w:pPr>
      <w:r>
        <w:rPr>
          <w:rFonts w:ascii="Arial" w:cs="Arial" w:eastAsia="Arial" w:hAnsi="Arial"/>
          <w:sz w:val="18"/>
          <w:szCs w:val="18"/>
          <w:color w:val="auto"/>
        </w:rPr>
        <w:t>business, strong organic growth in Europe due in part to new non-smoking legislation offset the other regions,” said Brady Chief Financial Officer David Mathieson. “Today we also reaffirm our previous guidance for fiscal 2007 sales of between $1.35 and $1.37 billion, net income of between $113 and $118 million, and diluted earnings per share between $2.06 and $2.15.”</w:t>
      </w:r>
    </w:p>
    <w:p>
      <w:pPr>
        <w:spacing w:after="0" w:line="73"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 webcast of a conference call regarding the company’s fiscal 2007 third quarter results will be available at www.investor.bradycorp.com beginning at 7:00 a.m. Central Time tomorrow.</w:t>
      </w:r>
    </w:p>
    <w:p>
      <w:pPr>
        <w:spacing w:after="0" w:line="62"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9,000 people at operations in the Americas, Europe and Asia/Pacific. Brady’s fiscal 2006 sales were approximately $1.018 billion.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regional segment for the three and nine months ended April 30, 2007 and 2006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and</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tcPr>
          <w:p>
            <w:pPr>
              <w:ind w:left="1060"/>
              <w:spacing w:after="0"/>
              <w:rPr>
                <w:sz w:val="20"/>
                <w:szCs w:val="20"/>
                <w:color w:val="auto"/>
              </w:rPr>
            </w:pPr>
            <w:r>
              <w:rPr>
                <w:rFonts w:ascii="Arial" w:cs="Arial" w:eastAsia="Arial" w:hAnsi="Arial"/>
                <w:sz w:val="14"/>
                <w:szCs w:val="14"/>
                <w:color w:val="auto"/>
              </w:rPr>
              <w:t>(in Thousands)</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Americas</w:t>
            </w:r>
          </w:p>
        </w:tc>
        <w:tc>
          <w:tcPr>
            <w:tcW w:w="3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Asia</w:t>
            </w:r>
          </w:p>
        </w:tc>
        <w:tc>
          <w:tcPr>
            <w:tcW w:w="700" w:type="dxa"/>
            <w:vAlign w:val="bottom"/>
          </w:tcPr>
          <w:p>
            <w:pPr>
              <w:jc w:val="right"/>
              <w:spacing w:after="0"/>
              <w:rPr>
                <w:sz w:val="20"/>
                <w:szCs w:val="20"/>
                <w:color w:val="auto"/>
              </w:rPr>
            </w:pPr>
            <w:r>
              <w:rPr>
                <w:rFonts w:ascii="Arial" w:cs="Arial" w:eastAsia="Arial" w:hAnsi="Arial"/>
                <w:sz w:val="14"/>
                <w:szCs w:val="14"/>
                <w:color w:val="auto"/>
              </w:rPr>
              <w:t>Subtotals</w:t>
            </w:r>
          </w:p>
        </w:tc>
        <w:tc>
          <w:tcPr>
            <w:tcW w:w="1760" w:type="dxa"/>
            <w:vAlign w:val="bottom"/>
            <w:gridSpan w:val="3"/>
          </w:tcPr>
          <w:p>
            <w:pPr>
              <w:jc w:val="right"/>
              <w:ind w:right="320"/>
              <w:spacing w:after="0"/>
              <w:rPr>
                <w:sz w:val="20"/>
                <w:szCs w:val="20"/>
                <w:color w:val="auto"/>
              </w:rPr>
            </w:pPr>
            <w:r>
              <w:rPr>
                <w:rFonts w:ascii="Arial" w:cs="Arial" w:eastAsia="Arial" w:hAnsi="Arial"/>
                <w:sz w:val="14"/>
                <w:szCs w:val="14"/>
                <w:color w:val="auto"/>
              </w:rPr>
              <w:t>Eliminations</w:t>
            </w:r>
          </w:p>
        </w:tc>
        <w:tc>
          <w:tcPr>
            <w:tcW w:w="32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6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jc w:val="center"/>
              <w:ind w:right="2100"/>
              <w:spacing w:after="0"/>
              <w:rPr>
                <w:sz w:val="20"/>
                <w:szCs w:val="20"/>
                <w:color w:val="auto"/>
              </w:rPr>
            </w:pPr>
            <w:r>
              <w:rPr>
                <w:rFonts w:ascii="Arial" w:cs="Arial" w:eastAsia="Arial" w:hAnsi="Arial"/>
                <w:sz w:val="18"/>
                <w:szCs w:val="18"/>
                <w:color w:val="auto"/>
                <w:w w:val="93"/>
              </w:rPr>
              <w:t>April 30, 2007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$ 153,861</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$ 111,266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81,205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$ 346,332</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$ 346,332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tcPr>
          <w:p>
            <w:pPr>
              <w:jc w:val="center"/>
              <w:ind w:right="2100"/>
              <w:spacing w:after="0"/>
              <w:rPr>
                <w:sz w:val="20"/>
                <w:szCs w:val="20"/>
                <w:color w:val="auto"/>
              </w:rPr>
            </w:pPr>
            <w:r>
              <w:rPr>
                <w:rFonts w:ascii="Arial" w:cs="Arial" w:eastAsia="Arial" w:hAnsi="Arial"/>
                <w:sz w:val="18"/>
                <w:szCs w:val="18"/>
                <w:color w:val="auto"/>
                <w:w w:val="93"/>
              </w:rPr>
              <w:t>April 30, 2006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137,438</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80,420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48,636</w:t>
            </w:r>
          </w:p>
        </w:tc>
        <w:tc>
          <w:tcPr>
            <w:tcW w:w="700" w:type="dxa"/>
            <w:vAlign w:val="bottom"/>
          </w:tcPr>
          <w:p>
            <w:pPr>
              <w:jc w:val="right"/>
              <w:spacing w:after="0"/>
              <w:rPr>
                <w:sz w:val="20"/>
                <w:szCs w:val="20"/>
                <w:color w:val="auto"/>
              </w:rPr>
            </w:pPr>
            <w:r>
              <w:rPr>
                <w:rFonts w:ascii="Arial" w:cs="Arial" w:eastAsia="Arial" w:hAnsi="Arial"/>
                <w:sz w:val="18"/>
                <w:szCs w:val="18"/>
                <w:color w:val="auto"/>
              </w:rPr>
              <w:t>266,494</w:t>
            </w:r>
          </w:p>
        </w:tc>
        <w:tc>
          <w:tcPr>
            <w:tcW w:w="7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266,494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jc w:val="center"/>
              <w:ind w:right="2100"/>
              <w:spacing w:after="0"/>
              <w:rPr>
                <w:sz w:val="20"/>
                <w:szCs w:val="20"/>
                <w:color w:val="auto"/>
              </w:rPr>
            </w:pPr>
            <w:r>
              <w:rPr>
                <w:rFonts w:ascii="Arial" w:cs="Arial" w:eastAsia="Arial" w:hAnsi="Arial"/>
                <w:sz w:val="18"/>
                <w:szCs w:val="18"/>
                <w:color w:val="auto"/>
                <w:w w:val="89"/>
              </w:rPr>
              <w:t>Nine months ended:</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jc w:val="center"/>
              <w:ind w:right="2100"/>
              <w:spacing w:after="0"/>
              <w:rPr>
                <w:sz w:val="20"/>
                <w:szCs w:val="20"/>
                <w:color w:val="auto"/>
              </w:rPr>
            </w:pPr>
            <w:r>
              <w:rPr>
                <w:rFonts w:ascii="Arial" w:cs="Arial" w:eastAsia="Arial" w:hAnsi="Arial"/>
                <w:sz w:val="18"/>
                <w:szCs w:val="18"/>
                <w:color w:val="auto"/>
                <w:w w:val="93"/>
              </w:rPr>
              <w:t>April 30, 2007</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$ 440,792</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$ 302,478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256,596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$ 999,866</w:t>
            </w:r>
          </w:p>
        </w:tc>
        <w:tc>
          <w:tcPr>
            <w:tcW w:w="7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$ 999,866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jc w:val="center"/>
              <w:ind w:right="2100"/>
              <w:spacing w:after="0"/>
              <w:rPr>
                <w:sz w:val="20"/>
                <w:szCs w:val="20"/>
                <w:color w:val="auto"/>
              </w:rPr>
            </w:pPr>
            <w:r>
              <w:rPr>
                <w:rFonts w:ascii="Arial" w:cs="Arial" w:eastAsia="Arial" w:hAnsi="Arial"/>
                <w:sz w:val="18"/>
                <w:szCs w:val="18"/>
                <w:color w:val="auto"/>
                <w:w w:val="93"/>
              </w:rPr>
              <w:t>April 30, 2006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363,446</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230,466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136,191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730,103</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730,103</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SALES GROWTH INFORMATION</w:t>
            </w: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2007:</w:t>
            </w: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Base</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1.4%</w:t>
            </w:r>
          </w:p>
        </w:tc>
        <w:tc>
          <w:tcPr>
            <w:tcW w:w="124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w:t>
            </w:r>
          </w:p>
        </w:tc>
        <w:tc>
          <w:tcPr>
            <w:tcW w:w="1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11.5%</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16.1%</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71.4%</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23.8%</w:t>
            </w:r>
          </w:p>
        </w:tc>
        <w:tc>
          <w:tcPr>
            <w:tcW w:w="124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12.0%</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38.4%</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67.0%</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30.0%</w:t>
            </w:r>
          </w:p>
        </w:tc>
        <w:tc>
          <w:tcPr>
            <w:tcW w:w="1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Nine months ended April 30, 2007:</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2.7%</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8.2%</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-0.7%</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3.8%</w:t>
            </w:r>
          </w:p>
        </w:tc>
        <w:tc>
          <w:tcPr>
            <w:tcW w:w="1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9.5%</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4.0%</w:t>
            </w:r>
          </w:p>
        </w:tc>
        <w:tc>
          <w:tcPr>
            <w:tcW w:w="124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18.2%</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13.6%</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84.7%</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29.1%</w:t>
            </w:r>
          </w:p>
        </w:tc>
        <w:tc>
          <w:tcPr>
            <w:tcW w:w="1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400"/>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21.3%</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31.3%</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88.4%</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36.9%</w:t>
            </w:r>
          </w:p>
        </w:tc>
        <w:tc>
          <w:tcPr>
            <w:tcW w:w="1240" w:type="dxa"/>
            <w:vAlign w:val="bottom"/>
          </w:tcPr>
          <w:p>
            <w:pPr>
              <w:ind w:lef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617"/>
        </w:trPr>
        <w:tc>
          <w:tcPr>
            <w:tcW w:w="20" w:type="dxa"/>
            <w:vAlign w:val="bottom"/>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30,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37,465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4"/>
              </w:rPr>
              <w:t>29,370</w:t>
            </w:r>
          </w:p>
        </w:tc>
        <w:tc>
          <w:tcPr>
            <w:tcW w:w="10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$ 11,861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78,696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April 30, 2006</w:t>
            </w:r>
          </w:p>
        </w:tc>
        <w:tc>
          <w:tcPr>
            <w:tcW w:w="58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35,026</w:t>
            </w:r>
          </w:p>
        </w:tc>
        <w:tc>
          <w:tcPr>
            <w:tcW w:w="42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w w:val="94"/>
              </w:rPr>
              <w:t>21,304</w:t>
            </w: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12,397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68,727</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66,003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Percentage increase (decrease)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37.9%</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Nine months ended:</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30,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9"/>
              </w:rPr>
              <w:t>103,163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4"/>
              </w:rPr>
              <w:t>74,978</w:t>
            </w:r>
          </w:p>
        </w:tc>
        <w:tc>
          <w:tcPr>
            <w:tcW w:w="10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$ 46,391</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$ 224,532</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($5,733)</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$ 218,799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April 30, 2006</w:t>
            </w:r>
          </w:p>
        </w:tc>
        <w:tc>
          <w:tcPr>
            <w:tcW w:w="58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92,188</w:t>
            </w:r>
          </w:p>
        </w:tc>
        <w:tc>
          <w:tcPr>
            <w:tcW w:w="42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w w:val="94"/>
              </w:rPr>
              <w:t>62,071</w:t>
            </w: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37,124</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191,383</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(7,741)</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183,642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Percentage increase (decrease)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20.8%</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r>
      <w:tr>
        <w:trPr>
          <w:trHeight w:val="648"/>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80" w:type="dxa"/>
            <w:vAlign w:val="bottom"/>
            <w:gridSpan w:val="6"/>
            <w:shd w:val="clear" w:color="auto" w:fill="CCEEFF"/>
          </w:tcPr>
          <w:p>
            <w:pPr>
              <w:jc w:val="right"/>
              <w:ind w:right="920"/>
              <w:spacing w:after="0"/>
              <w:rPr>
                <w:sz w:val="20"/>
                <w:szCs w:val="20"/>
                <w:color w:val="auto"/>
              </w:rPr>
            </w:pPr>
            <w:r>
              <w:rPr>
                <w:rFonts w:ascii="Arial" w:cs="Arial" w:eastAsia="Arial" w:hAnsi="Arial"/>
                <w:sz w:val="18"/>
                <w:szCs w:val="18"/>
                <w:color w:val="auto"/>
              </w:rPr>
              <w:t>Three month ended:</w:t>
            </w:r>
          </w:p>
        </w:tc>
        <w:tc>
          <w:tcPr>
            <w:tcW w:w="2180" w:type="dxa"/>
            <w:vAlign w:val="bottom"/>
            <w:gridSpan w:val="7"/>
            <w:shd w:val="clear" w:color="auto" w:fill="CCEEFF"/>
          </w:tcPr>
          <w:p>
            <w:pPr>
              <w:jc w:val="right"/>
              <w:ind w:right="360"/>
              <w:spacing w:after="0"/>
              <w:rPr>
                <w:sz w:val="20"/>
                <w:szCs w:val="20"/>
                <w:color w:val="auto"/>
              </w:rPr>
            </w:pPr>
            <w:r>
              <w:rPr>
                <w:rFonts w:ascii="Arial" w:cs="Arial" w:eastAsia="Arial" w:hAnsi="Arial"/>
                <w:sz w:val="18"/>
                <w:szCs w:val="18"/>
                <w:color w:val="auto"/>
              </w:rPr>
              <w:t>Nine months ended:</w:t>
            </w:r>
          </w:p>
        </w:tc>
      </w:tr>
      <w:tr>
        <w:trPr>
          <w:trHeight w:val="223"/>
        </w:trPr>
        <w:tc>
          <w:tcPr>
            <w:tcW w:w="3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April 30,</w:t>
            </w: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April 30,</w:t>
            </w:r>
          </w:p>
        </w:tc>
        <w:tc>
          <w:tcPr>
            <w:tcW w:w="68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April 30,</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April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9"/>
        </w:trPr>
        <w:tc>
          <w:tcPr>
            <w:tcW w:w="3140" w:type="dxa"/>
            <w:vAlign w:val="bottom"/>
          </w:tcPr>
          <w:p>
            <w:pPr>
              <w:spacing w:after="0"/>
              <w:rPr>
                <w:sz w:val="20"/>
                <w:szCs w:val="20"/>
                <w:color w:val="auto"/>
              </w:rPr>
            </w:pPr>
            <w:r>
              <w:rPr>
                <w:rFonts w:ascii="Arial" w:cs="Arial" w:eastAsia="Arial" w:hAnsi="Arial"/>
                <w:sz w:val="18"/>
                <w:szCs w:val="18"/>
                <w:color w:val="auto"/>
              </w:rPr>
              <w:t>Total profit for reportable segments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8"/>
                <w:szCs w:val="18"/>
                <w:color w:val="auto"/>
              </w:rPr>
              <w:t>$ 78,696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68,727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$ 224,532</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$ 191,383</w:t>
            </w:r>
          </w:p>
        </w:tc>
        <w:tc>
          <w:tcPr>
            <w:tcW w:w="80" w:type="dxa"/>
            <w:vAlign w:val="bottom"/>
          </w:tcPr>
          <w:p>
            <w:pPr>
              <w:spacing w:after="0"/>
              <w:rPr>
                <w:sz w:val="24"/>
                <w:szCs w:val="24"/>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(7,741)</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Unallocated amounts: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costs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(31,083)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(21,777)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(64,011)</w:t>
            </w: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Investment and other income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8"/>
                <w:szCs w:val="18"/>
                <w:color w:val="auto"/>
              </w:rPr>
              <w:t>385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2,279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2,759</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(6,428)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(4,496)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(8,920)</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8"/>
                <w:szCs w:val="18"/>
                <w:color w:val="auto"/>
              </w:rPr>
              <w:t>40,260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42,009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115,478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113,470</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(11,273)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(11,763)</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(31,772)</w:t>
            </w:r>
          </w:p>
        </w:tc>
      </w:tr>
      <w:tr>
        <w:trPr>
          <w:trHeight w:val="223"/>
        </w:trPr>
        <w:tc>
          <w:tcPr>
            <w:tcW w:w="31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8"/>
              </w:rPr>
              <w:t>$ 28,987</w:t>
            </w:r>
          </w:p>
        </w:tc>
        <w:tc>
          <w:tcPr>
            <w:tcW w:w="172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8"/>
                <w:szCs w:val="18"/>
                <w:color w:val="auto"/>
              </w:rPr>
              <w:t>$ 30,246</w:t>
            </w:r>
          </w:p>
        </w:tc>
        <w:tc>
          <w:tcPr>
            <w:tcW w:w="10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6"/>
              </w:rPr>
              <w:t>$ 83,144</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2006.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color w:val="auto"/>
                <w:w w:val="98"/>
              </w:rPr>
              <w:t>(Unaudited)</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gridSpan w:val="8"/>
          </w:tcPr>
          <w:p>
            <w:pPr>
              <w:jc w:val="right"/>
              <w:ind w:right="1288"/>
              <w:spacing w:after="0" w:line="142" w:lineRule="exact"/>
              <w:rPr>
                <w:sz w:val="20"/>
                <w:szCs w:val="20"/>
                <w:color w:val="auto"/>
              </w:rPr>
            </w:pPr>
            <w:r>
              <w:rPr>
                <w:rFonts w:ascii="Arial" w:cs="Arial" w:eastAsia="Arial" w:hAnsi="Arial"/>
                <w:sz w:val="14"/>
                <w:szCs w:val="14"/>
                <w:color w:val="auto"/>
              </w:rPr>
              <w:t>Three Months Ended April 30,</w:t>
            </w:r>
          </w:p>
        </w:tc>
        <w:tc>
          <w:tcPr>
            <w:tcW w:w="100" w:type="dxa"/>
            <w:vAlign w:val="bottom"/>
          </w:tcPr>
          <w:p>
            <w:pPr>
              <w:spacing w:after="0"/>
              <w:rPr>
                <w:sz w:val="12"/>
                <w:szCs w:val="12"/>
                <w:color w:val="auto"/>
              </w:rPr>
            </w:pPr>
          </w:p>
        </w:tc>
        <w:tc>
          <w:tcPr>
            <w:tcW w:w="2280" w:type="dxa"/>
            <w:vAlign w:val="bottom"/>
            <w:gridSpan w:val="7"/>
          </w:tcPr>
          <w:p>
            <w:pPr>
              <w:ind w:left="580"/>
              <w:spacing w:after="0" w:line="142" w:lineRule="exact"/>
              <w:rPr>
                <w:sz w:val="20"/>
                <w:szCs w:val="20"/>
                <w:color w:val="auto"/>
              </w:rPr>
            </w:pPr>
            <w:r>
              <w:rPr>
                <w:rFonts w:ascii="Arial" w:cs="Arial" w:eastAsia="Arial" w:hAnsi="Arial"/>
                <w:sz w:val="14"/>
                <w:szCs w:val="14"/>
                <w:color w:val="auto"/>
                <w:w w:val="94"/>
              </w:rPr>
              <w:t>Nine Months Ended April 30,</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9"/>
              </w:rPr>
              <w:t>Percentage</w:t>
            </w: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440" w:type="dxa"/>
            <w:vAlign w:val="bottom"/>
          </w:tcPr>
          <w:p>
            <w:pPr>
              <w:spacing w:after="0"/>
              <w:rPr>
                <w:sz w:val="14"/>
                <w:szCs w:val="14"/>
                <w:color w:val="auto"/>
              </w:rPr>
            </w:pPr>
          </w:p>
        </w:tc>
        <w:tc>
          <w:tcPr>
            <w:tcW w:w="1440" w:type="dxa"/>
            <w:vAlign w:val="bottom"/>
            <w:gridSpan w:val="2"/>
          </w:tcPr>
          <w:p>
            <w:pPr>
              <w:jc w:val="right"/>
              <w:ind w:right="78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346,332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266,494</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999,866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730,103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Cost of products sold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177,181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125,739</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516,426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348,252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140,755</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483,440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381,851</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7,314</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20,677</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114,109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89,215</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326,119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241,543</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122,848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96,529</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352,472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262,220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46,303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44,226</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130,968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119,631</w:t>
            </w:r>
          </w:p>
        </w:tc>
        <w:tc>
          <w:tcPr>
            <w:tcW w:w="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2,279</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2,759</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(4,496)</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42,009</w:t>
            </w:r>
          </w:p>
        </w:tc>
        <w:tc>
          <w:tcPr>
            <w:tcW w:w="440" w:type="dxa"/>
            <w:vAlign w:val="bottom"/>
          </w:tcPr>
          <w:p>
            <w:pPr>
              <w:spacing w:after="0"/>
              <w:rPr>
                <w:sz w:val="19"/>
                <w:szCs w:val="19"/>
                <w:color w:val="auto"/>
              </w:rPr>
            </w:pP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115,478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113,470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11,763</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31,772</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28,987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30,246</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83,144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81,698</w:t>
            </w:r>
          </w:p>
        </w:tc>
        <w:tc>
          <w:tcPr>
            <w:tcW w:w="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0.62</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0.61</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0.13</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0.62</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0.61</w:t>
            </w:r>
          </w:p>
        </w:tc>
        <w:tc>
          <w:tcPr>
            <w:tcW w:w="14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0.13</w:t>
            </w:r>
          </w:p>
        </w:tc>
        <w:tc>
          <w:tcPr>
            <w:tcW w:w="1440" w:type="dxa"/>
            <w:vAlign w:val="bottom"/>
            <w:gridSpan w:val="2"/>
          </w:tcPr>
          <w:p>
            <w:pPr>
              <w:jc w:val="right"/>
              <w:ind w:right="528"/>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 Thousands):</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53,953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48,923</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53,860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49,039</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49,833</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49,962</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color w:val="auto"/>
              </w:rPr>
              <w:t>(Unaudited)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30, 2007</w:t>
            </w: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5440" w:type="dxa"/>
            <w:vAlign w:val="bottom"/>
            <w:gridSpan w:val="4"/>
            <w:shd w:val="clear" w:color="auto" w:fill="CCEEFF"/>
          </w:tcPr>
          <w:p>
            <w:pPr>
              <w:jc w:val="center"/>
              <w:ind w:right="1020"/>
              <w:spacing w:after="0" w:line="176" w:lineRule="exact"/>
              <w:rPr>
                <w:sz w:val="20"/>
                <w:szCs w:val="20"/>
                <w:color w:val="auto"/>
              </w:rPr>
            </w:pPr>
            <w:r>
              <w:rPr>
                <w:rFonts w:ascii="Arial" w:cs="Arial" w:eastAsia="Arial" w:hAnsi="Arial"/>
                <w:sz w:val="18"/>
                <w:szCs w:val="18"/>
                <w:b w:val="1"/>
                <w:bCs w:val="1"/>
                <w:color w:val="auto"/>
                <w:w w:val="91"/>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tcBorders>
              <w:top w:val="single" w:sz="8" w:color="auto"/>
            </w:tcBorders>
          </w:tcPr>
          <w:p>
            <w:pPr>
              <w:spacing w:after="0"/>
              <w:rPr>
                <w:sz w:val="18"/>
                <w:szCs w:val="18"/>
                <w:color w:val="auto"/>
              </w:rPr>
            </w:pPr>
          </w:p>
        </w:tc>
        <w:tc>
          <w:tcPr>
            <w:tcW w:w="29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1,200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($8,828 and $6,390, respectively)</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240,055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82,295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6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20,437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41,548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5"/>
          </w:tcPr>
          <w:p>
            <w:pPr>
              <w:ind w:left="10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144,280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41,738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gridSpan w:val="5"/>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546,611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459,157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724,404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159,384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37,185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20,633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gridSpan w:val="5"/>
          </w:tcPr>
          <w:p>
            <w:pPr>
              <w:ind w:left="600"/>
              <w:spacing w:after="0"/>
              <w:rPr>
                <w:sz w:val="20"/>
                <w:szCs w:val="20"/>
                <w:color w:val="auto"/>
              </w:rPr>
            </w:pPr>
            <w:r>
              <w:rPr>
                <w:rFonts w:ascii="Arial" w:cs="Arial" w:eastAsia="Arial" w:hAnsi="Arial"/>
                <w:sz w:val="18"/>
                <w:szCs w:val="18"/>
                <w:b w:val="1"/>
                <w:bCs w:val="1"/>
                <w:color w:val="auto"/>
              </w:rPr>
              <w:t>Total other assets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941,606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766,123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60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85,825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235,914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5"/>
          </w:tcPr>
          <w:p>
            <w:pPr>
              <w:ind w:left="60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24,811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352,849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180,640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172,209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6"/>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1,660,426</w:t>
            </w:r>
          </w:p>
        </w:tc>
        <w:tc>
          <w:tcPr>
            <w:tcW w:w="6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5440" w:type="dxa"/>
            <w:vAlign w:val="bottom"/>
            <w:gridSpan w:val="4"/>
            <w:shd w:val="clear" w:color="auto" w:fill="CCEEFF"/>
          </w:tcPr>
          <w:p>
            <w:pPr>
              <w:jc w:val="center"/>
              <w:ind w:right="1020"/>
              <w:spacing w:after="0" w:line="176" w:lineRule="exact"/>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8940" w:type="dxa"/>
            <w:vAlign w:val="bottom"/>
            <w:gridSpan w:val="6"/>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94,415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62,560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6,881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30,897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51,531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Short-term borrowings and current maturities on long-term debt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246,291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218,620</w:t>
            </w:r>
          </w:p>
        </w:tc>
        <w:tc>
          <w:tcPr>
            <w:tcW w:w="0" w:type="dxa"/>
            <w:vAlign w:val="bottom"/>
          </w:tcPr>
          <w:p>
            <w:pPr>
              <w:spacing w:after="0"/>
              <w:rPr>
                <w:sz w:val="1"/>
                <w:szCs w:val="1"/>
                <w:color w:val="auto"/>
              </w:rPr>
            </w:pPr>
          </w:p>
        </w:tc>
      </w:tr>
      <w:tr>
        <w:trPr>
          <w:trHeight w:val="432"/>
        </w:trPr>
        <w:tc>
          <w:tcPr>
            <w:tcW w:w="8940" w:type="dxa"/>
            <w:vAlign w:val="bottom"/>
            <w:gridSpan w:val="6"/>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500,017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63,719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gridSpan w:val="5"/>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810,027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619,140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Class A nonvoting common stock — Issued 50,481,743 and 50,481,743 shares,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5"/>
          </w:tcPr>
          <w:p>
            <w:pPr>
              <w:ind w:left="800"/>
              <w:spacing w:after="0"/>
              <w:rPr>
                <w:sz w:val="20"/>
                <w:szCs w:val="20"/>
                <w:color w:val="auto"/>
              </w:rPr>
            </w:pPr>
            <w:r>
              <w:rPr>
                <w:rFonts w:ascii="Arial" w:cs="Arial" w:eastAsia="Arial" w:hAnsi="Arial"/>
                <w:sz w:val="18"/>
                <w:szCs w:val="18"/>
                <w:color w:val="auto"/>
              </w:rPr>
              <w:t>respectively and outstanding 50,423,441 and 50,188,842 shares, respectively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260,342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Income retained in the business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521,567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tcPr>
          <w:p>
            <w:pPr>
              <w:ind w:left="200"/>
              <w:spacing w:after="0"/>
              <w:rPr>
                <w:sz w:val="20"/>
                <w:szCs w:val="20"/>
                <w:color w:val="auto"/>
              </w:rPr>
            </w:pPr>
            <w:r>
              <w:rPr>
                <w:rFonts w:ascii="Arial" w:cs="Arial" w:eastAsia="Arial" w:hAnsi="Arial"/>
                <w:sz w:val="18"/>
                <w:szCs w:val="18"/>
                <w:color w:val="auto"/>
              </w:rPr>
              <w:t>Treasury stock - 58,302 and 292,901 shares, respectively of Class A nonvoting common stock, at cost</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(2,218)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69,420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35,696</w:t>
            </w:r>
          </w:p>
        </w:tc>
        <w:tc>
          <w:tcPr>
            <w:tcW w:w="0" w:type="dxa"/>
            <w:vAlign w:val="bottom"/>
          </w:tcPr>
          <w:p>
            <w:pPr>
              <w:spacing w:after="0"/>
              <w:rPr>
                <w:sz w:val="1"/>
                <w:szCs w:val="1"/>
                <w:color w:val="auto"/>
              </w:rPr>
            </w:pPr>
          </w:p>
        </w:tc>
      </w:tr>
    </w:tbl>
    <w:p>
      <w:pPr>
        <w:sectPr>
          <w:pgSz w:w="11900" w:h="16870" w:orient="portrait"/>
          <w:cols w:equalWidth="0" w:num="1">
            <w:col w:w="11420"/>
          </w:cols>
          <w:pgMar w:left="240" w:top="9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ind w:left="22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762</w:t>
            </w:r>
          </w:p>
        </w:tc>
      </w:tr>
      <w:tr>
        <w:trPr>
          <w:trHeight w:val="223"/>
        </w:trPr>
        <w:tc>
          <w:tcPr>
            <w:tcW w:w="89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Total stockholders’ investment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850,399</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746,046</w:t>
            </w:r>
          </w:p>
        </w:tc>
        <w:tc>
          <w:tcPr>
            <w:tcW w:w="100" w:type="dxa"/>
            <w:vAlign w:val="bottom"/>
            <w:shd w:val="clear" w:color="auto" w:fill="CCEEFF"/>
          </w:tcPr>
          <w:p>
            <w:pPr>
              <w:spacing w:after="0"/>
              <w:rPr>
                <w:sz w:val="18"/>
                <w:szCs w:val="18"/>
                <w:color w:val="auto"/>
              </w:rPr>
            </w:pPr>
          </w:p>
        </w:tc>
      </w:tr>
      <w:tr>
        <w:trPr>
          <w:trHeight w:val="439"/>
        </w:trPr>
        <w:tc>
          <w:tcPr>
            <w:tcW w:w="8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0"/>
              </w:rPr>
              <w:t>$ 1,660,426</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$ 1,365,186</w:t>
            </w:r>
          </w:p>
        </w:tc>
      </w:tr>
      <w:tr>
        <w:trPr>
          <w:trHeight w:val="20"/>
        </w:trPr>
        <w:tc>
          <w:tcPr>
            <w:tcW w:w="8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89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left="471"/>
              <w:spacing w:after="0"/>
              <w:rPr>
                <w:sz w:val="20"/>
                <w:szCs w:val="20"/>
                <w:color w:val="auto"/>
              </w:rPr>
            </w:pPr>
            <w:r>
              <w:rPr>
                <w:rFonts w:ascii="Arial" w:cs="Arial" w:eastAsia="Arial" w:hAnsi="Arial"/>
                <w:sz w:val="14"/>
                <w:szCs w:val="14"/>
                <w:color w:val="auto"/>
                <w:w w:val="92"/>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7"/>
          </w:tcPr>
          <w:p>
            <w:pPr>
              <w:jc w:val="center"/>
              <w:ind w:right="200"/>
              <w:spacing w:after="0" w:line="149" w:lineRule="exact"/>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105"/>
              <w:spacing w:after="0"/>
              <w:rPr>
                <w:sz w:val="20"/>
                <w:szCs w:val="20"/>
                <w:color w:val="auto"/>
              </w:rPr>
            </w:pPr>
            <w:r>
              <w:rPr>
                <w:rFonts w:ascii="Arial" w:cs="Arial" w:eastAsia="Arial" w:hAnsi="Arial"/>
                <w:sz w:val="14"/>
                <w:szCs w:val="14"/>
                <w:color w:val="auto"/>
              </w:rPr>
              <w:t>April 30</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83,144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40,403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foreign currency contract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(2,129)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property, plant &amp;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1,800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(21,946)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(17,544)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(2,454)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4,008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79,657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63,330</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(157,943)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(10,906)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57,400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(42,107)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 of foreign currency contract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1,703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(8,978)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(207,931)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(208,566)</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4,144</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(110,674)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259,300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Income tax benefit from the exercise of stock options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131,599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163,577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3,005</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6,330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113,008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119,338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90,314</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16,003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33,268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87,224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(33,037)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103,756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00"/>
              <w:spacing w:after="0"/>
              <w:rPr>
                <w:sz w:val="20"/>
                <w:szCs w:val="20"/>
                <w:color w:val="auto"/>
              </w:rPr>
            </w:pPr>
            <w:r>
              <w:rPr>
                <w:rFonts w:ascii="Arial" w:cs="Arial" w:eastAsia="Arial" w:hAnsi="Arial"/>
                <w:sz w:val="18"/>
                <w:szCs w:val="18"/>
                <w:color w:val="auto"/>
              </w:rPr>
              <w:t>Net cash paid for acquisitions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157,943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9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5540"/>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4"/>
              </w:rPr>
              <w:t>Fiscal 2006</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00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Q2</w:t>
            </w:r>
          </w:p>
        </w:tc>
        <w:tc>
          <w:tcPr>
            <w:tcW w:w="340" w:type="dxa"/>
            <w:vAlign w:val="bottom"/>
          </w:tcPr>
          <w:p>
            <w:pPr>
              <w:spacing w:after="0"/>
              <w:rPr>
                <w:sz w:val="12"/>
                <w:szCs w:val="12"/>
                <w:color w:val="auto"/>
              </w:rPr>
            </w:pPr>
          </w:p>
        </w:tc>
        <w:tc>
          <w:tcPr>
            <w:tcW w:w="136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Q3</w:t>
            </w:r>
          </w:p>
        </w:tc>
        <w:tc>
          <w:tcPr>
            <w:tcW w:w="16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30,198</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$ 21,254</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$ 30,246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1,989</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2,435</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4,496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12,334</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7,675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11,763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7,360</w:t>
            </w:r>
          </w:p>
        </w:tc>
        <w:tc>
          <w:tcPr>
            <w:tcW w:w="13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7,194</w:t>
            </w:r>
          </w:p>
        </w:tc>
        <w:tc>
          <w:tcPr>
            <w:tcW w:w="1700" w:type="dxa"/>
            <w:vAlign w:val="bottom"/>
            <w:tcBorders>
              <w:bottom w:val="single" w:sz="8" w:color="auto"/>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9,419</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51,881</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$ 38,558</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$ 55,924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146,363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4"/>
              </w:rPr>
              <w:t>Fiscal 2007</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00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Q2</w:t>
            </w:r>
          </w:p>
        </w:tc>
        <w:tc>
          <w:tcPr>
            <w:tcW w:w="340" w:type="dxa"/>
            <w:vAlign w:val="bottom"/>
          </w:tcPr>
          <w:p>
            <w:pPr>
              <w:spacing w:after="0"/>
              <w:rPr>
                <w:sz w:val="12"/>
                <w:szCs w:val="12"/>
                <w:color w:val="auto"/>
              </w:rPr>
            </w:pPr>
          </w:p>
        </w:tc>
        <w:tc>
          <w:tcPr>
            <w:tcW w:w="136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Q3</w:t>
            </w:r>
          </w:p>
        </w:tc>
        <w:tc>
          <w:tcPr>
            <w:tcW w:w="16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34,448</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$ 19,709</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$ 28,987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4,735</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5,244</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6,428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13,396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7,665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11,273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12,927</w:t>
            </w:r>
          </w:p>
        </w:tc>
        <w:tc>
          <w:tcPr>
            <w:tcW w:w="13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13,169</w:t>
            </w:r>
          </w:p>
        </w:tc>
        <w:tc>
          <w:tcPr>
            <w:tcW w:w="1700" w:type="dxa"/>
            <w:vAlign w:val="bottom"/>
            <w:tcBorders>
              <w:bottom w:val="single" w:sz="8" w:color="auto"/>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14,307</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65,506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$ 45,787</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$ 60,995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172,288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80" w:hanging="332"/>
        <w:spacing w:after="0" w:line="29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2019-12-13T14:05:27Z</dcterms:created>
  <dcterms:modified xsi:type="dcterms:W3CDTF">2019-12-13T14:05:27Z</dcterms:modified>
</cp:coreProperties>
</file>