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31,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09"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0"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As of November 13, 2018, there were 48,937,041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w w:val="93"/>
              </w:rPr>
              <w:t>FORM 10-Q</w:t>
            </w:r>
          </w:p>
        </w:tc>
        <w:tc>
          <w:tcPr>
            <w:tcW w:w="1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6"/>
              </w:rPr>
              <w:t>BRADY CORPORATION</w:t>
            </w:r>
          </w:p>
        </w:tc>
        <w:tc>
          <w:tcPr>
            <w:tcW w:w="1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rPr>
              <w:t>INDEX</w:t>
            </w:r>
          </w:p>
        </w:tc>
        <w:tc>
          <w:tcPr>
            <w:tcW w:w="1480" w:type="dxa"/>
            <w:vAlign w:val="bottom"/>
          </w:tcPr>
          <w:p>
            <w:pPr>
              <w:spacing w:after="0"/>
              <w:rPr>
                <w:sz w:val="20"/>
                <w:szCs w:val="20"/>
                <w:color w:val="auto"/>
              </w:rPr>
            </w:pPr>
          </w:p>
        </w:tc>
      </w:tr>
      <w:tr>
        <w:trPr>
          <w:trHeight w:val="844"/>
        </w:trPr>
        <w:tc>
          <w:tcPr>
            <w:tcW w:w="6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Page</w:t>
            </w:r>
          </w:p>
        </w:tc>
      </w:tr>
      <w:tr>
        <w:trPr>
          <w:trHeight w:val="243"/>
        </w:trPr>
        <w:tc>
          <w:tcPr>
            <w:tcW w:w="99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48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900" w:type="dxa"/>
            <w:vAlign w:val="bottom"/>
            <w:gridSpan w:val="2"/>
          </w:tcPr>
          <w:p>
            <w:pPr>
              <w:ind w:left="14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Earnings</w:t>
              </w:r>
            </w:hyperlink>
          </w:p>
        </w:tc>
        <w:tc>
          <w:tcPr>
            <w:tcW w:w="148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148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0"/>
        </w:trPr>
        <w:tc>
          <w:tcPr>
            <w:tcW w:w="9900" w:type="dxa"/>
            <w:vAlign w:val="bottom"/>
            <w:gridSpan w:val="2"/>
          </w:tcPr>
          <w:p>
            <w:pPr>
              <w:ind w:left="140"/>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Results of Operations and Financial Condition</w:t>
              </w:r>
            </w:hyperlink>
          </w:p>
        </w:tc>
        <w:tc>
          <w:tcPr>
            <w:tcW w:w="1480" w:type="dxa"/>
            <w:vAlign w:val="bottom"/>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9240" w:type="dxa"/>
            <w:vAlign w:val="bottom"/>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9240" w:type="dxa"/>
            <w:vAlign w:val="bottom"/>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48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70"/>
        </w:trPr>
        <w:tc>
          <w:tcPr>
            <w:tcW w:w="99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148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9240" w:type="dxa"/>
            <w:vAlign w:val="bottom"/>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48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9240" w:type="dxa"/>
            <w:vAlign w:val="bottom"/>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48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9900" w:type="dxa"/>
            <w:vAlign w:val="bottom"/>
            <w:gridSpan w:val="2"/>
          </w:tcPr>
          <w:p>
            <w:pPr>
              <w:ind w:left="140"/>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48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86"/>
        </w:trPr>
        <w:tc>
          <w:tcPr>
            <w:tcW w:w="660" w:type="dxa"/>
            <w:vAlign w:val="bottom"/>
          </w:tcPr>
          <w:p>
            <w:pPr>
              <w:spacing w:after="0"/>
              <w:rPr>
                <w:sz w:val="24"/>
                <w:szCs w:val="24"/>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October 31, 2018</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181,427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169,327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161,282</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71,092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73,133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19,903</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20,035</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113,071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18,497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15,559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494,016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471,339</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419,815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41,033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42,588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17,621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17,662</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6,994</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95,386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96,245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270,989</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7,492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4,495</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380,320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378,723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282,263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280,778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97,945</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1,073,626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1,056,931</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66,538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48,945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67,619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3,885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44,567</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181,576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190,927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52,618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64,699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61,274</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300,683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304,819</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4"/>
              </w:rPr>
              <w:t>Class A nonvoting common stock—Issued 51,261,487 shares, and outstanding 48,918,974 and 48,393,617 shares,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325,631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570,858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553,454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stock—2,342,513 and 2,867,870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(71,120)</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(66,231)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(56,401)</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752,112</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1,073,626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1,056,931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395"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39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5"/>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858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290,151</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146,657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144,086</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146,539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146,065</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10,520</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94,591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100,134</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110,654</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35,411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Investment and other (expense)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39,893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34,764</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8,928</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30,637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25,836</w:t>
            </w: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0.50</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52,201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51,440</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52,383</w:t>
            </w:r>
          </w:p>
        </w:tc>
      </w:tr>
      <w:tr>
        <w:trPr>
          <w:trHeight w:val="33"/>
        </w:trPr>
        <w:tc>
          <w:tcPr>
            <w:tcW w:w="10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265" w:lineRule="exact"/>
        <w:rPr>
          <w:sz w:val="20"/>
          <w:szCs w:val="20"/>
          <w:color w:val="auto"/>
        </w:rPr>
      </w:pPr>
    </w:p>
    <w:p>
      <w:pPr>
        <w:jc w:val="right"/>
        <w:ind w:right="280"/>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37465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investment hedge and long-term intercompany loan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flow hedges: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recognized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Reclassification adjustment for (gains) losses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2320"/>
        <w:spacing w:after="0"/>
        <w:rPr>
          <w:sz w:val="20"/>
          <w:szCs w:val="20"/>
          <w:color w:val="auto"/>
        </w:rPr>
      </w:pPr>
      <w:r>
        <w:rPr>
          <w:rFonts w:ascii="Arial" w:cs="Arial" w:eastAsia="Arial" w:hAnsi="Arial"/>
          <w:sz w:val="16"/>
          <w:szCs w:val="16"/>
          <w:color w:val="auto"/>
        </w:rPr>
        <w:t>Pension and other post-retirement benefits 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related to items of other comprehensive loss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90" w:lineRule="exact"/>
        <w:rPr>
          <w:sz w:val="20"/>
          <w:szCs w:val="20"/>
          <w:color w:val="auto"/>
        </w:rPr>
      </w:pPr>
    </w:p>
    <w:p>
      <w:pPr>
        <w:spacing w:after="0"/>
        <w:tabs>
          <w:tab w:leader="none" w:pos="780" w:val="left"/>
          <w:tab w:leader="none" w:pos="1480" w:val="left"/>
          <w:tab w:leader="none" w:pos="2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30,637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25,836</w:t>
      </w:r>
    </w:p>
    <w:p>
      <w:pPr>
        <w:spacing w:after="0" w:line="356" w:lineRule="exact"/>
        <w:rPr>
          <w:sz w:val="20"/>
          <w:szCs w:val="20"/>
          <w:color w:val="auto"/>
        </w:rPr>
      </w:pPr>
    </w:p>
    <w:p>
      <w:pPr>
        <w:jc w:val="both"/>
        <w:ind w:left="820"/>
        <w:spacing w:after="0"/>
        <w:tabs>
          <w:tab w:leader="none" w:pos="2280" w:val="left"/>
        </w:tabs>
        <w:rPr>
          <w:sz w:val="20"/>
          <w:szCs w:val="20"/>
          <w:color w:val="auto"/>
        </w:rPr>
      </w:pPr>
      <w:r>
        <w:rPr>
          <w:rFonts w:ascii="Arial" w:cs="Arial" w:eastAsia="Arial" w:hAnsi="Arial"/>
          <w:sz w:val="16"/>
          <w:szCs w:val="16"/>
          <w:color w:val="auto"/>
        </w:rPr>
        <w:t>(5,395)</w:t>
      </w:r>
      <w:r>
        <w:rPr>
          <w:sz w:val="20"/>
          <w:szCs w:val="20"/>
          <w:color w:val="auto"/>
        </w:rPr>
        <w:tab/>
      </w:r>
      <w:r>
        <w:rPr>
          <w:rFonts w:ascii="Arial" w:cs="Arial" w:eastAsia="Arial" w:hAnsi="Arial"/>
          <w:sz w:val="16"/>
          <w:szCs w:val="16"/>
          <w:color w:val="auto"/>
        </w:rPr>
        <w:t>(5,383)</w:t>
      </w:r>
    </w:p>
    <w:p>
      <w:pPr>
        <w:spacing w:after="0" w:line="383" w:lineRule="exact"/>
        <w:rPr>
          <w:sz w:val="20"/>
          <w:szCs w:val="20"/>
          <w:color w:val="auto"/>
        </w:rPr>
      </w:pPr>
    </w:p>
    <w:p>
      <w:pPr>
        <w:jc w:val="both"/>
        <w:ind w:left="820"/>
        <w:spacing w:after="0"/>
        <w:tabs>
          <w:tab w:leader="none" w:pos="2280" w:val="left"/>
        </w:tabs>
        <w:rPr>
          <w:sz w:val="20"/>
          <w:szCs w:val="20"/>
          <w:color w:val="auto"/>
        </w:rPr>
      </w:pPr>
      <w:r>
        <w:rPr>
          <w:rFonts w:ascii="Arial" w:cs="Arial" w:eastAsia="Arial" w:hAnsi="Arial"/>
          <w:sz w:val="16"/>
          <w:szCs w:val="16"/>
          <w:color w:val="auto"/>
        </w:rPr>
        <w:t>(3,395)</w:t>
      </w:r>
      <w:r>
        <w:rPr>
          <w:sz w:val="20"/>
          <w:szCs w:val="20"/>
          <w:color w:val="auto"/>
        </w:rPr>
        <w:tab/>
      </w:r>
      <w:r>
        <w:rPr>
          <w:rFonts w:ascii="Arial" w:cs="Arial" w:eastAsia="Arial" w:hAnsi="Arial"/>
          <w:sz w:val="16"/>
          <w:szCs w:val="16"/>
          <w:color w:val="auto"/>
        </w:rPr>
        <w:t>(1,172)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20" w:hanging="1477"/>
        <w:spacing w:after="0"/>
        <w:tabs>
          <w:tab w:leader="none" w:pos="2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(234)</w:t>
      </w:r>
    </w:p>
    <w:p>
      <w:pPr>
        <w:spacing w:after="0" w:line="109" w:lineRule="exact"/>
        <w:rPr>
          <w:sz w:val="20"/>
          <w:szCs w:val="20"/>
          <w:color w:val="auto"/>
        </w:rPr>
      </w:pPr>
    </w:p>
    <w:p>
      <w:pPr>
        <w:ind w:left="2540" w:hanging="1516"/>
        <w:spacing w:after="0"/>
        <w:tabs>
          <w:tab w:leader="none" w:pos="2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2420" w:hanging="1477"/>
        <w:spacing w:after="0"/>
        <w:tabs>
          <w:tab w:leader="none" w:pos="2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(210)</w:t>
      </w:r>
    </w:p>
    <w:p>
      <w:pPr>
        <w:spacing w:after="0" w:line="200" w:lineRule="exact"/>
        <w:rPr>
          <w:sz w:val="20"/>
          <w:szCs w:val="20"/>
          <w:color w:val="auto"/>
        </w:rPr>
      </w:pPr>
    </w:p>
    <w:p>
      <w:pPr>
        <w:spacing w:after="0" w:line="206" w:lineRule="exact"/>
        <w:rPr>
          <w:sz w:val="20"/>
          <w:szCs w:val="20"/>
          <w:color w:val="auto"/>
        </w:rPr>
      </w:pPr>
    </w:p>
    <w:p>
      <w:pPr>
        <w:ind w:left="2420" w:hanging="1477"/>
        <w:spacing w:after="0"/>
        <w:tabs>
          <w:tab w:leader="none" w:pos="2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(130)</w:t>
      </w:r>
    </w:p>
    <w:p>
      <w:pPr>
        <w:spacing w:after="0" w:line="200" w:lineRule="exact"/>
        <w:rPr>
          <w:sz w:val="20"/>
          <w:szCs w:val="20"/>
          <w:color w:val="auto"/>
        </w:rPr>
      </w:pPr>
    </w:p>
    <w:p>
      <w:pPr>
        <w:spacing w:after="0" w:line="206" w:lineRule="exact"/>
        <w:rPr>
          <w:sz w:val="20"/>
          <w:szCs w:val="20"/>
          <w:color w:val="auto"/>
        </w:rPr>
      </w:pPr>
    </w:p>
    <w:p>
      <w:pPr>
        <w:jc w:val="both"/>
        <w:ind w:left="820"/>
        <w:spacing w:after="0"/>
        <w:tabs>
          <w:tab w:leader="none" w:pos="2280" w:val="left"/>
        </w:tabs>
        <w:rPr>
          <w:sz w:val="20"/>
          <w:szCs w:val="20"/>
          <w:color w:val="auto"/>
        </w:rPr>
      </w:pPr>
      <w:r>
        <w:rPr>
          <w:rFonts w:ascii="Arial" w:cs="Arial" w:eastAsia="Arial" w:hAnsi="Arial"/>
          <w:sz w:val="16"/>
          <w:szCs w:val="16"/>
          <w:color w:val="auto"/>
        </w:rPr>
        <w:t>(9,372)</w:t>
      </w:r>
      <w:r>
        <w:rPr>
          <w:sz w:val="20"/>
          <w:szCs w:val="20"/>
          <w:color w:val="auto"/>
        </w:rPr>
        <w:tab/>
      </w:r>
      <w:r>
        <w:rPr>
          <w:rFonts w:ascii="Arial" w:cs="Arial" w:eastAsia="Arial" w:hAnsi="Arial"/>
          <w:sz w:val="16"/>
          <w:szCs w:val="16"/>
          <w:color w:val="auto"/>
        </w:rPr>
        <w:t>(6,895)</w:t>
      </w:r>
    </w:p>
    <w:p>
      <w:pPr>
        <w:spacing w:after="0" w:line="86" w:lineRule="exact"/>
        <w:rPr>
          <w:sz w:val="20"/>
          <w:szCs w:val="20"/>
          <w:color w:val="auto"/>
        </w:rPr>
      </w:pPr>
    </w:p>
    <w:p>
      <w:pPr>
        <w:ind w:left="2420" w:hanging="1477"/>
        <w:spacing w:after="0"/>
        <w:tabs>
          <w:tab w:leader="none" w:pos="2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(485)</w:t>
      </w:r>
    </w:p>
    <w:p>
      <w:pPr>
        <w:spacing w:after="0" w:line="58" w:lineRule="exact"/>
        <w:rPr>
          <w:sz w:val="20"/>
          <w:szCs w:val="20"/>
          <w:color w:val="auto"/>
        </w:rPr>
      </w:pPr>
    </w:p>
    <w:p>
      <w:pPr>
        <w:sectPr>
          <w:pgSz w:w="11900" w:h="16838" w:orient="portrait"/>
          <w:cols w:equalWidth="0" w:num="2">
            <w:col w:w="7880" w:space="720"/>
            <w:col w:w="28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(7,380)</w:t>
            </w:r>
          </w:p>
        </w:tc>
      </w:tr>
      <w:tr>
        <w:trPr>
          <w:trHeight w:val="33"/>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30,637</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25,836</w:t>
            </w:r>
          </w:p>
        </w:tc>
      </w:tr>
      <w:tr>
        <w:trPr>
          <w:trHeight w:val="54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5,960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6,564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3,744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(1,168)</w:t>
            </w:r>
          </w:p>
        </w:tc>
      </w:tr>
      <w:tr>
        <w:trPr>
          <w:trHeight w:val="540"/>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(4,807)</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(3,571)</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(2,005)</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(14,070)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7,799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2,327</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18,818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34,719</w:t>
            </w:r>
          </w:p>
        </w:tc>
      </w:tr>
      <w:tr>
        <w:trPr>
          <w:trHeight w:val="824"/>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(3,802)</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974</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(2,828)</w:t>
            </w:r>
          </w:p>
        </w:tc>
      </w:tr>
      <w:tr>
        <w:trPr>
          <w:trHeight w:val="824"/>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(11,096)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(10,639)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12,138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3,249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10,901</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(22,894)</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(2,280)</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(21,663)</w:t>
            </w:r>
          </w:p>
        </w:tc>
      </w:tr>
      <w:tr>
        <w:trPr>
          <w:trHeight w:val="554"/>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(1,935)</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14"/>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10,749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8,293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181,427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133,944</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192,176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142,237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52070</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2018 and July 31, 2018, its results of operations and comprehensive income for the three months ended October 31, 2018 and 2017, and cash flows for the three months ended October 31, 2018 and 2017. The consolidated balance sheet as of July 31, 2018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March 2017, the FASB issued ASU 2017-07, "Compensation-Retirement Benefits (Topic 715): Improving the presentation of Net Periodic Pension Cost and Net Periodic Postretirement Benefit Cost," which requires entities to present the service cost component of net periodic pension cost and net periodic postretirement benefit cost in the income statement line items where they report compensation cost. Entities will present all other components of net benefit cost outside operating income, if this subtotal is presented. The amendment only impacts where those costs are reflected within the income statement. In addition, only the service cost component of net benefit cost is eligible for capitalization. The Company adopted ASU 2017-07 effective August 1, 2018 and elected the practical expedient to use the components of cost disclosed in prior years as a basis for the retrospective application of the new income statement presentation. The impact of the adoption on the Company's condensed consolidated financial statements was not significant for the three months ended October 31, 2018 and 2017. Refer to Note 4 "Employee Benefit Plans" in our annual report on Form 10-K for the year ended July 31, 2018.</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Company's consolidated financial statements if there is a future impairment of goodwill.</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the FASB issued ASU 2016-02, "Leases," which replaces the current lease accounting standards. The update requires, among other items, lessees to recognize the assets and liabilities that arise from most leases on the balance sheet. This guidance is effective for annual periods beginning after December 15, 2018, and interim periods within those annual periods. The ASU allows for either a full retrospective or a modified retrospective approach and early adoption is permitted. The Company expects the new lease standard to increase its total assets and liabilities; however, it is evaluating the magnitude of the impact 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consolidated financial statements. The Company has formed a team to implement the new lease standard, has selected a third-party software program to track and store its leases, and has accumulated data pertaining to its global lease obligations.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which eliminates the transaction 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The Company adopted ASU 2014-09 (and related updates) effective August 1, 2018 using the modified retrospective method to apply this guidance to all contracts at the date of initial application. Results for reporting periods beginning after August 1, 2018 are presented under Topic 606, while comparative prior period amounts have not been restated and continue to be presented under accounting standards in effect in those periods.</w:t>
      </w:r>
    </w:p>
    <w:p>
      <w:pPr>
        <w:spacing w:after="0" w:line="1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results of applying Topic 606 were insignificant and did not have a material impact on the Company's consolidated financial condition, results of operations, cash flows, business processes, controls, or systems. Upon adoption, the Company recorded a cumulative adjustment to the opening balance of retained earnings as of August 1, 2018, which resulted in a decrease to retained earnings of $2,137, net of tax. The adjustment was primarily due to a change in timing of when revenue and the related costs for certain extended service-type warranties are recognized, as required per Topic 606.</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C "Revenue Recognition" for additional information and required disclosures under the new standard.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C — Revenue Recognition</w:t>
      </w:r>
    </w:p>
    <w:p>
      <w:pPr>
        <w:spacing w:after="0" w:line="3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earnings. The Company considers the purchase orders, which in some cases are governed by master sales or distributor agreements, to be its contracts with the customers. For each contract, the Company considers the commitment to transfer products, each of which is distinct, to be its identified performance obligations.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Timing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the Company's revenue is earned and recognized at a point in time through ship-and-bill performance obligations, when control of the product is transferred to the customer, which typically occurs upon shipment or delivery to the customer, depending on freight terms. To determine when control has transferred, the Company considers if there is a present right to payment; and if legal title, physical possession, and the significant risks and rewards of ownership of the asset has transferred to the customer. Once a product has shipped or has been delivered, the customer is able to direct the use of, and obtain substantially all of the remaining benefits from, the asset.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Measurement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Revenue is measured as the amount of consideration the Company expects to be entitled to in exchange for the transfer of product, which is generally the price stated in the contract specific for each item sold, adjusted for the value of expected returns, discounts, rebates, or other allowances offered to the Company's customers as a reduction of the transaction price. Certain discounts and price assurances are fixed and known at the time of sale. Expected returns and other allowances are variable and are estimated using the expected value method based upon historical experience. Rebates offered to customers are retrospective and typically defined in the master sales or distributor agreements, and therefore are recorded using the most likely amount method based on the terms of the contract. Estimated amounts are included in the transaction price to the extent it is probable that a significant reversal of cumulative revenue recognized will not occur when the uncertainty associated with the variable consideration is resolved.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Payment Terms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While the Company’s standard payment terms are net 30 days, the specific payment terms and conditions in its customer contracts vary. In some cases, customers pay for their goods at time of shipment or upon delivery; in other cases, after appropriate credit evaluation, an open credit line is granted and payment is due in arrears. Contracts with payment in arrears are recognized in the condensed consolidated balance sheet as accounts receivable.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Warranties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upon historical warranty experience.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also sells extended warranty coverage for certain products, which it accounts for as service warranties. In most cases, the extended service warranty is included with the purchase of the product. In applying Topic 606, the Company considers the extended service warranty to be a separate performance obligation in the contract and allocates a portion of the transaction price to the service warranty based on the estimated stand-alone selling price. Under Topic 606, the extended warranty transaction price is initially recorded as deferred revenue on the consolidated balance sheet and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 The balance of contract liabilities as of October 31, 2018, was $2,800. This also represents the amount of unsatisfied performance obligations related to contracts that extend beyond one year. Of this amount, the Company expects to recognize 34% as revenue by the end of fiscal 2019, an additional 37% by the end of fiscal 2020, and the balance thereafter. Upon adoption of Topic 606, at the beginning of fiscal 2019, the contract liability balance was $2,796. The current portion of contract liabilities and the non-current portion are included in “Other current liabilities” and “Other liabilities," respectively, on the consolidated balance sheet. During the three months ended October 31, 2018, the Company recognized revenue of $308 that was included in the contract liability balance at the beginning of the period, which was from the amortization of extended service warranties.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Practical Expedients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the exception of the performance obligations related to the extended service warranties, the Company's contracts have an original expected duration of one year or less. As a result, the Company has elected to use the practical expedient to not disclose its remaining performance obligations for contracts that have an original expected length of one year or less.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applied the portfolio approach to its ship-and-bill contracts that have similar characteristics as it reasonably expects that the effects on the financial statements of applying this guidance to the portfolio of contracts would not differ materially from applying this guidance to the individual contracts within the portfolio.</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the Company’s product sale contracts and standard payment terms have a duration of less than one year, it uses the practical expedient applicable to such contracts and does not consider the time value of money.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use, value-add and other similar taxes assessed by governmental authorities and collected concurrent with revenue-producing activities are excluded from revenue.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shipping and handling activities that occur after control of the related products transfers to the customer as fulfillment activities and are therefore recognized as revenue at time of shipping.</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expenses incremental direct costs of obtaining a contract (e.g., sales commissions) when incurred because the amortization period is generally twelve months or less. Contract costs are expensed in "Selling, general, and administrative expenses" on the consolidated statements of earnings.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G, "Segment Information," for the Company's disaggregated revenue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D — Goodwill and Other Intangible Assets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three months ended October 31,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2018</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385,524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34,291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419,815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(3,569)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shd w:val="clear" w:color="auto" w:fill="CCEEFF"/>
              </w:rPr>
              <w:t>Balance as of October 31, 2018</w:t>
            </w:r>
          </w:p>
        </w:tc>
        <w:tc>
          <w:tcPr>
            <w:tcW w:w="2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381,955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33,174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415,129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Goodwill is presented net of accumulated impairment losses, with the most recent impairment charge being incurred in fiscal 2015. There were no impairment charges recorded during the three months ended October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intangible assets include patents, trademarks, and customer relationships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October 31, 2018</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379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55,559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(34,418)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21,141</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55,999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22,464</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19,429</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19,516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19,516</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80,852</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(39,819)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41,033</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81,460</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(38,872)</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42,588</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October 31, 2018 compared to July 31, 2018 was due to the effects of currency fluctuations during the three-month period.</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expense on intangible assets was $1,436 and $1,693 for the three months ended October 31, 2018 and 2017, respectively. Amortization expense over each of the next five fiscal years is projected to be $5,713, $5,187, $5,148, $5,004 and $2,025 for the fiscal years ending July 31, 2019, 2020, 2021, 2022 and 2023,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E —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Unrealized gain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on cash flow</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(9,640)</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October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3,147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(69,715)</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(66,231)</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increase in the accumulated other comprehensive loss as of October 31, 2018, compared to July 31, 2018,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$190 in amounts reclassified from accumulated other comprehensive loss, the $35 gain on cash flow hedges was reclassified into cost of goods sold and the $155 gain on post-retirement plans was reclassified into selling, general and administrative expenses ("SG&amp;A") on the Condensed Consolidated Statements of Earnings for the three months ended October 31,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October 31, 2017,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(loss)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50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(7,265)</w:t>
            </w: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44"/>
        </w:trPr>
        <w:tc>
          <w:tcPr>
            <w:tcW w:w="5500" w:type="dxa"/>
            <w:vAlign w:val="bottom"/>
          </w:tcPr>
          <w:p>
            <w:pPr>
              <w:ind w:left="40"/>
              <w:spacing w:after="0"/>
              <w:rPr>
                <w:sz w:val="20"/>
                <w:szCs w:val="20"/>
                <w:color w:val="auto"/>
              </w:rPr>
            </w:pPr>
            <w:r>
              <w:rPr>
                <w:rFonts w:ascii="Arial" w:cs="Arial" w:eastAsia="Arial" w:hAnsi="Arial"/>
                <w:sz w:val="16"/>
                <w:szCs w:val="16"/>
                <w:color w:val="auto"/>
              </w:rPr>
              <w:t>Ending balance, October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(54,257)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(52,062)</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increase in accumulated other comprehensive loss as of October 31, 2017, compared to July 31, 2017,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$115 in amounts reclassified from accumulated other comprehensive loss, the $15 loss on cash flow hedges was reclassified into cost of goods sold and the $130 gain on post-retirement plans was reclassified into SG&amp;A on the Condensed Consolidated Statements of Earnings for the three months ended October 31, 2017.</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income tax expense on the components of other comprehensive loss for the three months ended October 31, 2018 and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5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5"/>
              </w:rPr>
              <w:t>Three months ended October 31,</w:t>
            </w:r>
          </w:p>
        </w:tc>
      </w:tr>
      <w:tr>
        <w:trPr>
          <w:trHeight w:val="33"/>
        </w:trPr>
        <w:tc>
          <w:tcPr>
            <w:tcW w:w="6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6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(405)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6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
        </w:trPr>
        <w:tc>
          <w:tcPr>
            <w:tcW w:w="6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Net Earnings per Common Share</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Earnings (Numerator for basic and diluted Class A Nonvoting Common 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30,637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25,836</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per Class B Voting Common Share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29,809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25,021</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basic earnings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52,201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51,440</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diluted earnings per share for both Class A and Class B</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52,958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52,383</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0.50</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0.48</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to purchase 679,902 and 737,132 shares of Class A Nonvoting Common Stock for the three months ended October 31, 2018 and 2017, respectively, were not included in the computation of diluted net earnings per share because the option exercise price was greater than the average market price of the common shares and, therefore, the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(expense), income taxes, and certain corporate administrative expenses are excluded when evaluating segment performance.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net sales by segment and geographic region for the three months ended October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Three months ended October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ID Solutions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139,404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48,828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47,131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23,170</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218,100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209,705</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Workplace Safety</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i w:val="1"/>
                <w:iCs w:val="1"/>
                <w:color w:val="auto"/>
              </w:rPr>
              <w:t>Americas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24,751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26,488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41,384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i w:val="1"/>
                <w:iCs w:val="1"/>
                <w:color w:val="auto"/>
              </w:rPr>
              <w:t>Australia</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12,690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12,574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165,892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86,483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88,515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Asia-Pacific</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35,744</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293,196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290,151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profit for the three months ended October 31, 2018 and 2017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41,562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35,837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6,445</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47,103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42,282</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segment profit to earnings before income taxes for the three months ended October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42,282</w:t>
            </w: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(6,871)</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Investment and other (expense) income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7"/>
        </w:trPr>
        <w:tc>
          <w:tcPr>
            <w:tcW w:w="672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39,893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34,764</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H – Stock-Based Compensation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Restricted and unrestricted shares and RSUs issued under the plan have a grant date fair value equal to the fair market value of the underlying stock at the date of grant or as determined using a Monte Carlo simulation.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vest at the end of a three-year service period provided specified financial performance metrics are met.</w:t>
      </w:r>
    </w:p>
    <w:p>
      <w:pPr>
        <w:spacing w:after="0" w:line="10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October 31, 2018, the Company has reserved 2,682,634 shares of Class A Nonvoting Common Stock for outstanding stock options, RSUs, and restricted shares and 3,655,246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93"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October 31, 2018 and 2017, was $4,965 ($4,319 net of taxes) and $3,744 ($2,321 net of taxes), respectively.</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31, 2018, total unrecognized compensation cost related to stock-based compensation awards was $16,245 pre-tax, net of estimated forfeitures, which the Company expects to recognize over a weighted-average period of 2.1 years.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estimated the fair value of its service-based stock option awards granted during the three months ended October 31, 2018 and 2017,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Three months ended October 31,</w:t>
            </w:r>
          </w:p>
        </w:tc>
      </w:tr>
      <w:tr>
        <w:trPr>
          <w:trHeight w:val="33"/>
        </w:trPr>
        <w:tc>
          <w:tcPr>
            <w:tcW w:w="59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4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28.19%</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36.85</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36.85</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2018,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4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Options</w:t>
            </w: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2,504,633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080" w:type="dxa"/>
            <w:vAlign w:val="bottom"/>
          </w:tcPr>
          <w:p>
            <w:pPr>
              <w:jc w:val="right"/>
              <w:spacing w:after="0"/>
              <w:rPr>
                <w:sz w:val="20"/>
                <w:szCs w:val="20"/>
                <w:color w:val="auto"/>
              </w:rPr>
            </w:pPr>
            <w:r>
              <w:rPr>
                <w:rFonts w:ascii="Arial" w:cs="Arial" w:eastAsia="Arial" w:hAnsi="Arial"/>
                <w:sz w:val="16"/>
                <w:szCs w:val="16"/>
                <w:color w:val="auto"/>
              </w:rPr>
              <w:t>276,238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080" w:type="dxa"/>
            <w:vAlign w:val="bottom"/>
          </w:tcPr>
          <w:p>
            <w:pPr>
              <w:jc w:val="right"/>
              <w:spacing w:after="0"/>
              <w:rPr>
                <w:sz w:val="20"/>
                <w:szCs w:val="20"/>
                <w:color w:val="auto"/>
              </w:rPr>
            </w:pPr>
            <w:r>
              <w:rPr>
                <w:rFonts w:ascii="Arial" w:cs="Arial" w:eastAsia="Arial" w:hAnsi="Arial"/>
                <w:sz w:val="16"/>
                <w:szCs w:val="16"/>
                <w:color w:val="auto"/>
              </w:rPr>
              <w:t>(5,407)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2,223,545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October 31, 2018</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2"/>
            <w:vMerge w:val="continue"/>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1,621,317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27.06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were 1,621,317 and 2,229,350 options exercisable with a weighted average exercise price of $27.06 and $27.39 at October 31, 2018 and 2017, respectively. The total fair value of stock options vested during the three months ended October 31, 2018 and 2017, was $2,798 and $2,974, respectively.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cash received from the exercise of options during the three months ended October 31, 2018 and 2017, was $12,138 and $3,249. The tax benefit from the exercise of options during the three months ended October 31, 2018 and 2017, was $2,356 and $478, respectively. The total intrinsic value of options exercised during the three months ended October 31, 2018 and 2017, based upon the average market price at the time of exercise during the period, was $9,423 and $1,257,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RSU activity under the Company's share-based compensation plans for the three months ended October 31, 2018:</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342,856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76,356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44.04</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28.15</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(7,339)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29.97</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service-based RSUs granted during the three months ended October 31, 2017, had a weighted-average grant date fair value of $35.14. The total fair value of service-based RSUs vested during the three months ended October 31, 2018 and 2017, was $4,795 and $4,736,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8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60" w:type="dxa"/>
            <w:vAlign w:val="bottom"/>
          </w:tcPr>
          <w:p>
            <w:pPr>
              <w:jc w:val="right"/>
              <w:spacing w:after="0"/>
              <w:rPr>
                <w:sz w:val="20"/>
                <w:szCs w:val="20"/>
                <w:color w:val="auto"/>
              </w:rPr>
            </w:pPr>
            <w:r>
              <w:rPr>
                <w:rFonts w:ascii="Arial" w:cs="Arial" w:eastAsia="Arial" w:hAnsi="Arial"/>
                <w:sz w:val="16"/>
                <w:szCs w:val="16"/>
                <w:color w:val="auto"/>
              </w:rPr>
              <w:t>50,313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50.70</w:t>
            </w:r>
          </w:p>
        </w:tc>
      </w:tr>
      <w:tr>
        <w:trPr>
          <w:trHeight w:val="33"/>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38.33</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performance-based RSUs granted during the three months ended October 31, 2017, had a weighted-average grant date fair value of $33.12. The aggregate intrinsic value of unvested service-based and performance-based RSUs outstanding at October 31, 2018 and expected to vest was $18,497.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other significant pricing inputs that are either directly or indirectly observable.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October 31, 2018 and July 31, 2018,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October 31, 2018</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14,060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14,060</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14,060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14,951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2018</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15,460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w:t>
      </w:r>
      <w:r>
        <w:rPr>
          <w:rFonts w:ascii="Arial" w:cs="Arial" w:eastAsia="Arial" w:hAnsi="Arial"/>
          <w:sz w:val="17"/>
          <w:szCs w:val="17"/>
          <w:i w:val="1"/>
          <w:iCs w:val="1"/>
          <w:color w:val="auto"/>
        </w:rPr>
        <w:t xml:space="preserve"> </w:t>
      </w:r>
      <w:r>
        <w:rPr>
          <w:rFonts w:ascii="Arial" w:cs="Arial" w:eastAsia="Arial" w:hAnsi="Arial"/>
          <w:sz w:val="17"/>
          <w:szCs w:val="17"/>
          <w:color w:val="auto"/>
        </w:rPr>
        <w:t>Level 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J, “Derivatives and Hedging Activities,” for additional information.</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2018. In addition, the Company had no significant measurements of assets or liabilities at fair value on a nonrecurring basis subsequent to their initial recognition during the three months ended October 31, 2018.</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accounts payable, and accrued liabilities approximated carrying values because of the short-term nature of these instruments.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based on the quoted market prices for similar issues and on the current rates offered for debt of similar maturities was $57,047 and $55,707 at October 31, 2018 and July 31, 2018, respectively, as compared to the carrying value of $54,408 and $52,618 at October 31, 2018 and July 31, 2018,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J — Derivatives and Hedging Activities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2018 and July 31, 2018, the notional amount of outstanding forward exchange contracts was $23,619 and $32,667, respectively.</w:t>
      </w:r>
    </w:p>
    <w:p>
      <w:pPr>
        <w:spacing w:after="0" w:line="1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Euro, Canadian dollar, and Mexican peso. Generally, these risk management transactions will involve the use of foreign currency derivatives to minimize the impact of currency movements on non-functional currency transactions.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October 31, 2018 and 2017, unrealized gains of $590 and losses of $710 were included in OCI, respectively. Balances are reclassified from OCI to earnings when the hedged transactions impact earnings. For the three months ended October 31, 2018 and 2017, the Company reclassified gains of $47 and losses of $24 from OCI into earnings, respectively. At October 31, 2018, the U.S. dollar equivalent of these outstanding forward foreign exchange contracts totaled $20,398, including contracts to sell Euros and Canadian dollars, and contracts to buy Mexican pesos.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April 30, 2017, €45 million of Euro-denominated senior unsecured notes were designated as net investment hedges to hedge portions of the Company's net investment in European operations. The Company’s foreign denominated debt obligations are valued under a market approach using publicized spot prices.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October 31, 2018 and 2017, the Company recognized losses of $33 and gains of $22, respectively, in “Investment and other (expense) income” on the Condensed Consolidated Statements of Earnings related to non-designated hedges.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October 31, 2018</w:t>
            </w: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October 31, 2018</w:t>
            </w: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2018</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51,048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51,500</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K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October 31, 2018:</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752,112</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30,637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(9,830)</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14,569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10,064</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 (Note H)</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4,965</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Cumulative adjustment for ASU 2014-09, net of</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tax (Note B)</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(10,403)</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$0.20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October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326,182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570,858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(58,414)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772,943</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October 31, 2017: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700,140</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25,836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25,836</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(7,380)</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5,086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1,223</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 (Note H)</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3,744</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(9,964)</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$0.19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October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322,657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522,333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(80,806)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(52,062)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712,670</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L – 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 income tax rate for the three months ended October 31, 2018 and 2017 was 23.2% and 25.7%, respectively. The decrease in the income tax rate was primarily due to a reduction of the U.S. federal corporate tax rate as a result of the Tax Cuts and Jobs Act (the "Tax Reform Act") passed in December 2017 and tax benefits from equity-based compensation activity in the current period.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Securities and Exchange Commission has issued rules that would allow for a measurement period of up to one year after the enactment date of the Tax Reform Act to finalize the recording of the related tax impacts. Provisional adjustments have been recorded in the Company’s consolidated financial statements; however, the final enactment impacts of the Tax Reform Act may differ from the estimate due to changes in interpretation, legislative action to address questions that arise, changes in accounting</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standards for income taxes or related interpretations in response to the Tax Reform Act, or any updates or changes to information the Company has utilized to develop the estimates, including impacts from changes to earnings estimates and foreign exchange rates of foreign subsidiaries. No significant adjustments to the provisional amounts recorded during the year ended July 31, 2018, have been recognized for the three months ended October 31, 2018. For further discussion on the impact of the Tax Reform Act, refer to Note 5 “Income Taxes” of the Annual Report on Form 10-K for the year ended July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13, 2018, the Board of Directors declared a quarterly cash dividend to shareholders of the Company’s Class A and Class B Common Stock of $0.2125 per share payable on January 31, 2019, to shareholders of record at the close of business on January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of which are externally sourced.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increasing investment in research and development ("R&amp;D") to develop new products. In our Workplace Safety ("WPS") business, our strategy for growth includes a focus on workplace safety critical industries, innovative new product offerings, compliance expertise, and improving our digital capabilities.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the strategy in fiscal 2019:</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in alignment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Executing sustainable efficiency gains within our selling, general, and administrative structures as well as throughout our global operations by making investments in equipment and machinery to drive automation.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and enhancing our digital presence.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through focused sales and marketing actions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months ended October 31, 2018 and 2017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6"/>
                <w:szCs w:val="16"/>
                <w:b w:val="1"/>
                <w:bCs w:val="1"/>
                <w:color w:val="auto"/>
                <w:w w:val="94"/>
              </w:rPr>
              <w:t>Three months ended October 31,</w:t>
            </w:r>
          </w:p>
        </w:tc>
        <w:tc>
          <w:tcPr>
            <w:tcW w:w="9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293,196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290,151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146,539</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146,065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11,326</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10,520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94,591</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100,134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7"/>
        </w:trPr>
        <w:tc>
          <w:tcPr>
            <w:tcW w:w="4920" w:type="dxa"/>
            <w:vAlign w:val="bottom"/>
          </w:tcPr>
          <w:p>
            <w:pPr>
              <w:ind w:left="8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105,917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110,654</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40,622</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and divestitures.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Sales for the three months ended October 31, 2018, increased 1.0% to $293.2 million, compared to $290.2 million in the same period of the prior year. The increase in sales consisted of organic sales growth of 4.7%, partially offset by a negative foreign currency impact of 2.0% and a sales decline of 1.7% due to the divestiture of a business. Organic sales grew by 5.7% in the IDS segment and 2.2% in the WPS segment during the three months ended October 31, 2018, compared to the same period in the prior year. The IDS segment realized sales growth in the Product ID, Wire ID, Safety and Facility ID, and Healthcare ID product lines. Both digital and traditional catalog channel sales in the WPS segment improved.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margin for the three months ended October 31, 2018, increased 0.3% to $146.5 million, compared to $146.1 million in the same period of the prior year. As a percentage of net sales, gross margin decreased to 50.0% for the three months ended October 31, 2018, from 50.3% in the same period of the prior year. The decrease in gross margin as a percentage of net sales was primarily due to increased material, supplies, and freight costs which were partially mitigated by our on-going efforts to streamline manufacturing processes and drive operational efficiencies, including increased automation in our manufacturing facilities.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(“R&amp;D”) expenses for the three months ended October 31, 2018, increased 7.7% to $11.3 million, compared to $10.5 million in the same period of the prior year. As a percentage of sales, R&amp;D expenses were 3.9% for the three months ended October 31, 2018, compared to 3.6% in the same period of the prior year. The increase in R&amp;D expenses was primarily due to an increased number of R&amp;D personnel and investment in new product development supporting our focus on increasing new product sales within our IDS and WPS businesses.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Selling, general and administrative expenses ("SG&amp;A") include selling and administrative costs directly attributed to the IDS and WPS segments, as well as certain other corporate administrative expenses including finance, information technology, human resources, and other administrative expenses. SG&amp;A decreased 5.5% to $94.6 million for the three months ended October 31, 2018, compared to $100.1 million in the same period of the prior year. As a percentage of sales, SG&amp;A was 32.3% for the three months ended October 31, 2018, compared to 34.5% in the same period of the prior year. Approximately half of the decrease in SG&amp;A was due to a favorable impact of foreign currency translation and the impact of the sale of a business in the prior year. The remainder of the decrease was due to ongoing efficiency gains in SG&amp;A.</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income was $40.6 million and $35.4 million for three months ended October 31, 2018 and 2017, respectively. The increase was primarily due to increased segment profit in the IDS segment and reduced SG&amp;A in both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ind w:left="800"/>
              <w:spacing w:after="0"/>
              <w:rPr>
                <w:sz w:val="20"/>
                <w:szCs w:val="20"/>
                <w:color w:val="auto"/>
              </w:rPr>
            </w:pPr>
            <w:r>
              <w:rPr>
                <w:rFonts w:ascii="Arial" w:cs="Arial" w:eastAsia="Arial" w:hAnsi="Arial"/>
                <w:sz w:val="16"/>
                <w:szCs w:val="16"/>
                <w:b w:val="1"/>
                <w:bCs w:val="1"/>
                <w:color w:val="auto"/>
                <w:w w:val="95"/>
              </w:rPr>
              <w:t>Three months ended October 31,</w:t>
            </w:r>
          </w:p>
        </w:tc>
        <w:tc>
          <w:tcPr>
            <w:tcW w:w="9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40,622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35,411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48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39,893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34,764</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and other expense was $0.0 million for the three months ended October 31, 2018, compared to investment and other income of $0.2 million for the same period in the prior year. The decrease was primarily due to a reduction in the market value of securities held in deferred compensation plans partially offset by increased interest income in the current period.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$0.7 million for the three months ended October 31, 2018, from $0.9 million for the same period in the prior year. This decrease was due to the Company's declining principal balance under its outstanding debt agreements.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income tax rate was 23.2% for the three months ended October 31, 2018, compared to 25.7% in the same period in the prior year. Refer to Note L "Income Taxes" for additional information on the Company's effective income tax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(expense) income, income taxes, and certain corporate administrative expenses are excluded when evaluating segment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9"/>
              </w:rPr>
              <w:t>Three months ended October 31,</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GROWTH INFORMATION</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73"/>
        </w:trPr>
        <w:tc>
          <w:tcPr>
            <w:tcW w:w="654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Total Company</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Organic</w:t>
            </w:r>
          </w:p>
        </w:tc>
        <w:tc>
          <w:tcPr>
            <w:tcW w:w="1280" w:type="dxa"/>
            <w:vAlign w:val="bottom"/>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Divestitures</w:t>
            </w: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NET SALES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1280" w:type="dxa"/>
            <w:vAlign w:val="bottom"/>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IDS sales increased 4.0% to $218.1 million for the three months ended October 31, 2018, compared to $209.7 million in the same period in the prior year. Organic sales increased 5.7% and foreign currency fluctuations decreased sales by 1.7% for the three months ended October 31, 2018, compared to the same period in the prior year.</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increased in the mid-single digits for the three months ended October 31, 2018, as compared to the same period in the prior year. The IDS Americas region realized organic sales growth in the Product ID, Wire ID, Safety and Facility ID, and Healthcare ID product lines. Organic sales grew in the mid-single digits in the United States and the rest of the Americas grew in the high-single digits. Most end markets realized organic sales growth with the industrial sector realizing the strongest growth.</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grew in the mid-single digits for the three months ended October 31, 2018, as compared to the same period in the prior year. The IDS Europe region realized organic sales growth in the Product ID, Wire ID, and Safety and Facility ID product lines. Organic sales growth was led by businesses in emerging geographies and supplemented by businesses based in Western Europe; in particular, increased printer sales throughout the region drove the organic sales growth.</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Asia grew in the low-single digits for the three months ended October 31, 2018, as compared to the same period in the prior year. The IDS Asia region realized organic sales growth in the Product ID and Wire ID product lines, partially offset by a decline in the Safety and Facility ID product line. Organic sales were led by our businesses outside of China. Within China, organic sales were approximately flat when compared to the same period in the prior year.</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profit increased 16.0% to $41.6 million for the three months ended October 31, 2018, compared to $35.8 million in the same period of the prior year. As a percentage of net sales, segment profit was 19.1% for the three months ended October 31, 2018, compared to 17.1% in the same period of the prior year. The increase in segment profit was primarily driven by increased organic sales and operational efficiencies in our SG&amp;A structure in all regions.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WPS sales decreased 6.6% to $75.1 million from $80.4 million for the three months ended October 31, 2018 and 2017, respectively, which consists of organic sales growth of 2.2%, a negative foreign currency impact of 2.6%, and a sales decline of 6.2% due to the impact of divestitures. Both catalog and digital channel sales in the WPS segment realized low-single digit sales growth.</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Europe realized mid-single digit organic sales growth for the three months ended October 31, 2018, compared to the same period in the prior year. This growth was driven primarily by the U.K., Germany, and France due to improvements in website functionality, growth in new customers, and key account management. WPS Europe experienced over 10% growth in digital channel sales and low-single digit growth in traditional catalog channel sales.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declined in the mid-single digits for the three months ended October 31, 2018, compared to the same period in the prior year. This decrease was primarily in the U.S. due to lower response rates to catalog promotions. Catalog channel sales declined in the low-single digits. Additionally, we continue to experience the negative impact of transitioning to a new digital sales platform in the prior fiscal period resulting in a decline in digital channel sales.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grew more than 10% in both the digital and traditional catalog channel for the three months ended October 31, 2018, as compared to the same period of the prior year. The Australian business is expanding its customer base and has diversified its product offering into many different industries and target markets. WPS Australia continues to focus on enhancing its expertise in these industries to drive sales growth, while addressing its cost structure to improve profitability.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decreased to $5.5 million for the three months ended October 31, 2018, compared to $6.4 million in the same period of the prior year. As a percentage of net sales, segment profit decreased to 7.4% for the three months ended October 31, 2018, compared to 8.0% in the same period of the prior year. The decrease in segment profit was due to a combination of the divestiture of a business in the prior period, foreign currency translation, and the decrease in sales volumes in the North American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$192.2 million at October 31, 2018, an increase of $10.7 million from July 31, 2018.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18,818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34,719</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(21,663)</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10,749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8,293</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provided by operating activities was $18.8 million for the three months ended October 31, 2018, compared to $34.7 million in the same period of the prior year. The change was driven by an increase in net earnings adjusted for non-cash items which was offset by the timing of incentive compensation payments and an increase in cash used by working capital in support of growth when compared to the same period in the prior year.</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$5.7 million for the three months ended October 31, 2018, compared to $2.8 million used in the same period of the prior year. The increase in cash used in investing activities was primarily driven by an increase in capital expenditures for the purchase of manufacturing equipment and facility upgrades in the United States and Europe.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was $0.7 million during the three months ended October 31, 2018, compared to $21.7 million used in the same period of the prior year. The change was primarily due to a decrease of $15.5 million in net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facility repayments and an increase of $8.9 million in proceeds from stock option exercises when compared to the same period in the prior year.</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effect of fluctuations in exchange rates decreased cash balances by $3.1 million primarily due to cash balances held in currencies that depreciated against the U.S. dollar during three months ended October 31, 2018.</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At the Company's option, and subject to certain conditions, the available amount under the revolving loan agreement may be increased from $300 million to $450 million. As of October 31, 2018, the outstanding balance on the credit facility was $3.4 million, and the maximum outstanding balance during the three months ended October 31, 2018 was $5.7 million. The Company also had letters of credit outstanding under the loan agreement of $3.0 million as of October 31, 2018 and there was $293.6 million available for future borrowing, which can be increased to $443.6 million at the Company's option, subject to certain conditions. The revolving loan agreement has a final maturity date of September 25, 2020. As such, the borrowing is included in "Long-term obligations, less current maturities" on the Condensed Consolidated Balance Sheets.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October 31, 2018, the Company was in compliance with these financial covenants, with the ratio of debt to EBITDA, as defined by the agreements, equal to 0.3 to 1.0 and the interest expense coverage ratio equal to 63.5 to 1.0.</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October 31, 2018, approximately 58%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protecting our 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U.S. Tax Reform Act and any other 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2018. There has been no material change in this information since July 31,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February 16, 2016, the Company's Board of Directors authorized a share repurchase program of 2,000,000 shares. The Company repurchased 47,317 shares at an average price of $39.37 per share during the three months ended October 31, 2018. As of October 31, 2018, there were 1,911,989 shares authorized to purchase in connection with this share repurchase program.</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October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 As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Part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Publicly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August 1, 2018 - August 31, 2018</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1,959,306</w:t>
            </w: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2018 - September 30, 2018</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1,959,306</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October 1, 2018 - October 31, 2018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47,317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47,317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1,911,989</w:t>
            </w:r>
          </w:p>
        </w:tc>
      </w:tr>
      <w:tr>
        <w:trPr>
          <w:trHeight w:val="33"/>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1,911,989</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8">
        <w:r>
          <w:rPr>
            <w:rFonts w:ascii="Arial" w:cs="Arial" w:eastAsia="Arial" w:hAnsi="Arial"/>
            <w:sz w:val="16"/>
            <w:szCs w:val="16"/>
            <w:u w:val="single" w:color="auto"/>
            <w:color w:val="0000FF"/>
          </w:rPr>
          <w:t>Rule 13a-14(a)/15d-14(a)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9">
        <w:r>
          <w:rPr>
            <w:rFonts w:ascii="Arial" w:cs="Arial" w:eastAsia="Arial" w:hAnsi="Arial"/>
            <w:sz w:val="16"/>
            <w:szCs w:val="16"/>
            <w:u w:val="single" w:color="auto"/>
            <w:color w:val="0000FF"/>
          </w:rPr>
          <w:t>Rule 13a-14(a)/15d-14(a) Certification of Aaron J. Pearce</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30">
        <w:r>
          <w:rPr>
            <w:rFonts w:ascii="Arial" w:cs="Arial" w:eastAsia="Arial" w:hAnsi="Arial"/>
            <w:sz w:val="16"/>
            <w:szCs w:val="16"/>
            <w:u w:val="single" w:color="auto"/>
            <w:color w:val="0000FF"/>
          </w:rPr>
          <w:t>Section 1350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31">
        <w:r>
          <w:rPr>
            <w:rFonts w:ascii="Arial" w:cs="Arial" w:eastAsia="Arial" w:hAnsi="Arial"/>
            <w:sz w:val="16"/>
            <w:szCs w:val="16"/>
            <w:u w:val="single" w:color="auto"/>
            <w:color w:val="0000FF"/>
          </w:rPr>
          <w:t>Section 1350 Certification of Aaron J. Pearce</w:t>
        </w:r>
      </w:hyperlink>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880" w:type="dxa"/>
            <w:vAlign w:val="bottom"/>
            <w:gridSpan w:val="2"/>
          </w:tcPr>
          <w:p>
            <w:pPr>
              <w:jc w:val="center"/>
              <w:ind w:right="3450"/>
              <w:spacing w:after="0"/>
              <w:rPr>
                <w:sz w:val="20"/>
                <w:szCs w:val="20"/>
                <w:color w:val="auto"/>
              </w:rPr>
            </w:pPr>
            <w:r>
              <w:rPr>
                <w:rFonts w:ascii="Arial" w:cs="Arial" w:eastAsia="Arial" w:hAnsi="Arial"/>
                <w:sz w:val="18"/>
                <w:szCs w:val="18"/>
                <w:color w:val="auto"/>
                <w:w w:val="93"/>
              </w:rPr>
              <w:t>SIGNATURES</w:t>
            </w:r>
          </w:p>
        </w:tc>
      </w:tr>
      <w:tr>
        <w:trPr>
          <w:trHeight w:val="378"/>
        </w:trPr>
        <w:tc>
          <w:tcPr>
            <w:tcW w:w="3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November 15, 2018</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500" w:type="dxa"/>
            <w:vAlign w:val="bottom"/>
          </w:tcPr>
          <w:p>
            <w:pPr>
              <w:spacing w:after="0"/>
              <w:rPr>
                <w:sz w:val="20"/>
                <w:szCs w:val="20"/>
                <w:color w:val="auto"/>
              </w:rPr>
            </w:pPr>
            <w:r>
              <w:rPr>
                <w:rFonts w:ascii="Arial" w:cs="Arial" w:eastAsia="Arial" w:hAnsi="Arial"/>
                <w:sz w:val="18"/>
                <w:szCs w:val="18"/>
                <w:color w:val="auto"/>
              </w:rPr>
              <w:t>Date: November 15, 2018</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Arial" w:cs="Arial" w:eastAsia="Arial" w:hAnsi="Arial"/>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15,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15,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15,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15,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380"/>
    </w:lvl>
  </w:abstractNum>
  <w:abstractNum w:abstractNumId="3">
    <w:nsid w:val="1190CDE7"/>
    <w:multiLevelType w:val="hybridMultilevel"/>
    <w:lvl w:ilvl="0">
      <w:lvlJc w:val="left"/>
      <w:lvlText w:val="(%1)"/>
      <w:numFmt w:val="decimal"/>
      <w:start w:val="47"/>
    </w:lvl>
  </w:abstractNum>
  <w:abstractNum w:abstractNumId="4">
    <w:nsid w:val="66EF438D"/>
    <w:multiLevelType w:val="hybridMultilevel"/>
    <w:lvl w:ilvl="0">
      <w:lvlJc w:val="left"/>
      <w:lvlText w:val="(%1)"/>
      <w:numFmt w:val="decimal"/>
      <w:start w:val="427"/>
    </w:lvl>
  </w:abstractNum>
  <w:abstractNum w:abstractNumId="5">
    <w:nsid w:val="140E0F76"/>
    <w:multiLevelType w:val="hybridMultilevel"/>
    <w:lvl w:ilvl="0">
      <w:lvlJc w:val="left"/>
      <w:lvlText w:val="(%1)"/>
      <w:numFmt w:val="decimal"/>
      <w:start w:val="155"/>
    </w:lvl>
  </w:abstractNum>
  <w:abstractNum w:abstractNumId="6">
    <w:nsid w:val="3352255A"/>
    <w:multiLevelType w:val="hybridMultilevel"/>
    <w:lvl w:ilvl="0">
      <w:lvlJc w:val="left"/>
      <w:lvlText w:val="(%1)"/>
      <w:numFmt w:val="decimal"/>
      <w:start w:val="458"/>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2019-12-28T17:47:21Z</dcterms:created>
  <dcterms:modified xsi:type="dcterms:W3CDTF">2019-12-28T17:47:21Z</dcterms:modified>
</cp:coreProperties>
</file>