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16, 2008</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300"/>
          </w:cols>
          <w:pgMar w:left="240" w:top="522" w:right="359" w:bottom="1440" w:gutter="0" w:footer="0" w:header="0"/>
        </w:sectPr>
      </w:pPr>
    </w:p>
    <w:p>
      <w:pPr>
        <w:spacing w:after="0" w:line="225" w:lineRule="exact"/>
        <w:rPr>
          <w:sz w:val="24"/>
          <w:szCs w:val="24"/>
          <w:color w:val="auto"/>
        </w:rPr>
      </w:pPr>
    </w:p>
    <w:p>
      <w:pPr>
        <w:jc w:val="center"/>
        <w:ind w:right="1320"/>
        <w:spacing w:after="0"/>
        <w:rPr>
          <w:sz w:val="20"/>
          <w:szCs w:val="20"/>
          <w:color w:val="auto"/>
        </w:rPr>
      </w:pPr>
      <w:r>
        <w:rPr>
          <w:rFonts w:ascii="Arial" w:cs="Arial" w:eastAsia="Arial" w:hAnsi="Arial"/>
          <w:sz w:val="18"/>
          <w:szCs w:val="18"/>
          <w:color w:val="auto"/>
        </w:rPr>
        <w:t>Wisconsin</w:t>
      </w:r>
    </w:p>
    <w:p>
      <w:pPr>
        <w:spacing w:after="0" w:line="23"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360"/>
        <w:spacing w:after="0"/>
        <w:rPr>
          <w:sz w:val="20"/>
          <w:szCs w:val="20"/>
          <w:color w:val="auto"/>
        </w:rPr>
      </w:pPr>
      <w:r>
        <w:rPr>
          <w:rFonts w:ascii="Arial" w:cs="Arial" w:eastAsia="Arial" w:hAnsi="Arial"/>
          <w:sz w:val="18"/>
          <w:szCs w:val="18"/>
          <w:color w:val="auto"/>
        </w:rPr>
        <w:t>39-0971239</w:t>
      </w:r>
    </w:p>
    <w:p>
      <w:pPr>
        <w:spacing w:after="0" w:line="23" w:lineRule="exact"/>
        <w:rPr>
          <w:sz w:val="24"/>
          <w:szCs w:val="24"/>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40" w:space="720"/>
            <w:col w:w="3840"/>
          </w:cols>
          <w:pgMar w:left="240" w:top="522" w:right="359" w:bottom="1440" w:gutter="0" w:footer="0" w:header="0"/>
          <w:type w:val="continuous"/>
        </w:sectPr>
      </w:pPr>
    </w:p>
    <w:p>
      <w:pPr>
        <w:spacing w:after="0" w:line="2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Milwaukee, Wisconsin 53223</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and Zip Code)</w:t>
      </w:r>
    </w:p>
    <w:p>
      <w:pPr>
        <w:sectPr>
          <w:pgSz w:w="11900" w:h="16838" w:orient="portrait"/>
          <w:cols w:equalWidth="0" w:num="1">
            <w:col w:w="11300"/>
          </w:cols>
          <w:pgMar w:left="240" w:top="522" w:right="359" w:bottom="1440" w:gutter="0" w:footer="0" w:header="0"/>
          <w:type w:val="continuous"/>
        </w:sectPr>
      </w:pPr>
    </w:p>
    <w:p>
      <w:pPr>
        <w:spacing w:after="0" w:line="234"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spacing w:after="0" w:line="23" w:lineRule="exact"/>
        <w:rPr>
          <w:rFonts w:ascii="Arial" w:cs="Arial" w:eastAsia="Arial" w:hAnsi="Arial"/>
          <w:sz w:val="18"/>
          <w:szCs w:val="18"/>
          <w:color w:val="auto"/>
        </w:rPr>
      </w:pPr>
    </w:p>
    <w:p>
      <w:pPr>
        <w:ind w:left="452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On September 17, 2008, Brady Corporation (the “Corporation”) issued a press release announcing its fiscal 2008 fourth quarter financial results. A copy of the press release is being furnished to the Securities and Exchange Commission as Exhibit 99.1 attached hereto and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117" w:lineRule="exact"/>
        <w:rPr>
          <w:sz w:val="20"/>
          <w:szCs w:val="20"/>
          <w:color w:val="auto"/>
        </w:rPr>
      </w:pPr>
    </w:p>
    <w:p>
      <w:pPr>
        <w:jc w:val="both"/>
        <w:ind w:right="240" w:firstLine="225"/>
        <w:spacing w:after="0" w:line="286" w:lineRule="auto"/>
        <w:rPr>
          <w:sz w:val="20"/>
          <w:szCs w:val="20"/>
          <w:color w:val="auto"/>
        </w:rPr>
      </w:pPr>
      <w:r>
        <w:rPr>
          <w:rFonts w:ascii="Arial" w:cs="Arial" w:eastAsia="Arial" w:hAnsi="Arial"/>
          <w:sz w:val="17"/>
          <w:szCs w:val="17"/>
          <w:color w:val="auto"/>
        </w:rPr>
        <w:t>On September 17, 2008, the Corporation announced that its Board of Directors had increased the quarterly cash dividend on its Class A Common Stock from $0.15 to $0.17 per share. The dividend will be paid on October 31, 2008, to shareholders of record as of the close of business on October 10, 2008. A copy of the press release regarding the dividend is attached hereto as Exhibit 99.2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221"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3810</wp:posOffset>
            </wp:positionV>
            <wp:extent cx="6689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202"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Brady Corporation, dated September 17, 2008, relating to fourth quarter fiscal 2008 financial results.</w:t>
      </w:r>
    </w:p>
    <w:p>
      <w:pPr>
        <w:spacing w:after="0" w:line="225"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Press Release of Brady Corporation, dated September 17, 2008, relating to increase in quarterly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BRADY CORPORATION</w:t>
            </w:r>
          </w:p>
        </w:tc>
        <w:tc>
          <w:tcPr>
            <w:tcW w:w="1800" w:type="dxa"/>
            <w:vAlign w:val="bottom"/>
          </w:tcPr>
          <w:p>
            <w:pPr>
              <w:spacing w:after="0"/>
              <w:rPr>
                <w:sz w:val="20"/>
                <w:szCs w:val="20"/>
                <w:color w:val="auto"/>
              </w:rPr>
            </w:pPr>
          </w:p>
        </w:tc>
      </w:tr>
      <w:tr>
        <w:trPr>
          <w:trHeight w:val="432"/>
        </w:trPr>
        <w:tc>
          <w:tcPr>
            <w:tcW w:w="5240" w:type="dxa"/>
            <w:vAlign w:val="bottom"/>
          </w:tcPr>
          <w:p>
            <w:pPr>
              <w:spacing w:after="0"/>
              <w:rPr>
                <w:sz w:val="20"/>
                <w:szCs w:val="20"/>
                <w:color w:val="auto"/>
              </w:rPr>
            </w:pPr>
            <w:r>
              <w:rPr>
                <w:rFonts w:ascii="Arial" w:cs="Arial" w:eastAsia="Arial" w:hAnsi="Arial"/>
                <w:sz w:val="18"/>
                <w:szCs w:val="18"/>
                <w:color w:val="auto"/>
              </w:rPr>
              <w:t>Date: September 19, 2008</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1800" w:type="dxa"/>
            <w:vAlign w:val="bottom"/>
          </w:tcPr>
          <w:p>
            <w:pPr>
              <w:spacing w:after="0"/>
              <w:rPr>
                <w:sz w:val="24"/>
                <w:szCs w:val="24"/>
                <w:color w:val="auto"/>
              </w:rPr>
            </w:pPr>
          </w:p>
        </w:tc>
      </w:tr>
      <w:tr>
        <w:trPr>
          <w:trHeight w:val="195"/>
        </w:trPr>
        <w:tc>
          <w:tcPr>
            <w:tcW w:w="524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c>
          <w:tcPr>
            <w:tcW w:w="1800" w:type="dxa"/>
            <w:vAlign w:val="bottom"/>
          </w:tcPr>
          <w:p>
            <w:pPr>
              <w:spacing w:after="0"/>
              <w:rPr>
                <w:sz w:val="16"/>
                <w:szCs w:val="16"/>
                <w:color w:val="auto"/>
              </w:rPr>
            </w:pPr>
          </w:p>
        </w:tc>
      </w:tr>
      <w:tr>
        <w:trPr>
          <w:trHeight w:val="216"/>
        </w:trPr>
        <w:tc>
          <w:tcPr>
            <w:tcW w:w="52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Senior Vice President &amp;</w:t>
            </w:r>
          </w:p>
        </w:tc>
        <w:tc>
          <w:tcPr>
            <w:tcW w:w="1800" w:type="dxa"/>
            <w:vAlign w:val="bottom"/>
          </w:tcPr>
          <w:p>
            <w:pPr>
              <w:spacing w:after="0"/>
              <w:rPr>
                <w:sz w:val="18"/>
                <w:szCs w:val="18"/>
                <w:color w:val="auto"/>
              </w:rPr>
            </w:pPr>
          </w:p>
        </w:tc>
      </w:tr>
      <w:tr>
        <w:trPr>
          <w:trHeight w:val="230"/>
        </w:trPr>
        <w:tc>
          <w:tcPr>
            <w:tcW w:w="52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spacing w:after="0"/>
              <w:rPr>
                <w:sz w:val="20"/>
                <w:szCs w:val="20"/>
                <w:color w:val="auto"/>
              </w:rPr>
            </w:pPr>
          </w:p>
        </w:tc>
      </w:tr>
      <w:tr>
        <w:trPr>
          <w:trHeight w:val="632"/>
        </w:trPr>
        <w:tc>
          <w:tcPr>
            <w:tcW w:w="524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80" w:type="dxa"/>
            <w:vAlign w:val="bottom"/>
          </w:tcPr>
          <w:p>
            <w:pPr>
              <w:ind w:left="4220"/>
              <w:spacing w:after="0"/>
              <w:rPr>
                <w:sz w:val="20"/>
                <w:szCs w:val="20"/>
                <w:color w:val="auto"/>
              </w:rPr>
            </w:pPr>
            <w:r>
              <w:rPr>
                <w:rFonts w:ascii="Arial" w:cs="Arial" w:eastAsia="Arial" w:hAnsi="Arial"/>
                <w:sz w:val="18"/>
                <w:szCs w:val="18"/>
                <w:color w:val="auto"/>
              </w:rPr>
              <w:t>EXHIBIT INDEX</w:t>
            </w:r>
          </w:p>
        </w:tc>
      </w:tr>
      <w:tr>
        <w:trPr>
          <w:trHeight w:val="346"/>
        </w:trPr>
        <w:tc>
          <w:tcPr>
            <w:tcW w:w="620" w:type="dxa"/>
            <w:vAlign w:val="bottom"/>
          </w:tcPr>
          <w:p>
            <w:pPr>
              <w:spacing w:after="0"/>
              <w:rPr>
                <w:sz w:val="20"/>
                <w:szCs w:val="20"/>
                <w:color w:val="auto"/>
              </w:rPr>
            </w:pPr>
            <w:r>
              <w:rPr>
                <w:rFonts w:ascii="Arial" w:cs="Arial" w:eastAsia="Arial" w:hAnsi="Arial"/>
                <w:sz w:val="14"/>
                <w:szCs w:val="14"/>
                <w:color w:val="auto"/>
              </w:rPr>
              <w:t>EXHIBIT</w:t>
            </w:r>
          </w:p>
        </w:tc>
        <w:tc>
          <w:tcPr>
            <w:tcW w:w="220" w:type="dxa"/>
            <w:vAlign w:val="bottom"/>
          </w:tcPr>
          <w:p>
            <w:pPr>
              <w:spacing w:after="0"/>
              <w:rPr>
                <w:sz w:val="24"/>
                <w:szCs w:val="24"/>
                <w:color w:val="auto"/>
              </w:rPr>
            </w:pPr>
          </w:p>
        </w:tc>
        <w:tc>
          <w:tcPr>
            <w:tcW w:w="10580" w:type="dxa"/>
            <w:vAlign w:val="bottom"/>
          </w:tcPr>
          <w:p>
            <w:pPr>
              <w:spacing w:after="0"/>
              <w:rPr>
                <w:sz w:val="24"/>
                <w:szCs w:val="24"/>
                <w:color w:val="auto"/>
              </w:rPr>
            </w:pPr>
          </w:p>
        </w:tc>
      </w:tr>
      <w:tr>
        <w:trPr>
          <w:trHeight w:val="167"/>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NUMBER</w:t>
            </w:r>
          </w:p>
        </w:tc>
        <w:tc>
          <w:tcPr>
            <w:tcW w:w="220" w:type="dxa"/>
            <w:vAlign w:val="bottom"/>
          </w:tcPr>
          <w:p>
            <w:pPr>
              <w:spacing w:after="0"/>
              <w:rPr>
                <w:sz w:val="14"/>
                <w:szCs w:val="14"/>
                <w:color w:val="auto"/>
              </w:rPr>
            </w:pPr>
          </w:p>
        </w:tc>
        <w:tc>
          <w:tcPr>
            <w:tcW w:w="10580" w:type="dxa"/>
            <w:vAlign w:val="bottom"/>
            <w:tcBorders>
              <w:bottom w:val="single" w:sz="8" w:color="auto"/>
            </w:tcBorders>
          </w:tcPr>
          <w:p>
            <w:pPr>
              <w:ind w:left="4820"/>
              <w:spacing w:after="0"/>
              <w:rPr>
                <w:sz w:val="20"/>
                <w:szCs w:val="20"/>
                <w:color w:val="auto"/>
              </w:rPr>
            </w:pPr>
            <w:r>
              <w:rPr>
                <w:rFonts w:ascii="Arial" w:cs="Arial" w:eastAsia="Arial" w:hAnsi="Arial"/>
                <w:sz w:val="14"/>
                <w:szCs w:val="14"/>
                <w:color w:val="auto"/>
              </w:rPr>
              <w:t>DESCRIPTION</w:t>
            </w:r>
          </w:p>
        </w:tc>
      </w:tr>
      <w:tr>
        <w:trPr>
          <w:trHeight w:val="426"/>
        </w:trPr>
        <w:tc>
          <w:tcPr>
            <w:tcW w:w="6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800" w:type="dxa"/>
            <w:vAlign w:val="bottom"/>
            <w:gridSpan w:val="2"/>
          </w:tcPr>
          <w:p>
            <w:pPr>
              <w:ind w:left="220"/>
              <w:spacing w:after="0"/>
              <w:rPr>
                <w:sz w:val="20"/>
                <w:szCs w:val="20"/>
                <w:color w:val="auto"/>
              </w:rPr>
            </w:pPr>
            <w:r>
              <w:rPr>
                <w:rFonts w:ascii="Arial" w:cs="Arial" w:eastAsia="Arial" w:hAnsi="Arial"/>
                <w:sz w:val="18"/>
                <w:szCs w:val="18"/>
                <w:color w:val="auto"/>
              </w:rPr>
              <w:t>Press Release of Brady Corporation, dated September 17, 2008, relating to fourth quarter fiscal 2008 financial results.</w:t>
            </w:r>
          </w:p>
        </w:tc>
      </w:tr>
      <w:tr>
        <w:trPr>
          <w:trHeight w:val="432"/>
        </w:trPr>
        <w:tc>
          <w:tcPr>
            <w:tcW w:w="6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800" w:type="dxa"/>
            <w:vAlign w:val="bottom"/>
            <w:gridSpan w:val="2"/>
          </w:tcPr>
          <w:p>
            <w:pPr>
              <w:ind w:left="220"/>
              <w:spacing w:after="0"/>
              <w:rPr>
                <w:sz w:val="20"/>
                <w:szCs w:val="20"/>
                <w:color w:val="auto"/>
              </w:rPr>
            </w:pPr>
            <w:r>
              <w:rPr>
                <w:rFonts w:ascii="Arial" w:cs="Arial" w:eastAsia="Arial" w:hAnsi="Arial"/>
                <w:sz w:val="18"/>
                <w:szCs w:val="18"/>
                <w:color w:val="auto"/>
              </w:rPr>
              <w:t>Press Release of Brady Corporation, dated September 17, 2008, relating to increase in quarterly dividend.</w:t>
            </w:r>
          </w:p>
        </w:tc>
      </w:tr>
    </w:tbl>
    <w:p>
      <w:pPr>
        <w:sectPr>
          <w:pgSz w:w="11900" w:h="16838" w:orient="portrait"/>
          <w:cols w:equalWidth="0" w:num="1">
            <w:col w:w="11420"/>
          </w:cols>
          <w:pgMar w:left="240" w:top="144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Barbara Bolens 414-438-6940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record sales, net income and cash flow for fiscal 2008 fourth quarter and year</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MILWAUKEE (September 17, 2008)—Brady Corporation (NYSE:BRC) today reported record results for its fiscal 2008 fourth quarter and fiscal year ended July 31, 2008.</w:t>
      </w:r>
    </w:p>
    <w:p>
      <w:pPr>
        <w:spacing w:after="0" w:line="62"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Sales in the fiscal 2008 fourth quarter rose 9 percent to $396.8 million compared to sales in the fourth quarter of fiscal 2007 of $362.8 million. The increase was comprised of acquisition growth adding 3 percent and foreign currency translation contributing 6 percent to sales growth. Organic growth was flat compared to the prior year’s quarter. Regionally, sales were up 16 percent in Europe and 20 percent in Asia/Pacific; sales in the Americas region were flat. The consolidation of the Brady Americas and Direct Marketing/People ID Americas businesses under single leadership was finalized in the fourth quarter and as such, segment results are reported accordingly beginning this quarter.</w:t>
      </w:r>
    </w:p>
    <w:p>
      <w:pPr>
        <w:spacing w:after="0" w:line="64"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Net income for the fiscal 2008 fourth quarter was up 33 percent to $34.8 million or $0.64 per diluted Class A Common share, compared to $26.2 million or $0.48 per diluted Class A Common share in the fourth quarter of fiscal 2007, which included cost reduction charges of $5.4 million after tax in the quarter or $0.10 per share.</w:t>
      </w:r>
    </w:p>
    <w:p>
      <w:pPr>
        <w:spacing w:after="0" w:line="7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Brady’s fiscal 2008 net sales rose 12 percent to $1.523 billion compared to $1.363 billion in sales in fiscal 2007. Organic growth was flat; acquisitions and foreign currency translation each added 6 percent to total sales results. Net income for fiscal 2008 rose 21 percent to $132.2 million or $2.41 per diluted Class A Common share, compared to $109.4 million or $2.00 per share in fiscal 2007. Net income results for fiscal 2007 included cost reduction charges of $8.3 million after tax or $0.15 per share.</w:t>
      </w:r>
    </w:p>
    <w:p>
      <w:pPr>
        <w:spacing w:after="0" w:line="79"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“We are very pleased with our results in fiscal 2008, especially in light of the challenging economic environment. Of particular note is Asia’s return to core growth in the fourth quarter with total segment sales up 20 percent and profit up 40 percent following a deliberate re-focus on higher margin products and the success of our cost-control efforts put in place last fiscal year,” said Brady President and CEO Frank M. Jaehnert.</w:t>
      </w:r>
    </w:p>
    <w:p>
      <w:pPr>
        <w:spacing w:after="0" w:line="57"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“Cash flow from operations was a solid $73 million in the fourth quarter, up 30 percent from the prior year fourth quarter; and $226 million for the year, up 66 percent from fiscal 2007,” said Brady Chief Financial Officer Thomas J. Felmer. “We see a challenging global economy in front of us this fiscal year and will continue to drive working capital improvements and look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80"/>
        <w:spacing w:after="0" w:line="279" w:lineRule="auto"/>
        <w:rPr>
          <w:sz w:val="20"/>
          <w:szCs w:val="20"/>
          <w:color w:val="auto"/>
        </w:rPr>
      </w:pPr>
      <w:r>
        <w:rPr>
          <w:rFonts w:ascii="Arial" w:cs="Arial" w:eastAsia="Arial" w:hAnsi="Arial"/>
          <w:sz w:val="17"/>
          <w:szCs w:val="17"/>
          <w:color w:val="auto"/>
        </w:rPr>
        <w:t>ways to keep our cost structure in line. As a result of the recent material changes in currency markets and current economic conditions, we are revising our guidance for fiscal 2009 from sales of between $1.56 to $1.59 billion, to sales of between $1.52 and $1.55 billion; and from net income of between $145 and $152 million and earnings per diluted share of between $2.63 to $2.75, to net income of between $140 and $145 million and diluted earnings per share between $2.54 and $2.63. In keeping with prior practice, this guidance does not assume any future acquisitions.”</w:t>
      </w:r>
    </w:p>
    <w:p>
      <w:pPr>
        <w:spacing w:after="0" w:line="63" w:lineRule="exact"/>
        <w:rPr>
          <w:sz w:val="20"/>
          <w:szCs w:val="20"/>
          <w:color w:val="auto"/>
        </w:rPr>
      </w:pPr>
    </w:p>
    <w:p>
      <w:pPr>
        <w:ind w:left="240" w:right="600" w:hanging="9"/>
        <w:spacing w:after="0" w:line="361" w:lineRule="auto"/>
        <w:rPr>
          <w:sz w:val="20"/>
          <w:szCs w:val="20"/>
          <w:color w:val="auto"/>
        </w:rPr>
      </w:pPr>
      <w:r>
        <w:rPr>
          <w:rFonts w:ascii="Arial" w:cs="Arial" w:eastAsia="Arial" w:hAnsi="Arial"/>
          <w:sz w:val="16"/>
          <w:szCs w:val="16"/>
          <w:color w:val="auto"/>
        </w:rPr>
        <w:t>A Webcast regarding fiscal 2008 results will be available at www.investor.bradycorp.com beginning at 9:30 a.m. Central Daylight Time today. Brady Corporation is an international manufacturer and marketer of complete solutions that identify and protect premises, products and people. Its</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xml:space="preserve">products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7,800 people at operations in the Americas, Europe and Asia/Pacific. 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Brady’s Annual Report on Form 10-K for the period ended July 31, 2007. These uncertainties may cause Brady’s actual future results to be materially different than those expressed in its forward-looking statements. Brady does not undertake to update its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color w:val="auto"/>
              </w:rPr>
              <w:t>(Unaudited)</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center"/>
              <w:ind w:right="100"/>
              <w:spacing w:after="0" w:line="142" w:lineRule="exact"/>
              <w:rPr>
                <w:sz w:val="20"/>
                <w:szCs w:val="20"/>
                <w:color w:val="auto"/>
              </w:rPr>
            </w:pPr>
            <w:r>
              <w:rPr>
                <w:rFonts w:ascii="Arial" w:cs="Arial" w:eastAsia="Arial" w:hAnsi="Arial"/>
                <w:sz w:val="14"/>
                <w:szCs w:val="14"/>
                <w:color w:val="auto"/>
                <w:w w:val="94"/>
              </w:rPr>
              <w:t>Three Months Ended July 31,</w:t>
            </w:r>
          </w:p>
        </w:tc>
        <w:tc>
          <w:tcPr>
            <w:tcW w:w="6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4"/>
          </w:tcPr>
          <w:p>
            <w:pPr>
              <w:jc w:val="right"/>
              <w:ind w:right="240"/>
              <w:spacing w:after="0" w:line="142" w:lineRule="exact"/>
              <w:rPr>
                <w:sz w:val="20"/>
                <w:szCs w:val="20"/>
                <w:color w:val="auto"/>
              </w:rPr>
            </w:pPr>
            <w:r>
              <w:rPr>
                <w:rFonts w:ascii="Arial" w:cs="Arial" w:eastAsia="Arial" w:hAnsi="Arial"/>
                <w:sz w:val="14"/>
                <w:szCs w:val="14"/>
                <w:color w:val="auto"/>
                <w:w w:val="93"/>
              </w:rPr>
              <w:t>Twelve Months Ended July 31,</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86"/>
              </w:rPr>
              <w:t>Percentage</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89"/>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6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2008</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2007</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396,849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362,765</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1,523,016</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1,362,631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204,920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189,161</w:t>
            </w: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778,821</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705,587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191,929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173,604</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744,195</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657,044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9,601</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40,607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35,954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126,325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122,984</w:t>
            </w: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495,904</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449,103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137,609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132,585</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536,511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485,057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432"/>
        </w:trPr>
        <w:tc>
          <w:tcPr>
            <w:tcW w:w="3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54,320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41,019</w:t>
            </w: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207,684</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171,987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Investment and other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1,958</w:t>
            </w: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4,888</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2,875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(6,527)</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(26,385)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(22,934)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36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49,945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36,450</w:t>
            </w: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37.0%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186,187</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151,928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15,170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10,206</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42,540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36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34,775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26,244</w:t>
            </w: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32.5%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132,188</w:t>
            </w:r>
          </w:p>
        </w:tc>
        <w:tc>
          <w:tcPr>
            <w:tcW w:w="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109,388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Per Class A Nonvoting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0.65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0.49</w:t>
            </w: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32.7%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2.03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0.48</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33.3%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0.14</w:t>
            </w: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7.1%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0.60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0.56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Per Class B Voting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0.65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0.49</w:t>
            </w: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32.7%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2.01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0.48</w:t>
            </w: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33.3%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0.15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0.14</w:t>
            </w: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7.1%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0.58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0.54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(in Thousands):</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53,790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54,047</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54,168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53,907</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54,514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54,854</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54,873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54,741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left="240"/>
        <w:spacing w:after="0"/>
        <w:rPr>
          <w:sz w:val="20"/>
          <w:szCs w:val="20"/>
          <w:color w:val="auto"/>
        </w:rPr>
      </w:pPr>
      <w:r>
        <w:rPr>
          <w:rFonts w:ascii="Arial" w:cs="Arial" w:eastAsia="Arial" w:hAnsi="Arial"/>
          <w:sz w:val="18"/>
          <w:szCs w:val="18"/>
          <w:color w:val="auto"/>
        </w:rPr>
        <w:t>Information by regional segment for the three and twelve months ended July 31, 2008 and 2007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Arial" w:cs="Arial" w:eastAsia="Arial" w:hAnsi="Arial"/>
                <w:sz w:val="14"/>
                <w:szCs w:val="14"/>
                <w:color w:val="auto"/>
              </w:rPr>
              <w:t>Corporate and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2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Americas</w:t>
            </w: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Europe</w:t>
            </w:r>
          </w:p>
        </w:tc>
        <w:tc>
          <w:tcPr>
            <w:tcW w:w="28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color w:val="auto"/>
              </w:rPr>
              <w:t>Asia-Pacific</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Subtotals</w:t>
            </w:r>
          </w:p>
        </w:tc>
        <w:tc>
          <w:tcPr>
            <w:tcW w:w="300" w:type="dxa"/>
            <w:vAlign w:val="bottom"/>
          </w:tcPr>
          <w:p>
            <w:pPr>
              <w:spacing w:after="0"/>
              <w:rPr>
                <w:sz w:val="14"/>
                <w:szCs w:val="14"/>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Eliminations</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SALES TO EXTERNAL CUSTOMERS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2008</w:t>
            </w:r>
          </w:p>
        </w:tc>
        <w:tc>
          <w:tcPr>
            <w:tcW w:w="13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$169,303</w:t>
            </w:r>
          </w:p>
        </w:tc>
        <w:tc>
          <w:tcPr>
            <w:tcW w:w="13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$131,765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95,781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396,849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396,849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July 31, 2007</w:t>
            </w:r>
          </w:p>
        </w:tc>
        <w:tc>
          <w:tcPr>
            <w:tcW w:w="1320" w:type="dxa"/>
            <w:vAlign w:val="bottom"/>
            <w:gridSpan w:val="2"/>
          </w:tcPr>
          <w:p>
            <w:pPr>
              <w:jc w:val="right"/>
              <w:ind w:right="188"/>
              <w:spacing w:after="0"/>
              <w:rPr>
                <w:sz w:val="20"/>
                <w:szCs w:val="20"/>
                <w:color w:val="auto"/>
              </w:rPr>
            </w:pPr>
            <w:r>
              <w:rPr>
                <w:rFonts w:ascii="Arial" w:cs="Arial" w:eastAsia="Arial" w:hAnsi="Arial"/>
                <w:sz w:val="18"/>
                <w:szCs w:val="18"/>
                <w:color w:val="auto"/>
              </w:rPr>
              <w:t>169,063</w:t>
            </w:r>
          </w:p>
        </w:tc>
        <w:tc>
          <w:tcPr>
            <w:tcW w:w="1320" w:type="dxa"/>
            <w:vAlign w:val="bottom"/>
            <w:gridSpan w:val="2"/>
          </w:tcPr>
          <w:p>
            <w:pPr>
              <w:jc w:val="right"/>
              <w:ind w:right="168"/>
              <w:spacing w:after="0"/>
              <w:rPr>
                <w:sz w:val="20"/>
                <w:szCs w:val="20"/>
                <w:color w:val="auto"/>
              </w:rPr>
            </w:pPr>
            <w:r>
              <w:rPr>
                <w:rFonts w:ascii="Arial" w:cs="Arial" w:eastAsia="Arial" w:hAnsi="Arial"/>
                <w:sz w:val="18"/>
                <w:szCs w:val="18"/>
                <w:color w:val="auto"/>
              </w:rPr>
              <w:t>114,037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79,665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54"/>
              <w:spacing w:after="0"/>
              <w:rPr>
                <w:sz w:val="20"/>
                <w:szCs w:val="20"/>
                <w:color w:val="auto"/>
              </w:rPr>
            </w:pPr>
            <w:r>
              <w:rPr>
                <w:rFonts w:ascii="Arial" w:cs="Arial" w:eastAsia="Arial" w:hAnsi="Arial"/>
                <w:sz w:val="18"/>
                <w:szCs w:val="18"/>
                <w:color w:val="auto"/>
              </w:rPr>
              <w:t>362,765</w:t>
            </w:r>
          </w:p>
        </w:tc>
        <w:tc>
          <w:tcPr>
            <w:tcW w:w="300" w:type="dxa"/>
            <w:vAlign w:val="bottom"/>
          </w:tcPr>
          <w:p>
            <w:pPr>
              <w:spacing w:after="0"/>
              <w:rPr>
                <w:sz w:val="20"/>
                <w:szCs w:val="20"/>
                <w:color w:val="auto"/>
              </w:rPr>
            </w:pPr>
          </w:p>
        </w:tc>
        <w:tc>
          <w:tcPr>
            <w:tcW w:w="1020" w:type="dxa"/>
            <w:vAlign w:val="bottom"/>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362,765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Twelve months ended:</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July 31, 2008</w:t>
            </w:r>
          </w:p>
        </w:tc>
        <w:tc>
          <w:tcPr>
            <w:tcW w:w="1320" w:type="dxa"/>
            <w:vAlign w:val="bottom"/>
            <w:gridSpan w:val="2"/>
          </w:tcPr>
          <w:p>
            <w:pPr>
              <w:jc w:val="right"/>
              <w:ind w:right="188"/>
              <w:spacing w:after="0"/>
              <w:rPr>
                <w:sz w:val="20"/>
                <w:szCs w:val="20"/>
                <w:color w:val="auto"/>
              </w:rPr>
            </w:pPr>
            <w:r>
              <w:rPr>
                <w:rFonts w:ascii="Arial" w:cs="Arial" w:eastAsia="Arial" w:hAnsi="Arial"/>
                <w:sz w:val="18"/>
                <w:szCs w:val="18"/>
                <w:color w:val="auto"/>
              </w:rPr>
              <w:t>$667,106</w:t>
            </w:r>
          </w:p>
        </w:tc>
        <w:tc>
          <w:tcPr>
            <w:tcW w:w="1320" w:type="dxa"/>
            <w:vAlign w:val="bottom"/>
            <w:gridSpan w:val="2"/>
          </w:tcPr>
          <w:p>
            <w:pPr>
              <w:jc w:val="right"/>
              <w:ind w:right="168"/>
              <w:spacing w:after="0"/>
              <w:rPr>
                <w:sz w:val="20"/>
                <w:szCs w:val="20"/>
                <w:color w:val="auto"/>
              </w:rPr>
            </w:pPr>
            <w:r>
              <w:rPr>
                <w:rFonts w:ascii="Arial" w:cs="Arial" w:eastAsia="Arial" w:hAnsi="Arial"/>
                <w:sz w:val="18"/>
                <w:szCs w:val="18"/>
                <w:color w:val="auto"/>
              </w:rPr>
              <w:t>$496,715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w w:val="86"/>
              </w:rPr>
              <w:t>359,195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4"/>
              <w:spacing w:after="0"/>
              <w:rPr>
                <w:sz w:val="20"/>
                <w:szCs w:val="20"/>
                <w:color w:val="auto"/>
              </w:rPr>
            </w:pPr>
            <w:r>
              <w:rPr>
                <w:rFonts w:ascii="Arial" w:cs="Arial" w:eastAsia="Arial" w:hAnsi="Arial"/>
                <w:sz w:val="18"/>
                <w:szCs w:val="18"/>
                <w:color w:val="auto"/>
                <w:w w:val="89"/>
              </w:rPr>
              <w:t>1,523,016</w:t>
            </w:r>
          </w:p>
        </w:tc>
        <w:tc>
          <w:tcPr>
            <w:tcW w:w="300" w:type="dxa"/>
            <w:vAlign w:val="bottom"/>
          </w:tcPr>
          <w:p>
            <w:pPr>
              <w:spacing w:after="0"/>
              <w:rPr>
                <w:sz w:val="18"/>
                <w:szCs w:val="18"/>
                <w:color w:val="auto"/>
              </w:rPr>
            </w:pPr>
          </w:p>
        </w:tc>
        <w:tc>
          <w:tcPr>
            <w:tcW w:w="1020" w:type="dxa"/>
            <w:vAlign w:val="bottom"/>
          </w:tcPr>
          <w:p>
            <w:pPr>
              <w:ind w:left="6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w w:val="87"/>
              </w:rPr>
              <w:t>1,523,016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2007</w:t>
            </w:r>
          </w:p>
        </w:tc>
        <w:tc>
          <w:tcPr>
            <w:tcW w:w="13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609,855</w:t>
            </w:r>
          </w:p>
        </w:tc>
        <w:tc>
          <w:tcPr>
            <w:tcW w:w="13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416,514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6"/>
              </w:rPr>
              <w:t>336,262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9"/>
              </w:rPr>
              <w:t>1,362,631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87"/>
              </w:rPr>
              <w:t>1,362,631</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SALES GROWTH INFORMATION</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July 31, 2008:</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Base</w:t>
            </w:r>
          </w:p>
        </w:tc>
        <w:tc>
          <w:tcPr>
            <w:tcW w:w="44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0.6%</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5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44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2.7%</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5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20.2%</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432"/>
        </w:trPr>
        <w:tc>
          <w:tcPr>
            <w:tcW w:w="3180" w:type="dxa"/>
            <w:vAlign w:val="bottom"/>
            <w:gridSpan w:val="2"/>
          </w:tcPr>
          <w:p>
            <w:pPr>
              <w:spacing w:after="0"/>
              <w:rPr>
                <w:sz w:val="20"/>
                <w:szCs w:val="20"/>
                <w:color w:val="auto"/>
              </w:rPr>
            </w:pPr>
            <w:r>
              <w:rPr>
                <w:rFonts w:ascii="Arial" w:cs="Arial" w:eastAsia="Arial" w:hAnsi="Arial"/>
                <w:sz w:val="18"/>
                <w:szCs w:val="18"/>
                <w:color w:val="auto"/>
              </w:rPr>
              <w:t>Twelve months ended July 31, 2008:</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0.9%</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5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Currency</w:t>
            </w:r>
          </w:p>
        </w:tc>
        <w:tc>
          <w:tcPr>
            <w:tcW w:w="44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6.0%</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5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40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9.4%</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54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20"/>
                <w:szCs w:val="20"/>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11.8%</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 (LOSS)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41,212</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$ 38,214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15,129</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94,555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91,907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July 31, 2007</w:t>
            </w:r>
          </w:p>
        </w:tc>
        <w:tc>
          <w:tcPr>
            <w:tcW w:w="44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39,659</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32,573</w:t>
            </w:r>
          </w:p>
        </w:tc>
        <w:tc>
          <w:tcPr>
            <w:tcW w:w="5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10,844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83,076</w:t>
            </w:r>
          </w:p>
        </w:tc>
        <w:tc>
          <w:tcPr>
            <w:tcW w:w="3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(2,989)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80,087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Percentage increase (decrease)</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5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39.5%</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432"/>
        </w:trPr>
        <w:tc>
          <w:tcPr>
            <w:tcW w:w="3180" w:type="dxa"/>
            <w:vAlign w:val="bottom"/>
            <w:gridSpan w:val="2"/>
          </w:tcPr>
          <w:p>
            <w:pPr>
              <w:spacing w:after="0"/>
              <w:rPr>
                <w:sz w:val="20"/>
                <w:szCs w:val="20"/>
                <w:color w:val="auto"/>
              </w:rPr>
            </w:pPr>
            <w:r>
              <w:rPr>
                <w:rFonts w:ascii="Arial" w:cs="Arial" w:eastAsia="Arial" w:hAnsi="Arial"/>
                <w:sz w:val="18"/>
                <w:szCs w:val="18"/>
                <w:color w:val="auto"/>
              </w:rPr>
              <w:t>Twelve months ended:</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6"/>
              </w:rPr>
              <w:t>157,523</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$135,426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58,234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351,183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(9,048)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8"/>
              </w:rPr>
              <w:t>342,135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July 31, 2007</w:t>
            </w:r>
          </w:p>
        </w:tc>
        <w:tc>
          <w:tcPr>
            <w:tcW w:w="44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w w:val="86"/>
              </w:rPr>
              <w:t>144,583</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107,552</w:t>
            </w:r>
          </w:p>
        </w:tc>
        <w:tc>
          <w:tcPr>
            <w:tcW w:w="5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57,236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309,371</w:t>
            </w:r>
          </w:p>
        </w:tc>
        <w:tc>
          <w:tcPr>
            <w:tcW w:w="3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(10,485)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298,886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400"/>
              <w:spacing w:after="0"/>
              <w:rPr>
                <w:sz w:val="20"/>
                <w:szCs w:val="20"/>
                <w:color w:val="auto"/>
              </w:rPr>
            </w:pPr>
            <w:r>
              <w:rPr>
                <w:rFonts w:ascii="Arial" w:cs="Arial" w:eastAsia="Arial" w:hAnsi="Arial"/>
                <w:sz w:val="18"/>
                <w:szCs w:val="18"/>
                <w:i w:val="1"/>
                <w:iCs w:val="1"/>
                <w:color w:val="auto"/>
              </w:rPr>
              <w:t>Percentage increase (decrease)</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5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432"/>
        </w:trPr>
        <w:tc>
          <w:tcPr>
            <w:tcW w:w="46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60" w:type="dxa"/>
            <w:vAlign w:val="bottom"/>
            <w:gridSpan w:val="7"/>
          </w:tcPr>
          <w:p>
            <w:pPr>
              <w:jc w:val="right"/>
              <w:ind w:right="1060"/>
              <w:spacing w:after="0"/>
              <w:rPr>
                <w:sz w:val="20"/>
                <w:szCs w:val="20"/>
                <w:color w:val="auto"/>
              </w:rPr>
            </w:pPr>
            <w:r>
              <w:rPr>
                <w:rFonts w:ascii="Arial" w:cs="Arial" w:eastAsia="Arial" w:hAnsi="Arial"/>
                <w:sz w:val="14"/>
                <w:szCs w:val="14"/>
                <w:color w:val="auto"/>
              </w:rPr>
              <w:t>Three months ended:</w:t>
            </w:r>
          </w:p>
        </w:tc>
        <w:tc>
          <w:tcPr>
            <w:tcW w:w="2640" w:type="dxa"/>
            <w:vAlign w:val="bottom"/>
            <w:gridSpan w:val="6"/>
          </w:tcPr>
          <w:p>
            <w:pPr>
              <w:jc w:val="right"/>
              <w:ind w:right="680"/>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00" w:type="dxa"/>
            <w:vAlign w:val="bottom"/>
            <w:tcBorders>
              <w:top w:val="single" w:sz="8" w:color="auto"/>
            </w:tcBorders>
            <w:gridSpan w:val="4"/>
          </w:tcPr>
          <w:p>
            <w:pPr>
              <w:jc w:val="right"/>
              <w:ind w:right="680"/>
              <w:spacing w:after="0" w:line="123" w:lineRule="exact"/>
              <w:rPr>
                <w:sz w:val="20"/>
                <w:szCs w:val="20"/>
                <w:color w:val="auto"/>
              </w:rPr>
            </w:pPr>
            <w:r>
              <w:rPr>
                <w:rFonts w:ascii="Arial" w:cs="Arial" w:eastAsia="Arial" w:hAnsi="Arial"/>
                <w:sz w:val="14"/>
                <w:szCs w:val="14"/>
                <w:color w:val="auto"/>
              </w:rPr>
              <w:t>July 31,</w:t>
            </w:r>
          </w:p>
        </w:tc>
        <w:tc>
          <w:tcPr>
            <w:tcW w:w="3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360"/>
              <w:spacing w:after="0" w:line="123" w:lineRule="exact"/>
              <w:rPr>
                <w:sz w:val="20"/>
                <w:szCs w:val="20"/>
                <w:color w:val="auto"/>
              </w:rPr>
            </w:pPr>
            <w:r>
              <w:rPr>
                <w:rFonts w:ascii="Arial" w:cs="Arial" w:eastAsia="Arial" w:hAnsi="Arial"/>
                <w:sz w:val="14"/>
                <w:szCs w:val="14"/>
                <w:color w:val="auto"/>
                <w:w w:val="91"/>
              </w:rPr>
              <w:t>July 31,</w:t>
            </w:r>
          </w:p>
        </w:tc>
        <w:tc>
          <w:tcPr>
            <w:tcW w:w="32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rPr>
              <w:t>July 31,</w:t>
            </w: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300"/>
              <w:spacing w:after="0" w:line="123" w:lineRule="exact"/>
              <w:rPr>
                <w:sz w:val="20"/>
                <w:szCs w:val="20"/>
                <w:color w:val="auto"/>
              </w:rPr>
            </w:pPr>
            <w:r>
              <w:rPr>
                <w:rFonts w:ascii="Arial" w:cs="Arial" w:eastAsia="Arial" w:hAnsi="Arial"/>
                <w:sz w:val="14"/>
                <w:szCs w:val="14"/>
                <w:color w:val="auto"/>
              </w:rPr>
              <w:t>July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4"/>
                <w:szCs w:val="14"/>
                <w:color w:val="auto"/>
              </w:rPr>
              <w:t>2008</w:t>
            </w:r>
          </w:p>
        </w:tc>
        <w:tc>
          <w:tcPr>
            <w:tcW w:w="3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2007</w:t>
            </w:r>
          </w:p>
        </w:tc>
        <w:tc>
          <w:tcPr>
            <w:tcW w:w="3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2008</w:t>
            </w:r>
          </w:p>
        </w:tc>
        <w:tc>
          <w:tcPr>
            <w:tcW w:w="3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2007</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profit for reportable segments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$ 94,555</w:t>
            </w: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$ 83,076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$ 351,183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$ 309,371</w:t>
            </w:r>
          </w:p>
        </w:tc>
        <w:tc>
          <w:tcPr>
            <w:tcW w:w="0" w:type="dxa"/>
            <w:vAlign w:val="bottom"/>
          </w:tcPr>
          <w:p>
            <w:pPr>
              <w:spacing w:after="0"/>
              <w:rPr>
                <w:sz w:val="1"/>
                <w:szCs w:val="1"/>
                <w:color w:val="auto"/>
              </w:rPr>
            </w:pPr>
          </w:p>
        </w:tc>
      </w:tr>
      <w:tr>
        <w:trPr>
          <w:trHeight w:val="432"/>
        </w:trPr>
        <w:tc>
          <w:tcPr>
            <w:tcW w:w="3180" w:type="dxa"/>
            <w:vAlign w:val="bottom"/>
            <w:gridSpan w:val="2"/>
          </w:tcPr>
          <w:p>
            <w:pPr>
              <w:spacing w:after="0"/>
              <w:rPr>
                <w:sz w:val="20"/>
                <w:szCs w:val="20"/>
                <w:color w:val="auto"/>
              </w:rPr>
            </w:pPr>
            <w:r>
              <w:rPr>
                <w:rFonts w:ascii="Arial" w:cs="Arial" w:eastAsia="Arial" w:hAnsi="Arial"/>
                <w:sz w:val="18"/>
                <w:szCs w:val="18"/>
                <w:color w:val="auto"/>
              </w:rPr>
              <w:t>Corporate and eliminations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(2,648)</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(2,989)</w:t>
            </w:r>
          </w:p>
        </w:tc>
        <w:tc>
          <w:tcPr>
            <w:tcW w:w="32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($9,048)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(37,587)</w:t>
            </w:r>
          </w:p>
        </w:tc>
        <w:tc>
          <w:tcPr>
            <w:tcW w:w="32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(39,068)</w:t>
            </w:r>
          </w:p>
        </w:tc>
        <w:tc>
          <w:tcPr>
            <w:tcW w:w="3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(134,451)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(126,899)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1,958</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(5,956)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(6,527)</w:t>
            </w:r>
          </w:p>
        </w:tc>
        <w:tc>
          <w:tcPr>
            <w:tcW w:w="3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(26,385)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(22,934)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49,945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36,450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186,187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Income taxes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(15,170)</w:t>
            </w:r>
          </w:p>
        </w:tc>
        <w:tc>
          <w:tcPr>
            <w:tcW w:w="32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(10,206)</w:t>
            </w:r>
          </w:p>
        </w:tc>
        <w:tc>
          <w:tcPr>
            <w:tcW w:w="3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(53,999)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(42,540)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$ 34,775</w:t>
            </w:r>
          </w:p>
        </w:tc>
        <w:tc>
          <w:tcPr>
            <w:tcW w:w="3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$ 26,244</w:t>
            </w: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$ 132,188</w:t>
            </w:r>
          </w:p>
        </w:tc>
        <w:tc>
          <w:tcPr>
            <w:tcW w:w="3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$ 109,388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12"/>
        </w:trPr>
        <w:tc>
          <w:tcPr>
            <w:tcW w:w="20" w:type="dxa"/>
            <w:vAlign w:val="bottom"/>
          </w:tcPr>
          <w:p>
            <w:pPr>
              <w:spacing w:after="0"/>
              <w:rPr>
                <w:sz w:val="24"/>
                <w:szCs w:val="24"/>
                <w:color w:val="auto"/>
              </w:rPr>
            </w:pPr>
          </w:p>
        </w:tc>
        <w:tc>
          <w:tcPr>
            <w:tcW w:w="31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color w:val="auto"/>
              </w:rPr>
              <w:t>(Unaudited)</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5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July 31, 2008</w:t>
            </w: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July 31,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ind w:left="43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258,355</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Short term investments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losses ($10,059 and $9,109, respectively)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262,461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Finished products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75,665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21,187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Raw materials and supplies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37,767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800"/>
              <w:spacing w:after="0"/>
              <w:rPr>
                <w:sz w:val="20"/>
                <w:szCs w:val="20"/>
                <w:color w:val="auto"/>
              </w:rPr>
            </w:pPr>
            <w:r>
              <w:rPr>
                <w:rFonts w:ascii="Arial" w:cs="Arial" w:eastAsia="Arial" w:hAnsi="Arial"/>
                <w:sz w:val="18"/>
                <w:szCs w:val="18"/>
                <w:color w:val="auto"/>
              </w:rPr>
              <w:t>Total inventories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134,619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43,650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699,085</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583,413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789,107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144,791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149,761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25,943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21,381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600"/>
              <w:spacing w:after="0"/>
              <w:rPr>
                <w:sz w:val="20"/>
                <w:szCs w:val="20"/>
                <w:color w:val="auto"/>
              </w:rPr>
            </w:pPr>
            <w:r>
              <w:rPr>
                <w:rFonts w:ascii="Arial" w:cs="Arial" w:eastAsia="Arial" w:hAnsi="Arial"/>
                <w:sz w:val="18"/>
                <w:szCs w:val="18"/>
                <w:b w:val="1"/>
                <w:bCs w:val="1"/>
                <w:color w:val="auto"/>
              </w:rPr>
              <w:t>Total other assets</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981,222</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940,830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6,490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98,646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282,232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6,040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393,408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223,202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188,869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Net property, plant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170,206</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1,850,513</w:t>
            </w:r>
          </w:p>
        </w:tc>
        <w:tc>
          <w:tcPr>
            <w:tcW w:w="6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1,698,857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1980"/>
              <w:spacing w:after="0"/>
              <w:rPr>
                <w:sz w:val="20"/>
                <w:szCs w:val="20"/>
                <w:color w:val="auto"/>
              </w:rPr>
            </w:pPr>
            <w:r>
              <w:rPr>
                <w:rFonts w:ascii="Arial" w:cs="Arial" w:eastAsia="Arial" w:hAnsi="Arial"/>
                <w:sz w:val="18"/>
                <w:szCs w:val="18"/>
                <w:b w:val="1"/>
                <w:bCs w:val="1"/>
                <w:color w:val="auto"/>
              </w:rPr>
              <w:t>LIABILITIES AND STOCKHOLDERS’ INVESTMENT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118,209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82,354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10,234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Accrued income taxes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21,523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54,810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Current maturities on long-term debt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21,431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308,561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280,054</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457,143</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478,575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63,001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828,705</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807,845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Class A nonvoting common stock — Issued 51,261,487 and 50,586,524 shares, respectively and</w:t>
            </w:r>
          </w:p>
        </w:tc>
        <w:tc>
          <w:tcPr>
            <w:tcW w:w="10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513</w:t>
            </w:r>
          </w:p>
        </w:tc>
        <w:tc>
          <w:tcPr>
            <w:tcW w:w="10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outstanding 50,005,296 and 50,586,524 shares, respsectively</w:t>
            </w:r>
          </w:p>
        </w:tc>
        <w:tc>
          <w:tcPr>
            <w:tcW w:w="10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292,769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266,203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Income retained in the business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639,059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 1,046,191 and 0 shares, respectively of Class A nonvoting common stock, at cost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(33,234)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128,161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(5,495)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31"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60" w:type="dxa"/>
            <w:vAlign w:val="bottom"/>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1,021,808</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891,012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$ 1,850,513</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$ 1,698,857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89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4"/>
          </w:tcPr>
          <w:p>
            <w:pPr>
              <w:jc w:val="center"/>
              <w:spacing w:after="0" w:line="149" w:lineRule="exact"/>
              <w:rPr>
                <w:sz w:val="20"/>
                <w:szCs w:val="20"/>
                <w:color w:val="auto"/>
              </w:rPr>
            </w:pPr>
            <w:r>
              <w:rPr>
                <w:rFonts w:ascii="Arial" w:cs="Arial" w:eastAsia="Arial" w:hAnsi="Arial"/>
                <w:sz w:val="14"/>
                <w:szCs w:val="14"/>
                <w:color w:val="auto"/>
                <w:w w:val="93"/>
              </w:rPr>
              <w:t>Twelve Months 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5"/>
              </w:rPr>
              <w:t>July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2008</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2007</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132,188</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109,388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60,587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53,856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foreign currency contract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on disposal of property, plant &amp; equipment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Non-cash portion of stock-based compensation expense</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10,228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6,907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(3,704)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(17,021)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(13,307)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60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(8,492)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(6,821)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225,554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136,018</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114,896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(29,346)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(159,475)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(351,331)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contingent consideration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(10,350)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(68,100)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short-term investments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60,400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(26,407)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(51,940)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settlement of foreign currency contract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2,166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(39,208)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(237,039)</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(395,282)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Payment of dividends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(32,464)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(30,141)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Principal payments on debt</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(39,443)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(110,870)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(417,601)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debt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259,300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615,730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(42,175)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income tax benefit from the exercise of stock options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800"/>
              <w:spacing w:after="0"/>
              <w:rPr>
                <w:sz w:val="20"/>
                <w:szCs w:val="20"/>
                <w:color w:val="auto"/>
              </w:rPr>
            </w:pPr>
            <w:r>
              <w:rPr>
                <w:rFonts w:ascii="Arial" w:cs="Arial" w:eastAsia="Arial" w:hAnsi="Arial"/>
                <w:sz w:val="18"/>
                <w:szCs w:val="18"/>
                <w:color w:val="auto"/>
              </w:rPr>
              <w:t>Net (used in) provided by financing activities</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(76,944)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129,421</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318,958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115,509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29,838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142,846</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113,008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72,970</w:t>
            </w:r>
          </w:p>
        </w:tc>
        <w:tc>
          <w:tcPr>
            <w:tcW w:w="0" w:type="dxa"/>
            <w:vAlign w:val="bottom"/>
          </w:tcPr>
          <w:p>
            <w:pPr>
              <w:spacing w:after="0"/>
              <w:rPr>
                <w:sz w:val="1"/>
                <w:szCs w:val="1"/>
                <w:color w:val="auto"/>
              </w:rPr>
            </w:pPr>
          </w:p>
        </w:tc>
      </w:tr>
      <w:tr>
        <w:trPr>
          <w:trHeight w:val="20"/>
        </w:trPr>
        <w:tc>
          <w:tcPr>
            <w:tcW w:w="77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258,355</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142,846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113,008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capitalized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26,308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19,842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51,834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49,233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Fair value of assets acquired, net of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21,508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87,398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Liabilities assumed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(33,248)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0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16,876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105,325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247,098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paid for acquisitions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29,346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159,475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77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right="5540"/>
        <w:spacing w:after="0" w:line="282" w:lineRule="auto"/>
        <w:rPr>
          <w:sz w:val="20"/>
          <w:szCs w:val="20"/>
          <w:color w:val="auto"/>
        </w:rPr>
      </w:pPr>
      <w:r>
        <w:rPr>
          <w:rFonts w:ascii="Arial" w:cs="Arial" w:eastAsia="Arial" w:hAnsi="Arial"/>
          <w:sz w:val="18"/>
          <w:szCs w:val="18"/>
          <w:b w:val="1"/>
          <w:bCs w:val="1"/>
          <w:color w:val="auto"/>
        </w:rPr>
        <w:t xml:space="preserve">RECONCILIATION OF GAAP MEASURES TO NON-GAAP MEASURES </w:t>
      </w:r>
      <w:r>
        <w:rPr>
          <w:rFonts w:ascii="Arial" w:cs="Arial" w:eastAsia="Arial" w:hAnsi="Arial"/>
          <w:sz w:val="18"/>
          <w:szCs w:val="18"/>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94"/>
              </w:rPr>
              <w:t>Fiscal 2007</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620"/>
              <w:spacing w:after="0" w:line="142" w:lineRule="exact"/>
              <w:rPr>
                <w:sz w:val="20"/>
                <w:szCs w:val="20"/>
                <w:color w:val="auto"/>
              </w:rPr>
            </w:pPr>
            <w:r>
              <w:rPr>
                <w:rFonts w:ascii="Arial" w:cs="Arial" w:eastAsia="Arial" w:hAnsi="Arial"/>
                <w:sz w:val="14"/>
                <w:szCs w:val="14"/>
                <w:color w:val="auto"/>
              </w:rPr>
              <w:t>Q1</w:t>
            </w:r>
          </w:p>
        </w:tc>
        <w:tc>
          <w:tcPr>
            <w:tcW w:w="340" w:type="dxa"/>
            <w:vAlign w:val="bottom"/>
          </w:tcPr>
          <w:p>
            <w:pPr>
              <w:spacing w:after="0"/>
              <w:rPr>
                <w:sz w:val="12"/>
                <w:szCs w:val="12"/>
                <w:color w:val="auto"/>
              </w:rPr>
            </w:pPr>
          </w:p>
        </w:tc>
        <w:tc>
          <w:tcPr>
            <w:tcW w:w="100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Q2</w:t>
            </w:r>
          </w:p>
        </w:tc>
        <w:tc>
          <w:tcPr>
            <w:tcW w:w="340" w:type="dxa"/>
            <w:vAlign w:val="bottom"/>
          </w:tcPr>
          <w:p>
            <w:pPr>
              <w:spacing w:after="0"/>
              <w:rPr>
                <w:sz w:val="12"/>
                <w:szCs w:val="12"/>
                <w:color w:val="auto"/>
              </w:rPr>
            </w:pPr>
          </w:p>
        </w:tc>
        <w:tc>
          <w:tcPr>
            <w:tcW w:w="136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96"/>
              </w:rPr>
              <w:t>Q3</w:t>
            </w:r>
          </w:p>
        </w:tc>
        <w:tc>
          <w:tcPr>
            <w:tcW w:w="14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Q4</w:t>
            </w:r>
          </w:p>
        </w:tc>
        <w:tc>
          <w:tcPr>
            <w:tcW w:w="320" w:type="dxa"/>
            <w:vAlign w:val="bottom"/>
          </w:tcPr>
          <w:p>
            <w:pPr>
              <w:spacing w:after="0"/>
              <w:rPr>
                <w:sz w:val="12"/>
                <w:szCs w:val="12"/>
                <w:color w:val="auto"/>
              </w:rPr>
            </w:pPr>
          </w:p>
        </w:tc>
        <w:tc>
          <w:tcPr>
            <w:tcW w:w="72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1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34,448</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$ 19,709</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$ 28,987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26,244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$ 109,388</w:t>
            </w:r>
          </w:p>
        </w:tc>
      </w:tr>
      <w:tr>
        <w:trPr>
          <w:trHeight w:val="216"/>
        </w:trPr>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4,735</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5,244</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6,428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6,527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22,934</w:t>
            </w:r>
          </w:p>
        </w:tc>
      </w:tr>
      <w:tr>
        <w:trPr>
          <w:trHeight w:val="216"/>
        </w:trPr>
        <w:tc>
          <w:tcPr>
            <w:tcW w:w="388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13,396</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7,665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11,273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10,206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42,540</w:t>
            </w:r>
          </w:p>
        </w:tc>
      </w:tr>
      <w:tr>
        <w:trPr>
          <w:trHeight w:val="216"/>
        </w:trPr>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12,927</w:t>
            </w:r>
          </w:p>
        </w:tc>
        <w:tc>
          <w:tcPr>
            <w:tcW w:w="134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13,169</w:t>
            </w:r>
          </w:p>
        </w:tc>
        <w:tc>
          <w:tcPr>
            <w:tcW w:w="1700" w:type="dxa"/>
            <w:vAlign w:val="bottom"/>
            <w:tcBorders>
              <w:bottom w:val="single" w:sz="8" w:color="auto"/>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14,307</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13,453</w:t>
            </w:r>
          </w:p>
        </w:tc>
        <w:tc>
          <w:tcPr>
            <w:tcW w:w="11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53,856</w:t>
            </w:r>
          </w:p>
        </w:tc>
      </w:tr>
      <w:tr>
        <w:trPr>
          <w:trHeight w:val="439"/>
        </w:trPr>
        <w:tc>
          <w:tcPr>
            <w:tcW w:w="388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65,506</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$ 45,787</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$ 60,995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56,430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$ 228,718</w:t>
            </w:r>
          </w:p>
        </w:tc>
      </w:tr>
      <w:tr>
        <w:trPr>
          <w:trHeight w:val="365"/>
        </w:trPr>
        <w:tc>
          <w:tcPr>
            <w:tcW w:w="3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94"/>
              </w:rPr>
              <w:t>Fiscal 2008</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620"/>
              <w:spacing w:after="0" w:line="142" w:lineRule="exact"/>
              <w:rPr>
                <w:sz w:val="20"/>
                <w:szCs w:val="20"/>
                <w:color w:val="auto"/>
              </w:rPr>
            </w:pPr>
            <w:r>
              <w:rPr>
                <w:rFonts w:ascii="Arial" w:cs="Arial" w:eastAsia="Arial" w:hAnsi="Arial"/>
                <w:sz w:val="14"/>
                <w:szCs w:val="14"/>
                <w:color w:val="auto"/>
              </w:rPr>
              <w:t>Q1</w:t>
            </w:r>
          </w:p>
        </w:tc>
        <w:tc>
          <w:tcPr>
            <w:tcW w:w="340" w:type="dxa"/>
            <w:vAlign w:val="bottom"/>
          </w:tcPr>
          <w:p>
            <w:pPr>
              <w:spacing w:after="0"/>
              <w:rPr>
                <w:sz w:val="12"/>
                <w:szCs w:val="12"/>
                <w:color w:val="auto"/>
              </w:rPr>
            </w:pPr>
          </w:p>
        </w:tc>
        <w:tc>
          <w:tcPr>
            <w:tcW w:w="1000" w:type="dxa"/>
            <w:vAlign w:val="bottom"/>
            <w:gridSpan w:val="2"/>
          </w:tcPr>
          <w:p>
            <w:pPr>
              <w:ind w:left="240"/>
              <w:spacing w:after="0" w:line="142" w:lineRule="exact"/>
              <w:rPr>
                <w:sz w:val="20"/>
                <w:szCs w:val="20"/>
                <w:color w:val="auto"/>
              </w:rPr>
            </w:pPr>
            <w:r>
              <w:rPr>
                <w:rFonts w:ascii="Arial" w:cs="Arial" w:eastAsia="Arial" w:hAnsi="Arial"/>
                <w:sz w:val="14"/>
                <w:szCs w:val="14"/>
                <w:color w:val="auto"/>
              </w:rPr>
              <w:t>Q2</w:t>
            </w:r>
          </w:p>
        </w:tc>
        <w:tc>
          <w:tcPr>
            <w:tcW w:w="340" w:type="dxa"/>
            <w:vAlign w:val="bottom"/>
          </w:tcPr>
          <w:p>
            <w:pPr>
              <w:spacing w:after="0"/>
              <w:rPr>
                <w:sz w:val="12"/>
                <w:szCs w:val="12"/>
                <w:color w:val="auto"/>
              </w:rPr>
            </w:pPr>
          </w:p>
        </w:tc>
        <w:tc>
          <w:tcPr>
            <w:tcW w:w="1360" w:type="dxa"/>
            <w:vAlign w:val="bottom"/>
            <w:gridSpan w:val="2"/>
          </w:tcPr>
          <w:p>
            <w:pPr>
              <w:jc w:val="center"/>
              <w:ind w:right="660"/>
              <w:spacing w:after="0" w:line="142" w:lineRule="exact"/>
              <w:rPr>
                <w:sz w:val="20"/>
                <w:szCs w:val="20"/>
                <w:color w:val="auto"/>
              </w:rPr>
            </w:pPr>
            <w:r>
              <w:rPr>
                <w:rFonts w:ascii="Arial" w:cs="Arial" w:eastAsia="Arial" w:hAnsi="Arial"/>
                <w:sz w:val="14"/>
                <w:szCs w:val="14"/>
                <w:color w:val="auto"/>
                <w:w w:val="96"/>
              </w:rPr>
              <w:t>Q3</w:t>
            </w:r>
          </w:p>
        </w:tc>
        <w:tc>
          <w:tcPr>
            <w:tcW w:w="14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Arial" w:cs="Arial" w:eastAsia="Arial" w:hAnsi="Arial"/>
                <w:sz w:val="14"/>
                <w:szCs w:val="14"/>
                <w:color w:val="auto"/>
              </w:rPr>
              <w:t>Q4</w:t>
            </w:r>
          </w:p>
        </w:tc>
        <w:tc>
          <w:tcPr>
            <w:tcW w:w="320" w:type="dxa"/>
            <w:vAlign w:val="bottom"/>
          </w:tcPr>
          <w:p>
            <w:pPr>
              <w:spacing w:after="0"/>
              <w:rPr>
                <w:sz w:val="12"/>
                <w:szCs w:val="12"/>
                <w:color w:val="auto"/>
              </w:rPr>
            </w:pPr>
          </w:p>
        </w:tc>
        <w:tc>
          <w:tcPr>
            <w:tcW w:w="720" w:type="dxa"/>
            <w:vAlign w:val="bottom"/>
          </w:tcPr>
          <w:p>
            <w:pPr>
              <w:jc w:val="right"/>
              <w:ind w:right="148"/>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EBITDA (1)</w:t>
            </w:r>
          </w:p>
        </w:tc>
        <w:tc>
          <w:tcPr>
            <w:tcW w:w="1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36,370</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$ 26,690</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$ 34,353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34,775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$ 132,188</w:t>
            </w:r>
          </w:p>
        </w:tc>
      </w:tr>
      <w:tr>
        <w:trPr>
          <w:trHeight w:val="216"/>
        </w:trPr>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6,720</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6,747</w:t>
            </w:r>
          </w:p>
        </w:tc>
        <w:tc>
          <w:tcPr>
            <w:tcW w:w="17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6,962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5,956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26,385</w:t>
            </w:r>
          </w:p>
        </w:tc>
      </w:tr>
      <w:tr>
        <w:trPr>
          <w:trHeight w:val="216"/>
        </w:trPr>
        <w:tc>
          <w:tcPr>
            <w:tcW w:w="388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15,366</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11,276</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12,187</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15,170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53,999</w:t>
            </w:r>
          </w:p>
        </w:tc>
      </w:tr>
      <w:tr>
        <w:trPr>
          <w:trHeight w:val="216"/>
        </w:trPr>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14,168</w:t>
            </w:r>
          </w:p>
        </w:tc>
        <w:tc>
          <w:tcPr>
            <w:tcW w:w="1340" w:type="dxa"/>
            <w:vAlign w:val="bottom"/>
            <w:tcBorders>
              <w:bottom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15,501</w:t>
            </w:r>
          </w:p>
        </w:tc>
        <w:tc>
          <w:tcPr>
            <w:tcW w:w="1700" w:type="dxa"/>
            <w:vAlign w:val="bottom"/>
            <w:tcBorders>
              <w:bottom w:val="single" w:sz="8" w:color="auto"/>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16,013</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14,905</w:t>
            </w:r>
          </w:p>
        </w:tc>
        <w:tc>
          <w:tcPr>
            <w:tcW w:w="11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60,587</w:t>
            </w:r>
          </w:p>
        </w:tc>
      </w:tr>
      <w:tr>
        <w:trPr>
          <w:trHeight w:val="439"/>
        </w:trPr>
        <w:tc>
          <w:tcPr>
            <w:tcW w:w="3880" w:type="dxa"/>
            <w:vAlign w:val="bottom"/>
          </w:tcPr>
          <w:p>
            <w:pPr>
              <w:ind w:left="220"/>
              <w:spacing w:after="0"/>
              <w:rPr>
                <w:sz w:val="20"/>
                <w:szCs w:val="20"/>
                <w:color w:val="auto"/>
              </w:rPr>
            </w:pPr>
            <w:r>
              <w:rPr>
                <w:rFonts w:ascii="Arial" w:cs="Arial" w:eastAsia="Arial" w:hAnsi="Arial"/>
                <w:sz w:val="18"/>
                <w:szCs w:val="18"/>
                <w:color w:val="auto"/>
              </w:rPr>
              <w:t>EBITDA (non-GAAP measure)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72,624</w:t>
            </w: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$ 60,214</w:t>
            </w:r>
          </w:p>
        </w:tc>
        <w:tc>
          <w:tcPr>
            <w:tcW w:w="1700" w:type="dxa"/>
            <w:vAlign w:val="bottom"/>
            <w:gridSpan w:val="3"/>
          </w:tcPr>
          <w:p>
            <w:pPr>
              <w:jc w:val="right"/>
              <w:ind w:right="680"/>
              <w:spacing w:after="0"/>
              <w:rPr>
                <w:sz w:val="20"/>
                <w:szCs w:val="20"/>
                <w:color w:val="auto"/>
              </w:rPr>
            </w:pPr>
            <w:r>
              <w:rPr>
                <w:rFonts w:ascii="Arial" w:cs="Arial" w:eastAsia="Arial" w:hAnsi="Arial"/>
                <w:sz w:val="18"/>
                <w:szCs w:val="18"/>
                <w:color w:val="auto"/>
              </w:rPr>
              <w:t>$ 69,515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70,806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$ 273,159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80" w:hanging="452"/>
        <w:spacing w:after="0" w:line="293"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Brady is presenting EBITDA because it is used by many of our investors and lenders, and is presented as a convenience to them. EBITDA represents net income before interest expense, income taxes and depreciation and amortization.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p>
      <w:pPr>
        <w:sectPr>
          <w:pgSz w:w="11900" w:h="16838" w:orient="portrait"/>
          <w:cols w:equalWidth="0" w:num="1">
            <w:col w:w="11420"/>
          </w:cols>
          <w:pgMar w:left="240" w:top="93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Barbara Bolens (414) 438-6940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increases quarterly dividend to shareholders 13 percent</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MILWAUKEE (September 17, 2008)—Brady Corporation’s (NYSE: BRC) Board of Directors has announced an increase in its quarterly dividend to shareholders of the company’s Class A Common Stock by 13 percent, from $0.15 to $0.17 per share. This represents the 23rd consecutive annual increase in dividends. The dividend will be paid on October 31, 2008, to shareholders of record at the close of business on October 10, 2008.</w:t>
      </w:r>
    </w:p>
    <w:p>
      <w:pPr>
        <w:spacing w:after="0" w:line="5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“We continue to be focused on creating value for our shareholders, and this year’s dividend increase is a result of our higher levels of profitability and strong cash flow,” said Brady CFO Thomas J. Felmer.</w:t>
      </w:r>
    </w:p>
    <w:p>
      <w:pPr>
        <w:spacing w:after="0" w:line="62"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7,800 people at operations in the Americas, Europe and Asia/Pacific. Brady’s fiscal 2008 sales were approximately $1.523 billion.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14"/>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2019-12-13T14:20:59Z</dcterms:created>
  <dcterms:modified xsi:type="dcterms:W3CDTF">2019-12-13T14:20:59Z</dcterms:modified>
</cp:coreProperties>
</file>