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28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8637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Curran Bentley</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08/04/2010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0"/>
        <w:spacing w:after="0"/>
        <w:rPr>
          <w:sz w:val="20"/>
          <w:szCs w:val="20"/>
          <w:color w:val="auto"/>
        </w:rPr>
      </w:pPr>
      <w:r>
        <w:rPr>
          <w:rFonts w:ascii="Arial" w:cs="Arial" w:eastAsia="Arial" w:hAnsi="Arial"/>
          <w:sz w:val="17"/>
          <w:szCs w:val="17"/>
          <w:color w:val="0000FF"/>
        </w:rPr>
        <w:t>VP Chief Information Officer</w:t>
      </w:r>
    </w:p>
    <w:p>
      <w:pPr>
        <w:spacing w:after="0" w:line="323"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4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4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jc w:val="center"/>
              <w:ind w:right="53"/>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08/04/2010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7"/>
              </w:rPr>
              <w:t>13.9353</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29.11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2,338.497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08/11/2010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0.0418</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27.45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2,338.5388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08/18/2010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0.0011</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27.23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2,338.7537</w:t>
            </w:r>
            <w:r>
              <w:rPr>
                <w:rFonts w:ascii="Arial" w:cs="Arial" w:eastAsia="Arial" w:hAnsi="Arial"/>
                <w:sz w:val="22"/>
                <w:szCs w:val="22"/>
                <w:color w:val="008000"/>
                <w:w w:val="87"/>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jc w:val="center"/>
              <w:ind w:right="33"/>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0.6105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1"/>
              </w:rPr>
              <w:t>102.2175</w:t>
            </w:r>
            <w:r>
              <w:rPr>
                <w:rFonts w:ascii="Arial" w:cs="Arial" w:eastAsia="Arial" w:hAnsi="Arial"/>
                <w:sz w:val="22"/>
                <w:szCs w:val="22"/>
                <w:color w:val="008000"/>
                <w:w w:val="91"/>
                <w:vertAlign w:val="superscript"/>
              </w:rPr>
              <w:t>(3)(5)</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1040" w:type="dxa"/>
            <w:vAlign w:val="bottom"/>
          </w:tcPr>
          <w:p>
            <w:pPr>
              <w:ind w:left="180"/>
              <w:spacing w:after="0" w:line="146" w:lineRule="exact"/>
              <w:rPr>
                <w:sz w:val="20"/>
                <w:szCs w:val="20"/>
                <w:color w:val="auto"/>
              </w:rPr>
            </w:pPr>
            <w:r>
              <w:rPr>
                <w:rFonts w:ascii="Arial" w:cs="Arial" w:eastAsia="Arial" w:hAnsi="Arial"/>
                <w:sz w:val="13"/>
                <w:szCs w:val="13"/>
                <w:color w:val="0000FF"/>
              </w:rPr>
              <w:t>08/04/2010</w:t>
            </w:r>
          </w:p>
        </w:tc>
        <w:tc>
          <w:tcPr>
            <w:tcW w:w="1120" w:type="dxa"/>
            <w:vAlign w:val="bottom"/>
          </w:tcPr>
          <w:p>
            <w:pPr>
              <w:spacing w:after="0"/>
              <w:rPr>
                <w:sz w:val="12"/>
                <w:szCs w:val="12"/>
                <w:color w:val="auto"/>
              </w:rPr>
            </w:pPr>
          </w:p>
        </w:tc>
        <w:tc>
          <w:tcPr>
            <w:tcW w:w="60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0.6105</w:t>
            </w:r>
          </w:p>
        </w:tc>
        <w:tc>
          <w:tcPr>
            <w:tcW w:w="3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29.12</w:t>
            </w: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40" w:right="38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 of Brady's Class A Common Stock upon the reporting persons cessation of service as an employee of Brady Corporation.</w:t>
      </w: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0.6105 shares acquired on August 4, 2010 pursuant to a dividend reinvestment.</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total shares listed represent the corrected total of the non-derivative securities held by the individual as of August 30, 2010, which has been adjusted to reflect an increase due to rounding of 0.2138.</w:t>
      </w:r>
    </w:p>
    <w:p>
      <w:pPr>
        <w:spacing w:after="0" w:line="60"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an increase due to rounding of 0.0005.</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1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09/02/2010</w:t>
            </w:r>
          </w:p>
        </w:tc>
        <w:tc>
          <w:tcPr>
            <w:tcW w:w="0" w:type="dxa"/>
            <w:vAlign w:val="bottom"/>
          </w:tcPr>
          <w:p>
            <w:pPr>
              <w:spacing w:after="0"/>
              <w:rPr>
                <w:sz w:val="1"/>
                <w:szCs w:val="1"/>
                <w:color w:val="auto"/>
              </w:rPr>
            </w:pPr>
          </w:p>
        </w:tc>
      </w:tr>
      <w:tr>
        <w:trPr>
          <w:trHeight w:val="91"/>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2019-12-18T15:54:59Z</dcterms:created>
  <dcterms:modified xsi:type="dcterms:W3CDTF">2019-12-18T15:54:59Z</dcterms:modified>
</cp:coreProperties>
</file>