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2420" w:type="dxa"/>
            <w:vAlign w:val="bottom"/>
          </w:tcPr>
          <w:p>
            <w:pPr>
              <w:spacing w:after="0"/>
              <w:rPr>
                <w:sz w:val="24"/>
                <w:szCs w:val="24"/>
                <w:color w:val="auto"/>
              </w:rPr>
            </w:pPr>
          </w:p>
        </w:tc>
        <w:tc>
          <w:tcPr>
            <w:tcW w:w="32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w w:val="86"/>
              </w:rPr>
              <w:t>Wisconsin</w:t>
            </w:r>
          </w:p>
        </w:tc>
        <w:tc>
          <w:tcPr>
            <w:tcW w:w="342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8000" w:type="dxa"/>
            <w:vAlign w:val="bottom"/>
            <w:gridSpan w:val="3"/>
          </w:tcPr>
          <w:p>
            <w:pPr>
              <w:jc w:val="center"/>
              <w:ind w:right="2560"/>
              <w:spacing w:after="0"/>
              <w:rPr>
                <w:sz w:val="20"/>
                <w:szCs w:val="20"/>
                <w:color w:val="auto"/>
              </w:rPr>
            </w:pPr>
            <w:r>
              <w:rPr>
                <w:rFonts w:ascii="Arial" w:cs="Arial" w:eastAsia="Arial" w:hAnsi="Arial"/>
                <w:sz w:val="18"/>
                <w:szCs w:val="18"/>
                <w:color w:val="auto"/>
                <w:w w:val="92"/>
              </w:rPr>
              <w:t>incorporation or organization)</w:t>
            </w:r>
          </w:p>
        </w:tc>
        <w:tc>
          <w:tcPr>
            <w:tcW w:w="342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800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0"/>
              </w:rPr>
              <w:t>6555 West Good Hope Road, Milwaukee, Wisconsin 53223</w:t>
            </w:r>
          </w:p>
        </w:tc>
        <w:tc>
          <w:tcPr>
            <w:tcW w:w="3420" w:type="dxa"/>
            <w:vAlign w:val="bottom"/>
          </w:tcPr>
          <w:p>
            <w:pPr>
              <w:spacing w:after="0"/>
              <w:rPr>
                <w:sz w:val="24"/>
                <w:szCs w:val="24"/>
                <w:color w:val="auto"/>
              </w:rPr>
            </w:pPr>
          </w:p>
        </w:tc>
      </w:tr>
      <w:tr>
        <w:trPr>
          <w:trHeight w:val="216"/>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spacing w:after="0"/>
              <w:rPr>
                <w:sz w:val="18"/>
                <w:szCs w:val="18"/>
                <w:color w:val="auto"/>
              </w:rPr>
            </w:pPr>
          </w:p>
        </w:tc>
      </w:tr>
      <w:tr>
        <w:trPr>
          <w:trHeight w:val="230"/>
        </w:trPr>
        <w:tc>
          <w:tcPr>
            <w:tcW w:w="8000" w:type="dxa"/>
            <w:vAlign w:val="bottom"/>
            <w:gridSpan w:val="3"/>
          </w:tcPr>
          <w:p>
            <w:pPr>
              <w:jc w:val="center"/>
              <w:ind w:left="3350"/>
              <w:spacing w:after="0"/>
              <w:rPr>
                <w:sz w:val="20"/>
                <w:szCs w:val="20"/>
                <w:color w:val="auto"/>
              </w:rPr>
            </w:pPr>
            <w:r>
              <w:rPr>
                <w:rFonts w:ascii="Arial" w:cs="Arial" w:eastAsia="Arial" w:hAnsi="Arial"/>
                <w:sz w:val="18"/>
                <w:szCs w:val="18"/>
                <w:color w:val="auto"/>
                <w:w w:val="94"/>
              </w:rPr>
              <w:t>(Zip Code)</w:t>
            </w:r>
          </w:p>
        </w:tc>
        <w:tc>
          <w:tcPr>
            <w:tcW w:w="3420" w:type="dxa"/>
            <w:vAlign w:val="bottom"/>
          </w:tcPr>
          <w:p>
            <w:pPr>
              <w:spacing w:after="0"/>
              <w:rPr>
                <w:sz w:val="20"/>
                <w:szCs w:val="20"/>
                <w:color w:val="auto"/>
              </w:rPr>
            </w:pPr>
          </w:p>
        </w:tc>
      </w:tr>
      <w:tr>
        <w:trPr>
          <w:trHeight w:val="418"/>
        </w:trPr>
        <w:tc>
          <w:tcPr>
            <w:tcW w:w="8000" w:type="dxa"/>
            <w:vAlign w:val="bottom"/>
            <w:gridSpan w:val="3"/>
          </w:tcPr>
          <w:p>
            <w:pPr>
              <w:jc w:val="center"/>
              <w:ind w:left="3350"/>
              <w:spacing w:after="0"/>
              <w:rPr>
                <w:sz w:val="20"/>
                <w:szCs w:val="20"/>
                <w:color w:val="auto"/>
              </w:rPr>
            </w:pPr>
            <w:r>
              <w:rPr>
                <w:rFonts w:ascii="Arial" w:cs="Arial" w:eastAsia="Arial" w:hAnsi="Arial"/>
                <w:sz w:val="18"/>
                <w:szCs w:val="18"/>
                <w:b w:val="1"/>
                <w:bCs w:val="1"/>
                <w:color w:val="auto"/>
                <w:w w:val="90"/>
              </w:rPr>
              <w:t>(414) 358-6600</w:t>
            </w:r>
          </w:p>
        </w:tc>
        <w:tc>
          <w:tcPr>
            <w:tcW w:w="3420" w:type="dxa"/>
            <w:vAlign w:val="bottom"/>
          </w:tcPr>
          <w:p>
            <w:pPr>
              <w:spacing w:after="0"/>
              <w:rPr>
                <w:sz w:val="24"/>
                <w:szCs w:val="24"/>
                <w:color w:val="auto"/>
              </w:rPr>
            </w:pPr>
          </w:p>
        </w:tc>
      </w:tr>
      <w:tr>
        <w:trPr>
          <w:trHeight w:val="230"/>
        </w:trPr>
        <w:tc>
          <w:tcPr>
            <w:tcW w:w="8000" w:type="dxa"/>
            <w:vAlign w:val="bottom"/>
            <w:gridSpan w:val="3"/>
          </w:tcPr>
          <w:p>
            <w:pPr>
              <w:jc w:val="center"/>
              <w:ind w:left="3330"/>
              <w:spacing w:after="0"/>
              <w:rPr>
                <w:sz w:val="20"/>
                <w:szCs w:val="20"/>
                <w:color w:val="auto"/>
              </w:rPr>
            </w:pPr>
            <w:r>
              <w:rPr>
                <w:rFonts w:ascii="Arial" w:cs="Arial" w:eastAsia="Arial" w:hAnsi="Arial"/>
                <w:sz w:val="18"/>
                <w:szCs w:val="18"/>
                <w:color w:val="auto"/>
                <w:w w:val="90"/>
              </w:rPr>
              <w:t>(Registrant’s telephone number, including area code)</w:t>
            </w:r>
          </w:p>
        </w:tc>
        <w:tc>
          <w:tcPr>
            <w:tcW w:w="3420" w:type="dxa"/>
            <w:vAlign w:val="bottom"/>
          </w:tcPr>
          <w:p>
            <w:pPr>
              <w:spacing w:after="0"/>
              <w:rPr>
                <w:sz w:val="20"/>
                <w:szCs w:val="20"/>
                <w:color w:val="auto"/>
              </w:rPr>
            </w:pPr>
          </w:p>
        </w:tc>
      </w:tr>
    </w:tbl>
    <w:p>
      <w:pPr>
        <w:spacing w:after="0" w:line="94"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3080"/>
        <w:spacing w:after="0" w:line="207" w:lineRule="exact"/>
        <w:tabs>
          <w:tab w:leader="none" w:pos="5100" w:val="left"/>
          <w:tab w:leader="none" w:pos="66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36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1, 2007, there were outstanding 50,867,054 shares of Class A Nonvoting Common Stock and 3,538,628 shares of Class B Voting Common Stock. The Class B Voting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20" w:type="dxa"/>
            <w:vAlign w:val="bottom"/>
            <w:gridSpan w:val="2"/>
          </w:tcPr>
          <w:p>
            <w:pPr>
              <w:jc w:val="center"/>
              <w:ind w:right="4320"/>
              <w:spacing w:after="0"/>
              <w:rPr>
                <w:sz w:val="20"/>
                <w:szCs w:val="20"/>
                <w:color w:val="auto"/>
              </w:rPr>
            </w:pPr>
            <w:r>
              <w:rPr>
                <w:rFonts w:ascii="Arial" w:cs="Arial" w:eastAsia="Arial" w:hAnsi="Arial"/>
                <w:sz w:val="18"/>
                <w:szCs w:val="18"/>
                <w:color w:val="auto"/>
                <w:w w:val="93"/>
              </w:rPr>
              <w:t>FORM 10-Q</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00" w:type="dxa"/>
            <w:vAlign w:val="bottom"/>
            <w:gridSpan w:val="3"/>
          </w:tcPr>
          <w:p>
            <w:pPr>
              <w:jc w:val="center"/>
              <w:ind w:right="3760"/>
              <w:spacing w:after="0"/>
              <w:rPr>
                <w:sz w:val="20"/>
                <w:szCs w:val="20"/>
                <w:color w:val="auto"/>
              </w:rPr>
            </w:pPr>
            <w:r>
              <w:rPr>
                <w:rFonts w:ascii="Arial" w:cs="Arial" w:eastAsia="Arial" w:hAnsi="Arial"/>
                <w:sz w:val="18"/>
                <w:szCs w:val="18"/>
                <w:color w:val="auto"/>
                <w:w w:val="96"/>
              </w:rPr>
              <w:t>BRADY CORPORATION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2"/>
          </w:tcPr>
          <w:p>
            <w:pPr>
              <w:jc w:val="center"/>
              <w:ind w:right="4320"/>
              <w:spacing w:after="0"/>
              <w:rPr>
                <w:sz w:val="20"/>
                <w:szCs w:val="20"/>
                <w:color w:val="auto"/>
              </w:rPr>
            </w:pPr>
            <w:r>
              <w:rPr>
                <w:rFonts w:ascii="Arial" w:cs="Arial" w:eastAsia="Arial" w:hAnsi="Arial"/>
                <w:sz w:val="18"/>
                <w:szCs w:val="18"/>
                <w:color w:val="auto"/>
              </w:rPr>
              <w:t>INDEX</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6"/>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420" w:type="dxa"/>
            <w:vAlign w:val="bottom"/>
            <w:gridSpan w:val="10"/>
            <w:vMerge w:val="restart"/>
          </w:tcPr>
          <w:p>
            <w:pPr>
              <w:spacing w:after="0"/>
              <w:rPr>
                <w:sz w:val="24"/>
                <w:szCs w:val="2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6"/>
            <w:vMerge w:val="continue"/>
          </w:tcPr>
          <w:p>
            <w:pPr>
              <w:spacing w:after="0"/>
              <w:rPr>
                <w:sz w:val="14"/>
                <w:szCs w:val="14"/>
                <w:color w:val="auto"/>
              </w:rPr>
            </w:pPr>
          </w:p>
        </w:tc>
        <w:tc>
          <w:tcPr>
            <w:tcW w:w="8420" w:type="dxa"/>
            <w:vAlign w:val="bottom"/>
            <w:gridSpan w:val="10"/>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2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2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3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7"/>
          </w:tcPr>
          <w:p>
            <w:pPr>
              <w:spacing w:after="0"/>
              <w:rPr>
                <w:sz w:val="24"/>
                <w:szCs w:val="24"/>
                <w:color w:val="auto"/>
              </w:rPr>
            </w:pPr>
          </w:p>
        </w:tc>
        <w:tc>
          <w:tcPr>
            <w:tcW w:w="552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862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3800" w:type="dxa"/>
            <w:vAlign w:val="bottom"/>
            <w:tcBorders>
              <w:bottom w:val="single" w:sz="8" w:color="0000EE"/>
            </w:tcBorders>
            <w:gridSpan w:val="10"/>
          </w:tcPr>
          <w:p>
            <w:pPr>
              <w:ind w:left="20"/>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Submission of Matters to a Vote of Security Holders</w:t>
              </w:r>
            </w:hyperlink>
          </w:p>
        </w:tc>
        <w:tc>
          <w:tcPr>
            <w:tcW w:w="61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9900" w:type="dxa"/>
            <w:vAlign w:val="bottom"/>
            <w:gridSpan w:val="13"/>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October 31, 2007</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170,599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16,490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($9,583 and $9,109, respectively)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256,558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78,793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22,710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39,853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141,356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44,289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629,292</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753,908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146,439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30,379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21,111</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92,735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254,703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372,411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197,073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175,338</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174,614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1,758,512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97,171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62,156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263,945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280,054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478,573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62,850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805,368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807,845</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Class A nonvoting common stock — Issued and outstanding 50,847,654 and 50,586,524 shares, respectively</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276,304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567,605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953,144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891,012</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1,758,512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1,698,857</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0" w:gutter="0" w:footer="0" w:header="0"/>
        </w:sect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19" w:right="239" w:bottom="0" w:gutter="0" w:footer="0" w:header="0"/>
          <w:type w:val="continuous"/>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60" w:type="dxa"/>
            <w:vAlign w:val="bottom"/>
            <w:gridSpan w:val="5"/>
          </w:tcPr>
          <w:p>
            <w:pPr>
              <w:jc w:val="center"/>
              <w:ind w:right="20"/>
              <w:spacing w:after="0"/>
              <w:rPr>
                <w:sz w:val="20"/>
                <w:szCs w:val="20"/>
                <w:color w:val="auto"/>
              </w:rPr>
            </w:pPr>
            <w:r>
              <w:rPr>
                <w:rFonts w:ascii="Arial" w:cs="Arial" w:eastAsia="Arial" w:hAnsi="Arial"/>
                <w:sz w:val="14"/>
                <w:szCs w:val="14"/>
                <w:color w:val="auto"/>
                <w:w w:val="92"/>
              </w:rPr>
              <w:t>Three Months Ended October 31,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(Unaudited)</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9"/>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380,134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332,259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192,467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168,131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187,667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164,128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8,978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8,532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120,351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103,655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129,329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112,187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32"/>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58,338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51,941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51,736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47,844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15,366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13,396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36,370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34,448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0.67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0.64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0.66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0.14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0.63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0.64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0.12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53,734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55,121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54,605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p>
      <w:pPr>
        <w:jc w:val="center"/>
        <w:ind w:left="9140"/>
        <w:spacing w:after="0"/>
        <w:rPr>
          <w:sz w:val="20"/>
          <w:szCs w:val="20"/>
          <w:color w:val="auto"/>
        </w:rPr>
      </w:pPr>
      <w:r>
        <w:rPr>
          <w:rFonts w:ascii="Arial" w:cs="Arial" w:eastAsia="Arial" w:hAnsi="Arial"/>
          <w:sz w:val="14"/>
          <w:szCs w:val="14"/>
          <w:color w:val="auto"/>
        </w:rPr>
        <w:t>Three Months Ended</w:t>
      </w:r>
    </w:p>
    <w:p>
      <w:pPr>
        <w:ind w:left="9940"/>
        <w:spacing w:after="0" w:line="221" w:lineRule="auto"/>
        <w:rPr>
          <w:sz w:val="20"/>
          <w:szCs w:val="20"/>
          <w:color w:val="auto"/>
        </w:rPr>
      </w:pPr>
      <w:r>
        <w:rPr>
          <w:rFonts w:ascii="Arial" w:cs="Arial" w:eastAsia="Arial" w:hAnsi="Arial"/>
          <w:sz w:val="14"/>
          <w:szCs w:val="14"/>
          <w:color w:val="auto"/>
        </w:rPr>
        <w:t>October 31,</w:t>
      </w:r>
    </w:p>
    <w:p>
      <w:pPr>
        <w:ind w:left="9940"/>
        <w:spacing w:after="0" w:line="231" w:lineRule="auto"/>
        <w:rPr>
          <w:sz w:val="20"/>
          <w:szCs w:val="20"/>
          <w:color w:val="auto"/>
        </w:rPr>
      </w:pPr>
      <w:r>
        <w:rPr>
          <w:rFonts w:ascii="Arial" w:cs="Arial" w:eastAsia="Arial" w:hAnsi="Arial"/>
          <w:sz w:val="14"/>
          <w:szCs w:val="14"/>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2007</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36,370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14,168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Loss on disposal of property, plant &amp;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(10,880)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(13,278)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33,890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7,860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(56,256)</w:t>
            </w:r>
          </w:p>
        </w:tc>
        <w:tc>
          <w:tcPr>
            <w:tcW w:w="0" w:type="dxa"/>
            <w:vAlign w:val="bottom"/>
          </w:tcPr>
          <w:p>
            <w:pPr>
              <w:spacing w:after="0"/>
              <w:rPr>
                <w:sz w:val="1"/>
                <w:szCs w:val="1"/>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from the exercise of stock options and deferred compensation distributions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00" w:type="dxa"/>
            <w:vAlign w:val="bottom"/>
          </w:tcPr>
          <w:p>
            <w:pPr>
              <w:ind w:left="1000"/>
              <w:spacing w:after="0"/>
              <w:rPr>
                <w:sz w:val="20"/>
                <w:szCs w:val="20"/>
                <w:color w:val="auto"/>
              </w:rPr>
            </w:pPr>
            <w:r>
              <w:rPr>
                <w:rFonts w:ascii="Arial" w:cs="Arial" w:eastAsia="Arial" w:hAnsi="Arial"/>
                <w:sz w:val="18"/>
                <w:szCs w:val="18"/>
                <w:color w:val="auto"/>
              </w:rPr>
              <w:t>Net cash (used in) provided by financing activities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27,753</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142,846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113,008</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170,599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paid for acquisitions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and the impact of adopting Financial Accounting Standards Board (“FASB”) Interpretation No. 48, “Accounting for Uncertainty in Income Taxes” (“FIN 48”) (see Note I for further information) as of August 1, 2007, necessary to present fairly the financial position of the Company as of October 31, 2007 and July 3l, 2007, and its results of operations and cash flows for the three months ended October 31, 2007 and 2006. The condensed consolidated balance sheet as of July 31, 2007 has been derived from the audited consolidated financial statements of that date and condensed.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74"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quarter ended October 31, 2007,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Direct</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rPr>
              <w:t>Brady</w:t>
            </w: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rPr>
              <w:t>Marketing &amp;</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People ID</w:t>
            </w: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Europe</w:t>
            </w:r>
          </w:p>
        </w:tc>
        <w:tc>
          <w:tcPr>
            <w:tcW w:w="360" w:type="dxa"/>
            <w:vAlign w:val="bottom"/>
            <w:vMerge w:val="restart"/>
          </w:tcPr>
          <w:p>
            <w:pPr>
              <w:spacing w:after="0"/>
              <w:rPr>
                <w:sz w:val="12"/>
                <w:szCs w:val="12"/>
                <w:color w:val="auto"/>
              </w:rPr>
            </w:pPr>
          </w:p>
        </w:tc>
        <w:tc>
          <w:tcPr>
            <w:tcW w:w="13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Asia-Pacific</w:t>
            </w:r>
          </w:p>
        </w:tc>
        <w:tc>
          <w:tcPr>
            <w:tcW w:w="32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Americas</w:t>
            </w:r>
          </w:p>
        </w:tc>
        <w:tc>
          <w:tcPr>
            <w:tcW w:w="6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Americas</w:t>
            </w:r>
          </w:p>
        </w:tc>
        <w:tc>
          <w:tcPr>
            <w:tcW w:w="6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$ 143,775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260,299</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$ 163,699</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$ 169,677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$ 737,450</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Adjustments for prior year acquisitions</w:t>
            </w:r>
          </w:p>
        </w:tc>
        <w:tc>
          <w:tcPr>
            <w:tcW w:w="1360" w:type="dxa"/>
            <w:vAlign w:val="bottom"/>
            <w:gridSpan w:val="4"/>
          </w:tcPr>
          <w:p>
            <w:pPr>
              <w:jc w:val="right"/>
              <w:ind w:right="6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422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(269)</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3,765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6,897</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4,138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Balance as of October 31, 2007</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$ 143,728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262,273</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$ 170,327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$ 177,580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$ 753,908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73" w:lineRule="auto"/>
        <w:rPr>
          <w:sz w:val="20"/>
          <w:szCs w:val="20"/>
          <w:color w:val="auto"/>
        </w:rPr>
      </w:pPr>
      <w:r>
        <w:rPr>
          <w:rFonts w:ascii="Arial" w:cs="Arial" w:eastAsia="Arial" w:hAnsi="Arial"/>
          <w:sz w:val="17"/>
          <w:szCs w:val="17"/>
          <w:color w:val="auto"/>
        </w:rPr>
        <w:t>Goodwill increased $3,187 during the three months ended October 31, 2007 as a result of adjustments to the preliminary allocation of the purchase price for acquisitions completed in fiscal 2007. The largest component of the increase related to the acquisition of Comprehensive Identification Products, Inc. (“CIPI”), which added $3,668 and was partially offset by a reduction to goodwill of $548 related to the adoption of FIN 48 (see Note I for further information). Of the $3,668 increase in goodwill attributed to the allocation of the purchase price for CIPI, $1,609 related to the adoption of FIN 48, $1,250 was for employee termination costs, and the remaining $809 related to various exit costs associated with the closure of a facility. The remaining $13,271 increase to goodwill during the quarter was attributable to the effects of foreign currency translation.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October 31, 2007</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2"/>
              </w:rPr>
              <w:t>July 31, 2007</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Book</w:t>
            </w:r>
          </w:p>
        </w:tc>
        <w:tc>
          <w:tcPr>
            <w:tcW w:w="14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Period</w:t>
            </w: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Period</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8,407</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2,318</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8,392</w:t>
            </w:r>
          </w:p>
        </w:tc>
        <w:tc>
          <w:tcPr>
            <w:tcW w:w="2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1,287</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136,758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94,506</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(36,674)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Non-compete agreements</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4,769</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Other</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42,991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42,758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207,866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146,439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204,446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(54,685)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Financial Statements at October 31, 2007 differs from the value assigned to them in the allocation of purchase price due to the effect of fluctuations in the exchange rates used to translate financial statements into the United States Dollar between the date of acquisition and October 31, 2007.</w:t>
      </w:r>
    </w:p>
    <w:p>
      <w:pPr>
        <w:spacing w:after="0" w:line="73" w:lineRule="exact"/>
        <w:rPr>
          <w:sz w:val="20"/>
          <w:szCs w:val="20"/>
          <w:color w:val="auto"/>
        </w:rPr>
      </w:pPr>
    </w:p>
    <w:p>
      <w:pPr>
        <w:ind w:right="440" w:firstLine="215"/>
        <w:spacing w:after="0" w:line="264" w:lineRule="auto"/>
        <w:rPr>
          <w:sz w:val="20"/>
          <w:szCs w:val="20"/>
          <w:color w:val="auto"/>
        </w:rPr>
      </w:pPr>
      <w:r>
        <w:rPr>
          <w:rFonts w:ascii="Arial" w:cs="Arial" w:eastAsia="Arial" w:hAnsi="Arial"/>
          <w:sz w:val="18"/>
          <w:szCs w:val="18"/>
          <w:color w:val="auto"/>
        </w:rPr>
        <w:t>Amortization expense on intangible assets was $5,905 and $5,240 for the three-month periods ended October 31, 2007 and 2006, respectively. The amortization over each of the next five fiscal years is projected to be $24,131, $23,138, $22,265, $18,674 and $9,595 for the years ending July 31, 2008, 2009, 2010, 2011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17" w:lineRule="exact"/>
        <w:rPr>
          <w:sz w:val="20"/>
          <w:szCs w:val="20"/>
          <w:color w:val="auto"/>
        </w:rPr>
      </w:pPr>
    </w:p>
    <w:p>
      <w:pPr>
        <w:jc w:val="both"/>
        <w:ind w:right="360" w:firstLine="222"/>
        <w:spacing w:after="0" w:line="286" w:lineRule="auto"/>
        <w:rPr>
          <w:sz w:val="20"/>
          <w:szCs w:val="20"/>
          <w:color w:val="auto"/>
        </w:rPr>
      </w:pPr>
      <w:r>
        <w:rPr>
          <w:rFonts w:ascii="Arial" w:cs="Arial" w:eastAsia="Arial" w:hAnsi="Arial"/>
          <w:sz w:val="17"/>
          <w:szCs w:val="17"/>
          <w:color w:val="auto"/>
        </w:rPr>
        <w:t>Total comprehensive income, which was comprised of net income, foreign currency translation adjustments, net unrealized gains and losses from cash flow hedges and other investments, the unamortized gain on the post-retirement medical, dental and vision plan, and their related tax effects amounted to approximately $61,044 and $38,621 for the three months ended October 31, 2007 and 2006,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98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income (numerator for basic and diluted Class A net income per share)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36,370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35,511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Denominator for basic net income per share for both Class A and Class B</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54,350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Denominator for diluted net income per share for both Class A and Class B</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55,121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Basic</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Options to purchase 1,280,500 and 629,500 shares of Class A Nonvoting Common Stock were not included in the computation of diluted net income per share for the quarters ended October 31, 2007 and 2006, respectively, because the option exercise price was greater than the average market price of the common shares and, therefore, the effect would be anti-dilutive.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117"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The Company’s reportable segments are businesses that are each managed separately. As a result of recent organizational changes within the executive leadership team in which management of the manufacturing facilities was aligned with the geographic region of the facility, the Company has revised its reportable segments and has restated the corresponding segment information from its previous geographical based structure for the prior year. The Company has four reportable segments: Brady Americas, Direct Marketing &amp; People ID Americas, Europe and Asia-Pacific. The Brady Americas reportable segment includes businesses that focus on MRO market products and OEM market products sold to customers in North and South America through distributors or a direct sales force. The Direct Marketing &amp; People ID Americas reportable segment includes businesses that market their products through business-to-business direct mail, catalogs, and telemarketing, distribution and a direct sales force in North and South Americas. The Europe and Asia-Pacific reportable segments have not changed from prior year disclosures. Following is a summary of segment information for the three months ended October 31, 2007 and 2006: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center"/>
              <w:ind w:right="274"/>
              <w:spacing w:after="0"/>
              <w:rPr>
                <w:sz w:val="20"/>
                <w:szCs w:val="20"/>
                <w:color w:val="auto"/>
              </w:rPr>
            </w:pPr>
            <w:r>
              <w:rPr>
                <w:rFonts w:ascii="Arial" w:cs="Arial" w:eastAsia="Arial" w:hAnsi="Arial"/>
                <w:sz w:val="14"/>
                <w:szCs w:val="14"/>
                <w:b w:val="1"/>
                <w:bCs w:val="1"/>
                <w:color w:val="auto"/>
                <w:w w:val="95"/>
              </w:rPr>
              <w:t>Direct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Brady</w:t>
            </w:r>
          </w:p>
        </w:tc>
        <w:tc>
          <w:tcPr>
            <w:tcW w:w="2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Marketing &amp;</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People ID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Europe</w:t>
            </w:r>
          </w:p>
        </w:tc>
        <w:tc>
          <w:tcPr>
            <w:tcW w:w="24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Asia-Pacific</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7"/>
              </w:rPr>
              <w:t>Subtotals</w:t>
            </w: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Americas</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1"/>
              </w:rPr>
              <w:t>Americas</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31, 2007:</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20"/>
              <w:spacing w:after="0"/>
              <w:rPr>
                <w:sz w:val="20"/>
                <w:szCs w:val="20"/>
                <w:color w:val="auto"/>
              </w:rPr>
            </w:pPr>
            <w:r>
              <w:rPr>
                <w:rFonts w:ascii="Arial" w:cs="Arial" w:eastAsia="Arial" w:hAnsi="Arial"/>
                <w:sz w:val="18"/>
                <w:szCs w:val="18"/>
                <w:color w:val="auto"/>
              </w:rPr>
              <w:t>customers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w w:val="89"/>
              </w:rPr>
              <w:t>105,235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69,540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w w:val="89"/>
              </w:rPr>
              <w:t>108,914</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96,445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380,134</w:t>
            </w:r>
          </w:p>
        </w:tc>
        <w:tc>
          <w:tcPr>
            <w:tcW w:w="240" w:type="dxa"/>
            <w:vAlign w:val="bottom"/>
          </w:tcPr>
          <w:p>
            <w:pPr>
              <w:spacing w:after="0"/>
              <w:rPr>
                <w:sz w:val="20"/>
                <w:szCs w:val="20"/>
                <w:color w:val="auto"/>
              </w:rPr>
            </w:pPr>
          </w:p>
        </w:tc>
        <w:tc>
          <w:tcPr>
            <w:tcW w:w="1320" w:type="dxa"/>
            <w:vAlign w:val="bottom"/>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380,134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14,405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2,985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24,151</w:t>
            </w: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(24,151)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24,459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19,648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29,900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19,390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93,397</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(2,237)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91,160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358,028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6"/>
              </w:rPr>
              <w:t>414,809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358,222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398,990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9"/>
              </w:rPr>
              <w:t>1,530,049</w:t>
            </w: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228,463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1,758,512</w:t>
            </w: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20"/>
              <w:spacing w:after="0"/>
              <w:rPr>
                <w:sz w:val="20"/>
                <w:szCs w:val="20"/>
                <w:color w:val="auto"/>
              </w:rPr>
            </w:pPr>
            <w:r>
              <w:rPr>
                <w:rFonts w:ascii="Arial" w:cs="Arial" w:eastAsia="Arial" w:hAnsi="Arial"/>
                <w:sz w:val="18"/>
                <w:szCs w:val="18"/>
                <w:color w:val="auto"/>
              </w:rPr>
              <w:t>October 31, 2006:</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Revenues from external</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82,759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64,184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92,365</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92,951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332,259</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332,259</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12,218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786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5,991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19,707</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($19,707)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20,715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16,803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23,005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22,137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82,660</w:t>
            </w:r>
          </w:p>
        </w:tc>
        <w:tc>
          <w:tcPr>
            <w:tcW w:w="15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79,850</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w w:val="89"/>
              </w:rPr>
              <w:t>270,585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74"/>
              <w:spacing w:after="0"/>
              <w:rPr>
                <w:sz w:val="20"/>
                <w:szCs w:val="20"/>
                <w:color w:val="auto"/>
              </w:rPr>
            </w:pPr>
            <w:r>
              <w:rPr>
                <w:rFonts w:ascii="Arial" w:cs="Arial" w:eastAsia="Arial" w:hAnsi="Arial"/>
                <w:sz w:val="18"/>
                <w:szCs w:val="18"/>
                <w:color w:val="auto"/>
                <w:w w:val="86"/>
              </w:rPr>
              <w:t>392,697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w w:val="89"/>
              </w:rPr>
              <w:t>258,039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370,067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89"/>
              </w:rPr>
              <w:t>1,291,388</w:t>
            </w: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127,871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w w:val="87"/>
              </w:rPr>
              <w:t>1,419,259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income before income taxes for the three months ended October 31, 2007 and 2006:</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ind w:left="99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5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93,397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(32,822)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(6,720)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51,736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(15,366)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5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36,370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100" w:type="dxa"/>
            <w:vAlign w:val="bottom"/>
            <w:vMerge w:val="restart"/>
          </w:tcPr>
          <w:p>
            <w:pPr>
              <w:jc w:val="right"/>
              <w:ind w:right="343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—Stock-Based Compensation</w:t>
      </w:r>
    </w:p>
    <w:p>
      <w:pPr>
        <w:spacing w:after="0" w:line="117"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2007 and forward expire 10 years from the date of grant.</w:t>
      </w:r>
    </w:p>
    <w:p>
      <w:pPr>
        <w:spacing w:after="0" w:line="71"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of October 31, 2007, the Company has reserved 4,182,608 shares of Class A Nonvoting Common Stock for outstanding stock options and 1,721,000 shares of Class A Nonvoting Common Stock for future issuance of stock options under the various plans. The Company uses treasury stock or will issue new Class A Nonvoting Common Stock to deliver shares under these plans.</w:t>
      </w:r>
    </w:p>
    <w:p>
      <w:pPr>
        <w:spacing w:after="0" w:line="73"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accounts for share-based compensation awards in accordance with SFAS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October 31, 2007 and 2006 was $3,257 ($1,987 net of taxes) and $1,559 ($951 net of taxes), respectively. As of October 31, 2007, total unrecognized compensation cost related to share-based compensation awards was approximately $12,906 pre-tax, net of estimated forfeitures, which the Company expects to recognize over a weighted-average period of approximately 1.9 years.</w:t>
      </w:r>
    </w:p>
    <w:p>
      <w:pPr>
        <w:spacing w:after="0" w:line="85"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 has estimated the fair value of its performance-based option awards granted during the three months ended October 31, 2007 and 2006 using the Black-Scholes option valuation model. The weighted-average assumptions used in the Black-Scholes valuation model are reflected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60" w:type="dxa"/>
            <w:vAlign w:val="bottom"/>
            <w:gridSpan w:val="2"/>
          </w:tcPr>
          <w:p>
            <w:pPr>
              <w:spacing w:after="0"/>
              <w:rPr>
                <w:sz w:val="20"/>
                <w:szCs w:val="20"/>
                <w:color w:val="auto"/>
              </w:rPr>
            </w:pPr>
            <w:r>
              <w:rPr>
                <w:rFonts w:ascii="Arial" w:cs="Arial" w:eastAsia="Arial" w:hAnsi="Arial"/>
                <w:sz w:val="14"/>
                <w:szCs w:val="14"/>
                <w:color w:val="auto"/>
              </w:rPr>
              <w:t>Black-Scholes Option Valuation Assumptions</w:t>
            </w:r>
          </w:p>
        </w:tc>
        <w:tc>
          <w:tcPr>
            <w:tcW w:w="520" w:type="dxa"/>
            <w:vAlign w:val="bottom"/>
          </w:tcPr>
          <w:p>
            <w:pPr>
              <w:spacing w:after="0"/>
              <w:rPr>
                <w:sz w:val="14"/>
                <w:szCs w:val="14"/>
                <w:color w:val="auto"/>
              </w:rPr>
            </w:pPr>
          </w:p>
        </w:tc>
        <w:tc>
          <w:tcPr>
            <w:tcW w:w="1220" w:type="dxa"/>
            <w:vAlign w:val="bottom"/>
          </w:tcPr>
          <w:p>
            <w:pPr>
              <w:jc w:val="right"/>
              <w:ind w:right="59"/>
              <w:spacing w:after="0"/>
              <w:rPr>
                <w:sz w:val="20"/>
                <w:szCs w:val="20"/>
                <w:color w:val="auto"/>
              </w:rPr>
            </w:pPr>
            <w:r>
              <w:rPr>
                <w:rFonts w:ascii="Arial" w:cs="Arial" w:eastAsia="Arial" w:hAnsi="Arial"/>
                <w:sz w:val="14"/>
                <w:szCs w:val="14"/>
                <w:color w:val="auto"/>
              </w:rPr>
              <w:t>October 31,2007</w:t>
            </w:r>
          </w:p>
        </w:tc>
        <w:tc>
          <w:tcPr>
            <w:tcW w:w="500" w:type="dxa"/>
            <w:vAlign w:val="bottom"/>
          </w:tcPr>
          <w:p>
            <w:pPr>
              <w:spacing w:after="0"/>
              <w:rPr>
                <w:sz w:val="14"/>
                <w:szCs w:val="14"/>
                <w:color w:val="auto"/>
              </w:rPr>
            </w:pPr>
          </w:p>
        </w:tc>
        <w:tc>
          <w:tcPr>
            <w:tcW w:w="1220" w:type="dxa"/>
            <w:vAlign w:val="bottom"/>
          </w:tcPr>
          <w:p>
            <w:pPr>
              <w:jc w:val="right"/>
              <w:ind w:right="39"/>
              <w:spacing w:after="0"/>
              <w:rPr>
                <w:sz w:val="20"/>
                <w:szCs w:val="20"/>
                <w:color w:val="auto"/>
              </w:rPr>
            </w:pPr>
            <w:r>
              <w:rPr>
                <w:rFonts w:ascii="Arial" w:cs="Arial" w:eastAsia="Arial" w:hAnsi="Arial"/>
                <w:sz w:val="14"/>
                <w:szCs w:val="14"/>
                <w:color w:val="auto"/>
              </w:rPr>
              <w:t>October 31,2006</w:t>
            </w: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6.57</w:t>
            </w: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gridSpan w:val="2"/>
          </w:tcPr>
          <w:p>
            <w:pPr>
              <w:jc w:val="right"/>
              <w:ind w:right="179"/>
              <w:spacing w:after="0"/>
              <w:rPr>
                <w:sz w:val="20"/>
                <w:szCs w:val="20"/>
                <w:color w:val="auto"/>
              </w:rPr>
            </w:pPr>
            <w:r>
              <w:rPr>
                <w:rFonts w:ascii="Arial" w:cs="Arial" w:eastAsia="Arial" w:hAnsi="Arial"/>
                <w:sz w:val="18"/>
                <w:szCs w:val="18"/>
                <w:color w:val="auto"/>
              </w:rPr>
              <w:t>33.68%</w:t>
            </w:r>
          </w:p>
        </w:tc>
        <w:tc>
          <w:tcPr>
            <w:tcW w:w="1720" w:type="dxa"/>
            <w:vAlign w:val="bottom"/>
            <w:gridSpan w:val="2"/>
          </w:tcPr>
          <w:p>
            <w:pPr>
              <w:jc w:val="right"/>
              <w:ind w:right="179"/>
              <w:spacing w:after="0"/>
              <w:rPr>
                <w:sz w:val="20"/>
                <w:szCs w:val="20"/>
                <w:color w:val="auto"/>
              </w:rPr>
            </w:pPr>
            <w:r>
              <w:rPr>
                <w:rFonts w:ascii="Arial" w:cs="Arial" w:eastAsia="Arial" w:hAnsi="Arial"/>
                <w:sz w:val="18"/>
                <w:szCs w:val="18"/>
                <w:color w:val="auto"/>
              </w:rPr>
              <w:t>34.66%</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1.58%</w:t>
            </w:r>
          </w:p>
        </w:tc>
        <w:tc>
          <w:tcPr>
            <w:tcW w:w="172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gridSpan w:val="2"/>
          </w:tcPr>
          <w:p>
            <w:pPr>
              <w:jc w:val="right"/>
              <w:ind w:right="179"/>
              <w:spacing w:after="0"/>
              <w:rPr>
                <w:sz w:val="20"/>
                <w:szCs w:val="20"/>
                <w:color w:val="auto"/>
              </w:rPr>
            </w:pPr>
            <w:r>
              <w:rPr>
                <w:rFonts w:ascii="Arial" w:cs="Arial" w:eastAsia="Arial" w:hAnsi="Arial"/>
                <w:sz w:val="18"/>
                <w:szCs w:val="18"/>
                <w:color w:val="auto"/>
              </w:rPr>
              <w:t>4.66%</w:t>
            </w:r>
          </w:p>
        </w:tc>
        <w:tc>
          <w:tcPr>
            <w:tcW w:w="1720" w:type="dxa"/>
            <w:vAlign w:val="bottom"/>
            <w:gridSpan w:val="2"/>
          </w:tcPr>
          <w:p>
            <w:pPr>
              <w:jc w:val="right"/>
              <w:ind w:right="179"/>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7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$35.35</w:t>
            </w:r>
          </w:p>
        </w:tc>
        <w:tc>
          <w:tcPr>
            <w:tcW w:w="17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$33.32</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1740" w:type="dxa"/>
            <w:vAlign w:val="bottom"/>
            <w:gridSpan w:val="2"/>
          </w:tcPr>
          <w:p>
            <w:pPr>
              <w:jc w:val="right"/>
              <w:ind w:right="339"/>
              <w:spacing w:after="0"/>
              <w:rPr>
                <w:sz w:val="20"/>
                <w:szCs w:val="20"/>
                <w:color w:val="auto"/>
              </w:rPr>
            </w:pPr>
            <w:r>
              <w:rPr>
                <w:rFonts w:ascii="Arial" w:cs="Arial" w:eastAsia="Arial" w:hAnsi="Arial"/>
                <w:sz w:val="18"/>
                <w:szCs w:val="18"/>
                <w:color w:val="auto"/>
              </w:rPr>
              <w:t>$35.35</w:t>
            </w:r>
          </w:p>
        </w:tc>
        <w:tc>
          <w:tcPr>
            <w:tcW w:w="1720" w:type="dxa"/>
            <w:vAlign w:val="bottom"/>
            <w:gridSpan w:val="2"/>
          </w:tcPr>
          <w:p>
            <w:pPr>
              <w:jc w:val="right"/>
              <w:ind w:right="319"/>
              <w:spacing w:after="0"/>
              <w:rPr>
                <w:sz w:val="20"/>
                <w:szCs w:val="20"/>
                <w:color w:val="auto"/>
              </w:rPr>
            </w:pPr>
            <w:r>
              <w:rPr>
                <w:rFonts w:ascii="Arial" w:cs="Arial" w:eastAsia="Arial" w:hAnsi="Arial"/>
                <w:sz w:val="18"/>
                <w:szCs w:val="18"/>
                <w:color w:val="auto"/>
              </w:rPr>
              <w:t>$33.32</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7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$12.83</w:t>
            </w:r>
          </w:p>
        </w:tc>
        <w:tc>
          <w:tcPr>
            <w:tcW w:w="17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$12.57</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grant any service-based options during the three months ended October 31, 2007 and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2007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394"/>
              <w:spacing w:after="0" w:line="149" w:lineRule="exact"/>
              <w:rPr>
                <w:sz w:val="20"/>
                <w:szCs w:val="20"/>
                <w:color w:val="auto"/>
              </w:rPr>
            </w:pPr>
            <w:r>
              <w:rPr>
                <w:rFonts w:ascii="Arial" w:cs="Arial" w:eastAsia="Arial" w:hAnsi="Arial"/>
                <w:sz w:val="14"/>
                <w:szCs w:val="14"/>
                <w:color w:val="auto"/>
                <w:w w:val="94"/>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color w:val="auto"/>
                <w:w w:val="99"/>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74"/>
        </w:trPr>
        <w:tc>
          <w:tcPr>
            <w:tcW w:w="632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1200" w:type="dxa"/>
            <w:vAlign w:val="bottom"/>
            <w:gridSpan w:val="3"/>
          </w:tcPr>
          <w:p>
            <w:pPr>
              <w:jc w:val="right"/>
              <w:ind w:right="60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ind w:left="300"/>
              <w:spacing w:after="0"/>
              <w:rPr>
                <w:sz w:val="20"/>
                <w:szCs w:val="20"/>
                <w:color w:val="auto"/>
              </w:rPr>
            </w:pPr>
            <w:r>
              <w:rPr>
                <w:rFonts w:ascii="Arial" w:cs="Arial" w:eastAsia="Arial" w:hAnsi="Arial"/>
                <w:sz w:val="14"/>
                <w:szCs w:val="14"/>
                <w:color w:val="auto"/>
              </w:rPr>
              <w:t>Exercise Price</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Term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31, 2007</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4,182,739</w:t>
            </w: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26.36</w:t>
            </w:r>
          </w:p>
        </w:tc>
        <w:tc>
          <w:tcPr>
            <w:tcW w:w="1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New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268,000</w:t>
            </w:r>
          </w:p>
        </w:tc>
        <w:tc>
          <w:tcPr>
            <w:tcW w:w="34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35.35</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(261,130)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15.83</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(7,001)</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35.34</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4,182,608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27.43</w:t>
            </w:r>
          </w:p>
        </w:tc>
        <w:tc>
          <w:tcPr>
            <w:tcW w:w="1320" w:type="dxa"/>
            <w:vAlign w:val="bottom"/>
            <w:shd w:val="clear" w:color="auto" w:fill="CCEEFF"/>
          </w:tcPr>
          <w:p>
            <w:pPr>
              <w:jc w:val="right"/>
              <w:ind w:right="243"/>
              <w:spacing w:after="0"/>
              <w:rPr>
                <w:sz w:val="20"/>
                <w:szCs w:val="20"/>
                <w:color w:val="auto"/>
              </w:rPr>
            </w:pPr>
            <w:r>
              <w:rPr>
                <w:rFonts w:ascii="Arial" w:cs="Arial" w:eastAsia="Arial" w:hAnsi="Arial"/>
                <w:sz w:val="18"/>
                <w:szCs w:val="18"/>
                <w:color w:val="auto"/>
              </w:rPr>
              <w:t>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40,873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October 31, 2007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vMerge w:val="restart"/>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54"/>
              <w:spacing w:after="0"/>
              <w:rPr>
                <w:sz w:val="20"/>
                <w:szCs w:val="20"/>
                <w:color w:val="auto"/>
              </w:rPr>
            </w:pPr>
            <w:r>
              <w:rPr>
                <w:rFonts w:ascii="Arial" w:cs="Arial" w:eastAsia="Arial" w:hAnsi="Arial"/>
                <w:sz w:val="18"/>
                <w:szCs w:val="18"/>
                <w:color w:val="auto"/>
              </w:rPr>
              <w:t>22.37</w:t>
            </w:r>
          </w:p>
        </w:tc>
        <w:tc>
          <w:tcPr>
            <w:tcW w:w="1320" w:type="dxa"/>
            <w:vAlign w:val="bottom"/>
            <w:vMerge w:val="restart"/>
          </w:tcPr>
          <w:p>
            <w:pPr>
              <w:jc w:val="right"/>
              <w:ind w:right="243"/>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2,225,776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32,498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2007 and 2006, based upon the average market price during the period, was approximately $6,393 and $634, respectively. The total fair value of stock options vested during the three months ended October 31, 2007 and 2006, was approximately $47 and $59,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Stockholders’ Equity</w:t>
      </w:r>
    </w:p>
    <w:p>
      <w:pPr>
        <w:spacing w:after="0" w:line="117" w:lineRule="exact"/>
        <w:rPr>
          <w:sz w:val="20"/>
          <w:szCs w:val="20"/>
          <w:color w:val="auto"/>
        </w:rPr>
      </w:pPr>
    </w:p>
    <w:p>
      <w:pPr>
        <w:jc w:val="both"/>
        <w:ind w:right="160" w:firstLine="225"/>
        <w:spacing w:after="0" w:line="279" w:lineRule="auto"/>
        <w:rPr>
          <w:sz w:val="20"/>
          <w:szCs w:val="20"/>
          <w:color w:val="auto"/>
        </w:rPr>
      </w:pPr>
      <w:r>
        <w:rPr>
          <w:rFonts w:ascii="Arial" w:cs="Arial" w:eastAsia="Arial" w:hAnsi="Arial"/>
          <w:sz w:val="17"/>
          <w:szCs w:val="17"/>
          <w:color w:val="auto"/>
        </w:rPr>
        <w:t>In September 2007,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three months ended October 31, 2007, the Company did not reacquire any shares under the repurchase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H: Employee Benefit Plans</w:t>
      </w:r>
    </w:p>
    <w:p>
      <w:pPr>
        <w:spacing w:after="0" w:line="117"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The Company provides postretirement medical, dental and vision benefits (the “Plan”)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80"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158, “Employers’ Accounting for Defined Benefit Pension and Other Postretirement Plans.” The Company funds benefit costs on a pay-as-you-go basis. There have been no changes to the components of net periodic benefit cost or the amount that the Company expects to fund in fiscal 2008 from those reported thereto in Note 3 to the consolidated financial statements included in the Company’s latest annual report on Form 10-K for the year ended July 31, 2007.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I: Income Taxes</w:t>
      </w:r>
    </w:p>
    <w:p>
      <w:pPr>
        <w:spacing w:after="0" w:line="117"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On August 1, 2007, the Company adopted FIN 48. FIN 48 prescribes a recognition threshold that a tax position is required to meet before being recognized in the financial statements and provides guidance on derecognition, measurement, classification, interest and penalties, accounting in interim periods, and disclosure and transition issues.</w:t>
      </w:r>
    </w:p>
    <w:p>
      <w:pPr>
        <w:spacing w:after="0" w:line="7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adoption of FIN 48 resulted in a $900 charge to earnings retained in the business as of August 1, 2007 and a change in the classification of the liability on the balance sheet from accrued income taxes to other liabilities. As of August 1, 2007, the Company’s liability for uncertain tax positions was $15,900. Unrecognized tax benefits of $10,500 would affect the Company’s effective tax rate if recognized.</w:t>
      </w:r>
    </w:p>
    <w:p>
      <w:pPr>
        <w:spacing w:after="0" w:line="7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recognizes accrued interest and penalties, if any, related to unrecognized tax benefits in income taxes on the accompanying condensed consolidated statement of income. At August 1, 2007, the Company had accrued $2,200 for the potential payment of interest which is included in the $15,900 liability for uncertain tax positions. The amounts recognized in income taxes for interest and penalties during the quarter ended October 31, 2007 were not significant.</w:t>
      </w:r>
    </w:p>
    <w:p>
      <w:pPr>
        <w:spacing w:after="0" w:line="79"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foreign jurisdictions. The following table summarized the open tax years for the Company’s major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Jurisdiction</w:t>
            </w:r>
          </w:p>
        </w:tc>
        <w:tc>
          <w:tcPr>
            <w:tcW w:w="540" w:type="dxa"/>
            <w:vAlign w:val="bottom"/>
          </w:tcPr>
          <w:p>
            <w:pPr>
              <w:spacing w:after="0"/>
              <w:rPr>
                <w:sz w:val="14"/>
                <w:szCs w:val="14"/>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Open Tax Years</w:t>
            </w:r>
          </w:p>
        </w:tc>
      </w:tr>
      <w:tr>
        <w:trPr>
          <w:trHeight w:val="195"/>
        </w:trPr>
        <w:tc>
          <w:tcPr>
            <w:tcW w:w="9280" w:type="dxa"/>
            <w:vAlign w:val="bottom"/>
          </w:tcPr>
          <w:p>
            <w:pPr>
              <w:spacing w:after="0" w:line="195" w:lineRule="exact"/>
              <w:rPr>
                <w:sz w:val="20"/>
                <w:szCs w:val="20"/>
                <w:color w:val="auto"/>
              </w:rPr>
            </w:pPr>
            <w:r>
              <w:rPr>
                <w:rFonts w:ascii="Arial" w:cs="Arial" w:eastAsia="Arial" w:hAnsi="Arial"/>
                <w:sz w:val="18"/>
                <w:szCs w:val="18"/>
                <w:color w:val="auto"/>
              </w:rPr>
              <w:t>United States — Federal</w:t>
            </w:r>
          </w:p>
        </w:tc>
        <w:tc>
          <w:tcPr>
            <w:tcW w:w="540" w:type="dxa"/>
            <w:vAlign w:val="bottom"/>
          </w:tcPr>
          <w:p>
            <w:pPr>
              <w:spacing w:after="0"/>
              <w:rPr>
                <w:sz w:val="16"/>
                <w:szCs w:val="16"/>
                <w:color w:val="auto"/>
              </w:rPr>
            </w:pPr>
          </w:p>
        </w:tc>
        <w:tc>
          <w:tcPr>
            <w:tcW w:w="1600" w:type="dxa"/>
            <w:vAlign w:val="bottom"/>
          </w:tcPr>
          <w:p>
            <w:pPr>
              <w:ind w:left="320"/>
              <w:spacing w:after="0" w:line="195" w:lineRule="exact"/>
              <w:rPr>
                <w:sz w:val="20"/>
                <w:szCs w:val="20"/>
                <w:color w:val="auto"/>
              </w:rPr>
            </w:pPr>
            <w:r>
              <w:rPr>
                <w:rFonts w:ascii="Arial" w:cs="Arial" w:eastAsia="Arial" w:hAnsi="Arial"/>
                <w:sz w:val="18"/>
                <w:szCs w:val="18"/>
                <w:color w:val="auto"/>
              </w:rPr>
              <w:t>F’04 — F’07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France</w:t>
            </w:r>
          </w:p>
        </w:tc>
        <w:tc>
          <w:tcPr>
            <w:tcW w:w="540" w:type="dxa"/>
            <w:vAlign w:val="bottom"/>
          </w:tcPr>
          <w:p>
            <w:pPr>
              <w:spacing w:after="0"/>
              <w:rPr>
                <w:sz w:val="18"/>
                <w:szCs w:val="18"/>
                <w:color w:val="auto"/>
              </w:rPr>
            </w:pPr>
          </w:p>
        </w:tc>
        <w:tc>
          <w:tcPr>
            <w:tcW w:w="1600" w:type="dxa"/>
            <w:vAlign w:val="bottom"/>
          </w:tcPr>
          <w:p>
            <w:pPr>
              <w:ind w:left="320"/>
              <w:spacing w:after="0"/>
              <w:rPr>
                <w:sz w:val="20"/>
                <w:szCs w:val="20"/>
                <w:color w:val="auto"/>
              </w:rPr>
            </w:pPr>
            <w:r>
              <w:rPr>
                <w:rFonts w:ascii="Arial" w:cs="Arial" w:eastAsia="Arial" w:hAnsi="Arial"/>
                <w:sz w:val="18"/>
                <w:szCs w:val="18"/>
                <w:color w:val="auto"/>
              </w:rPr>
              <w:t>F’04 — F’07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Germany</w:t>
            </w:r>
          </w:p>
        </w:tc>
        <w:tc>
          <w:tcPr>
            <w:tcW w:w="540" w:type="dxa"/>
            <w:vAlign w:val="bottom"/>
          </w:tcPr>
          <w:p>
            <w:pPr>
              <w:spacing w:after="0"/>
              <w:rPr>
                <w:sz w:val="18"/>
                <w:szCs w:val="18"/>
                <w:color w:val="auto"/>
              </w:rPr>
            </w:pPr>
          </w:p>
        </w:tc>
        <w:tc>
          <w:tcPr>
            <w:tcW w:w="1600" w:type="dxa"/>
            <w:vAlign w:val="bottom"/>
          </w:tcPr>
          <w:p>
            <w:pPr>
              <w:ind w:left="320"/>
              <w:spacing w:after="0"/>
              <w:rPr>
                <w:sz w:val="20"/>
                <w:szCs w:val="20"/>
                <w:color w:val="auto"/>
              </w:rPr>
            </w:pPr>
            <w:r>
              <w:rPr>
                <w:rFonts w:ascii="Arial" w:cs="Arial" w:eastAsia="Arial" w:hAnsi="Arial"/>
                <w:sz w:val="18"/>
                <w:szCs w:val="18"/>
                <w:color w:val="auto"/>
              </w:rPr>
              <w:t>F’03 — F’07</w:t>
            </w:r>
          </w:p>
        </w:tc>
      </w:tr>
      <w:tr>
        <w:trPr>
          <w:trHeight w:val="230"/>
        </w:trPr>
        <w:tc>
          <w:tcPr>
            <w:tcW w:w="9280" w:type="dxa"/>
            <w:vAlign w:val="bottom"/>
          </w:tcPr>
          <w:p>
            <w:pPr>
              <w:spacing w:after="0"/>
              <w:rPr>
                <w:sz w:val="20"/>
                <w:szCs w:val="20"/>
                <w:color w:val="auto"/>
              </w:rPr>
            </w:pPr>
            <w:r>
              <w:rPr>
                <w:rFonts w:ascii="Arial" w:cs="Arial" w:eastAsia="Arial" w:hAnsi="Arial"/>
                <w:sz w:val="18"/>
                <w:szCs w:val="18"/>
                <w:color w:val="auto"/>
              </w:rPr>
              <w:t>United Kingdom</w:t>
            </w:r>
          </w:p>
        </w:tc>
        <w:tc>
          <w:tcPr>
            <w:tcW w:w="540" w:type="dxa"/>
            <w:vAlign w:val="bottom"/>
          </w:tcPr>
          <w:p>
            <w:pPr>
              <w:spacing w:after="0"/>
              <w:rPr>
                <w:sz w:val="20"/>
                <w:szCs w:val="20"/>
                <w:color w:val="auto"/>
              </w:rPr>
            </w:pPr>
          </w:p>
        </w:tc>
        <w:tc>
          <w:tcPr>
            <w:tcW w:w="1600" w:type="dxa"/>
            <w:vAlign w:val="bottom"/>
          </w:tcPr>
          <w:p>
            <w:pPr>
              <w:ind w:left="320"/>
              <w:spacing w:after="0"/>
              <w:rPr>
                <w:sz w:val="20"/>
                <w:szCs w:val="20"/>
                <w:color w:val="auto"/>
              </w:rPr>
            </w:pPr>
            <w:r>
              <w:rPr>
                <w:rFonts w:ascii="Arial" w:cs="Arial" w:eastAsia="Arial" w:hAnsi="Arial"/>
                <w:sz w:val="18"/>
                <w:szCs w:val="18"/>
                <w:color w:val="auto"/>
              </w:rPr>
              <w:t>F’05 — F’07</w:t>
            </w:r>
          </w:p>
        </w:tc>
      </w:tr>
    </w:tbl>
    <w:p>
      <w:pPr>
        <w:spacing w:after="0" w:line="94" w:lineRule="exact"/>
        <w:rPr>
          <w:sz w:val="20"/>
          <w:szCs w:val="20"/>
          <w:color w:val="auto"/>
        </w:rPr>
      </w:pPr>
    </w:p>
    <w:p>
      <w:pPr>
        <w:ind w:right="840" w:firstLine="215"/>
        <w:spacing w:after="0" w:line="375" w:lineRule="auto"/>
        <w:rPr>
          <w:sz w:val="20"/>
          <w:szCs w:val="20"/>
          <w:color w:val="auto"/>
        </w:rPr>
      </w:pPr>
      <w:r>
        <w:rPr>
          <w:rFonts w:ascii="Arial" w:cs="Arial" w:eastAsia="Arial" w:hAnsi="Arial"/>
          <w:sz w:val="18"/>
          <w:szCs w:val="18"/>
          <w:color w:val="auto"/>
        </w:rPr>
        <w:t>Approximately $2,000 of unrecognized tax benefits relate to items that are affected by expiring statute of limitations within the next 12 months. NOTE J: New Accounting Pronouncements</w:t>
      </w:r>
    </w:p>
    <w:p>
      <w:pPr>
        <w:spacing w:after="0" w:line="1" w:lineRule="exact"/>
        <w:rPr>
          <w:sz w:val="20"/>
          <w:szCs w:val="20"/>
          <w:color w:val="auto"/>
        </w:rPr>
      </w:pPr>
    </w:p>
    <w:p>
      <w:pPr>
        <w:jc w:val="both"/>
        <w:ind w:right="240" w:firstLine="225"/>
        <w:spacing w:after="0" w:line="297" w:lineRule="auto"/>
        <w:rPr>
          <w:sz w:val="20"/>
          <w:szCs w:val="20"/>
          <w:color w:val="auto"/>
        </w:rPr>
      </w:pPr>
      <w:r>
        <w:rPr>
          <w:rFonts w:ascii="Arial" w:cs="Arial" w:eastAsia="Arial" w:hAnsi="Arial"/>
          <w:sz w:val="16"/>
          <w:szCs w:val="16"/>
          <w:color w:val="auto"/>
        </w:rPr>
        <w:t>In September 2006, the FASB issued SFAS No. 157, “Fair Value Measurements.”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 be effective for fiscal years beginning after November 15, 2007. The Company is in the process of evaluating the impact that will result from adopting SFAS No. 157 and therefore is unable to disclose the impact SFAS No. 157 will have on its financial position and results of operations when such statement is adopted.</w:t>
      </w:r>
    </w:p>
    <w:p>
      <w:pPr>
        <w:spacing w:after="0" w:line="5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This statement permits entities to choose the fair value option to measure many financial instruments and certain other items at fair value that are not currently required to be measured at fair value. The objective is to improve financial reporting by providing entities with the opportunity to mitigate volatility in earnings caused by measuring related assets and liabilities differently without having to apply complex hedge accounting. This new statement will be effective for fiscal years beginning after November 15, 2007. The Company is in the process of evaluating the impact that will result from adopting SFAS No. 159 and therefore is unable to disclose the impact SFAS No. 159 will have on its financial position and results of operations when such statement is adopted.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NOTE K: Subsequent Event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3, 2007, the Company announced that David Mathieson resigned as chief financial officer of the company, effective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President and CEO, Frank M. Jaehnert, will assume the additional duties of chief financial officer until a successor is named.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right="100" w:firstLine="225"/>
        <w:spacing w:after="0" w:line="287" w:lineRule="auto"/>
        <w:rPr>
          <w:sz w:val="20"/>
          <w:szCs w:val="20"/>
          <w:color w:val="auto"/>
        </w:rPr>
      </w:pPr>
      <w:r>
        <w:rPr>
          <w:rFonts w:ascii="Arial" w:cs="Arial" w:eastAsia="Arial" w:hAnsi="Arial"/>
          <w:sz w:val="16"/>
          <w:szCs w:val="16"/>
          <w:color w:val="auto"/>
        </w:rPr>
        <w:t>Brady is an international manufacturer and marketer of identification solutions and specialty materials that identify and protect premises, products, and people. Its products include high-performance labels and signs, printing systems and software, label-application and data-collection systems, safety devices and precision die-cut materials. Founded in 1914, the Company serves customers in electronics, telecommunications, manufacturing, electrical, construction, laboratory, education, governmental, public utility, computer, transportation and a variety of other industries. The Company manufactures and sells products domestically and internationally through multiple channels including direct sales, distributor sales, mail-order catalogs, telemarketing, retail and electronic access through the Internet. The Company operates manufacturing or distribution facilities in Australia, Belgium, Brazil, Canada, China, Denmark, France, Germany, India, Italy, Japan, Malaysia, Mexico, The Netherlands, Norway, Poland, Singapore, Slovakia, South Korea, Sweden, Thailand, the United Kingdom and the United States. Brady sells through subsidiaries or sales offices in these countries, with additional sales through a dedicated team of international sales representatives in Hong Kong, the Philippines, Spain, Taiwan, Turkey and the United Arab Emirates. The Company further markets it products to parts of Eastern Europe, the Middle East, Africa and Russia. The Company believes that its reputation for innovation, commitment to quality and service, and dedicated employees have made it a world leader in the markets it serves.</w:t>
      </w:r>
    </w:p>
    <w:p>
      <w:pPr>
        <w:spacing w:after="0" w:line="65"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Sales for the quarter ended October 31, 2007, were up 14.4% to $380.1 million, compared to $332.3 million in the same period of fiscal 2007. Of the increase in sales, organic growth accounted for 1.7%, acquisitions added 7.5% and the effects of fluctuations in the exchange rates used to translate financial results into the United States Dollar added 5.2%. Net income for the quarter ended October 31, 2007, was $36.4 million or $0.66 per diluted Class A Nonvoting Common Share, up 5.6% from $34.4 million or $0.63 per diluted Class A Nonvoting Common Share reported in the first quarter of last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comparability of the operating results for the three months ended October 31, 2007 to the prior year has been significantly impacted by the following acquisitions completed in fiscal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Acquisitions</w:t>
            </w:r>
          </w:p>
        </w:tc>
        <w:tc>
          <w:tcPr>
            <w:tcW w:w="4480" w:type="dxa"/>
            <w:vAlign w:val="bottom"/>
          </w:tcPr>
          <w:p>
            <w:pPr>
              <w:jc w:val="center"/>
              <w:ind w:left="2551"/>
              <w:spacing w:after="0"/>
              <w:rPr>
                <w:sz w:val="20"/>
                <w:szCs w:val="20"/>
                <w:color w:val="auto"/>
              </w:rPr>
            </w:pPr>
            <w:r>
              <w:rPr>
                <w:rFonts w:ascii="Arial" w:cs="Arial" w:eastAsia="Arial" w:hAnsi="Arial"/>
                <w:sz w:val="14"/>
                <w:szCs w:val="14"/>
                <w:b w:val="1"/>
                <w:bCs w:val="1"/>
                <w:color w:val="auto"/>
                <w:w w:val="87"/>
              </w:rPr>
              <w:t>Segment</w:t>
            </w:r>
          </w:p>
        </w:tc>
        <w:tc>
          <w:tcPr>
            <w:tcW w:w="1360" w:type="dxa"/>
            <w:vAlign w:val="bottom"/>
          </w:tcPr>
          <w:p>
            <w:pPr>
              <w:jc w:val="center"/>
              <w:ind w:left="32"/>
              <w:spacing w:after="0"/>
              <w:rPr>
                <w:sz w:val="20"/>
                <w:szCs w:val="20"/>
                <w:color w:val="auto"/>
              </w:rPr>
            </w:pPr>
            <w:r>
              <w:rPr>
                <w:rFonts w:ascii="Arial" w:cs="Arial" w:eastAsia="Arial" w:hAnsi="Arial"/>
                <w:sz w:val="14"/>
                <w:szCs w:val="14"/>
                <w:b w:val="1"/>
                <w:bCs w:val="1"/>
                <w:color w:val="auto"/>
                <w:w w:val="93"/>
              </w:rPr>
              <w:t>Date Completed</w:t>
            </w: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CIPI</w:t>
            </w:r>
          </w:p>
        </w:tc>
        <w:tc>
          <w:tcPr>
            <w:tcW w:w="4480" w:type="dxa"/>
            <w:vAlign w:val="bottom"/>
            <w:shd w:val="clear" w:color="auto" w:fill="CCEEFF"/>
          </w:tcPr>
          <w:p>
            <w:pPr>
              <w:jc w:val="center"/>
              <w:ind w:left="2551"/>
              <w:spacing w:after="0" w:line="201" w:lineRule="exact"/>
              <w:rPr>
                <w:sz w:val="20"/>
                <w:szCs w:val="20"/>
                <w:color w:val="auto"/>
              </w:rPr>
            </w:pPr>
            <w:r>
              <w:rPr>
                <w:rFonts w:ascii="Arial" w:cs="Arial" w:eastAsia="Arial" w:hAnsi="Arial"/>
                <w:sz w:val="18"/>
                <w:szCs w:val="18"/>
                <w:color w:val="auto"/>
                <w:w w:val="97"/>
              </w:rPr>
              <w:t>Direct Marketing &amp;</w:t>
            </w:r>
          </w:p>
        </w:tc>
        <w:tc>
          <w:tcPr>
            <w:tcW w:w="1360" w:type="dxa"/>
            <w:vAlign w:val="bottom"/>
            <w:shd w:val="clear" w:color="auto" w:fill="CCEEFF"/>
          </w:tcPr>
          <w:p>
            <w:pPr>
              <w:jc w:val="center"/>
              <w:ind w:left="32"/>
              <w:spacing w:after="0" w:line="201" w:lineRule="exact"/>
              <w:rPr>
                <w:sz w:val="20"/>
                <w:szCs w:val="20"/>
                <w:color w:val="auto"/>
              </w:rPr>
            </w:pPr>
            <w:r>
              <w:rPr>
                <w:rFonts w:ascii="Arial" w:cs="Arial" w:eastAsia="Arial" w:hAnsi="Arial"/>
                <w:sz w:val="18"/>
                <w:szCs w:val="18"/>
                <w:color w:val="auto"/>
                <w:w w:val="90"/>
              </w:rPr>
              <w:t>August 2006</w:t>
            </w:r>
          </w:p>
        </w:tc>
      </w:tr>
      <w:tr>
        <w:trPr>
          <w:trHeight w:val="216"/>
        </w:trPr>
        <w:tc>
          <w:tcPr>
            <w:tcW w:w="5580" w:type="dxa"/>
            <w:vAlign w:val="bottom"/>
            <w:shd w:val="clear" w:color="auto" w:fill="CCEEFF"/>
          </w:tcPr>
          <w:p>
            <w:pPr>
              <w:spacing w:after="0"/>
              <w:rPr>
                <w:sz w:val="18"/>
                <w:szCs w:val="18"/>
                <w:color w:val="auto"/>
              </w:rPr>
            </w:pPr>
          </w:p>
        </w:tc>
        <w:tc>
          <w:tcPr>
            <w:tcW w:w="4480" w:type="dxa"/>
            <w:vAlign w:val="bottom"/>
            <w:shd w:val="clear" w:color="auto" w:fill="CCEEFF"/>
          </w:tcPr>
          <w:p>
            <w:pPr>
              <w:jc w:val="center"/>
              <w:ind w:left="2571"/>
              <w:spacing w:after="0"/>
              <w:rPr>
                <w:sz w:val="20"/>
                <w:szCs w:val="20"/>
                <w:color w:val="auto"/>
              </w:rPr>
            </w:pPr>
            <w:r>
              <w:rPr>
                <w:rFonts w:ascii="Arial" w:cs="Arial" w:eastAsia="Arial" w:hAnsi="Arial"/>
                <w:sz w:val="18"/>
                <w:szCs w:val="18"/>
                <w:color w:val="auto"/>
                <w:w w:val="91"/>
              </w:rPr>
              <w:t>People ID Americas,</w:t>
            </w:r>
          </w:p>
        </w:tc>
        <w:tc>
          <w:tcPr>
            <w:tcW w:w="1360" w:type="dxa"/>
            <w:vAlign w:val="bottom"/>
            <w:shd w:val="clear" w:color="auto" w:fill="CCEEFF"/>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4480" w:type="dxa"/>
            <w:vAlign w:val="bottom"/>
            <w:shd w:val="clear" w:color="auto" w:fill="CCEEFF"/>
          </w:tcPr>
          <w:p>
            <w:pPr>
              <w:jc w:val="center"/>
              <w:ind w:left="2551"/>
              <w:spacing w:after="0"/>
              <w:rPr>
                <w:sz w:val="20"/>
                <w:szCs w:val="20"/>
                <w:color w:val="auto"/>
              </w:rPr>
            </w:pPr>
            <w:r>
              <w:rPr>
                <w:rFonts w:ascii="Arial" w:cs="Arial" w:eastAsia="Arial" w:hAnsi="Arial"/>
                <w:sz w:val="18"/>
                <w:szCs w:val="18"/>
                <w:color w:val="auto"/>
                <w:w w:val="89"/>
              </w:rPr>
              <w:t>Europe and Asia-</w:t>
            </w:r>
          </w:p>
        </w:tc>
        <w:tc>
          <w:tcPr>
            <w:tcW w:w="1360" w:type="dxa"/>
            <w:vAlign w:val="bottom"/>
            <w:shd w:val="clear" w:color="auto" w:fill="CCEEFF"/>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left="2571"/>
              <w:spacing w:after="0"/>
              <w:rPr>
                <w:sz w:val="20"/>
                <w:szCs w:val="20"/>
                <w:color w:val="auto"/>
              </w:rPr>
            </w:pPr>
            <w:r>
              <w:rPr>
                <w:rFonts w:ascii="Arial" w:cs="Arial" w:eastAsia="Arial" w:hAnsi="Arial"/>
                <w:sz w:val="18"/>
                <w:szCs w:val="18"/>
                <w:color w:val="auto"/>
                <w:w w:val="94"/>
              </w:rPr>
              <w:t>Pacific</w:t>
            </w:r>
          </w:p>
        </w:tc>
        <w:tc>
          <w:tcPr>
            <w:tcW w:w="1360" w:type="dxa"/>
            <w:vAlign w:val="bottom"/>
            <w:shd w:val="clear" w:color="auto" w:fill="CCEEFF"/>
          </w:tcPr>
          <w:p>
            <w:pPr>
              <w:spacing w:after="0"/>
              <w:rPr>
                <w:sz w:val="20"/>
                <w:szCs w:val="20"/>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Precision Converters, L.P. (“Precision Converters”)</w:t>
            </w:r>
          </w:p>
        </w:tc>
        <w:tc>
          <w:tcPr>
            <w:tcW w:w="4480" w:type="dxa"/>
            <w:vAlign w:val="bottom"/>
          </w:tcPr>
          <w:p>
            <w:pPr>
              <w:jc w:val="center"/>
              <w:ind w:left="2571"/>
              <w:spacing w:after="0"/>
              <w:rPr>
                <w:sz w:val="20"/>
                <w:szCs w:val="20"/>
                <w:color w:val="auto"/>
              </w:rPr>
            </w:pPr>
            <w:r>
              <w:rPr>
                <w:rFonts w:ascii="Arial" w:cs="Arial" w:eastAsia="Arial" w:hAnsi="Arial"/>
                <w:sz w:val="18"/>
                <w:szCs w:val="18"/>
                <w:color w:val="auto"/>
                <w:w w:val="92"/>
              </w:rPr>
              <w:t>Brady Americas</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91"/>
              </w:rPr>
              <w:t>October 2006</w:t>
            </w: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Scafftag, Ltd., Safetrak, Ltd. and Scafftag Pty., Ltd. (collectively “Scafftag”)</w:t>
            </w:r>
          </w:p>
        </w:tc>
        <w:tc>
          <w:tcPr>
            <w:tcW w:w="4480" w:type="dxa"/>
            <w:vAlign w:val="bottom"/>
            <w:shd w:val="clear" w:color="auto" w:fill="CCEEFF"/>
          </w:tcPr>
          <w:p>
            <w:pPr>
              <w:jc w:val="center"/>
              <w:ind w:left="2571"/>
              <w:spacing w:after="0" w:line="201" w:lineRule="exact"/>
              <w:rPr>
                <w:sz w:val="20"/>
                <w:szCs w:val="20"/>
                <w:color w:val="auto"/>
              </w:rPr>
            </w:pPr>
            <w:r>
              <w:rPr>
                <w:rFonts w:ascii="Arial" w:cs="Arial" w:eastAsia="Arial" w:hAnsi="Arial"/>
                <w:sz w:val="18"/>
                <w:szCs w:val="18"/>
                <w:color w:val="auto"/>
                <w:w w:val="92"/>
              </w:rPr>
              <w:t>Brady Americas,</w:t>
            </w:r>
          </w:p>
        </w:tc>
        <w:tc>
          <w:tcPr>
            <w:tcW w:w="1360" w:type="dxa"/>
            <w:vAlign w:val="bottom"/>
            <w:shd w:val="clear" w:color="auto" w:fill="CCEEFF"/>
          </w:tcPr>
          <w:p>
            <w:pPr>
              <w:jc w:val="center"/>
              <w:ind w:left="32"/>
              <w:spacing w:after="0" w:line="201" w:lineRule="exact"/>
              <w:rPr>
                <w:sz w:val="20"/>
                <w:szCs w:val="20"/>
                <w:color w:val="auto"/>
              </w:rPr>
            </w:pPr>
            <w:r>
              <w:rPr>
                <w:rFonts w:ascii="Arial" w:cs="Arial" w:eastAsia="Arial" w:hAnsi="Arial"/>
                <w:sz w:val="18"/>
                <w:szCs w:val="18"/>
                <w:color w:val="auto"/>
                <w:w w:val="90"/>
              </w:rPr>
              <w:t>December 2006</w:t>
            </w:r>
          </w:p>
        </w:tc>
      </w:tr>
      <w:tr>
        <w:trPr>
          <w:trHeight w:val="216"/>
        </w:trPr>
        <w:tc>
          <w:tcPr>
            <w:tcW w:w="5580" w:type="dxa"/>
            <w:vAlign w:val="bottom"/>
            <w:shd w:val="clear" w:color="auto" w:fill="CCEEFF"/>
          </w:tcPr>
          <w:p>
            <w:pPr>
              <w:spacing w:after="0"/>
              <w:rPr>
                <w:sz w:val="18"/>
                <w:szCs w:val="18"/>
                <w:color w:val="auto"/>
              </w:rPr>
            </w:pPr>
          </w:p>
        </w:tc>
        <w:tc>
          <w:tcPr>
            <w:tcW w:w="4480" w:type="dxa"/>
            <w:vAlign w:val="bottom"/>
            <w:shd w:val="clear" w:color="auto" w:fill="CCEEFF"/>
          </w:tcPr>
          <w:p>
            <w:pPr>
              <w:jc w:val="center"/>
              <w:ind w:left="2551"/>
              <w:spacing w:after="0"/>
              <w:rPr>
                <w:sz w:val="20"/>
                <w:szCs w:val="20"/>
                <w:color w:val="auto"/>
              </w:rPr>
            </w:pPr>
            <w:r>
              <w:rPr>
                <w:rFonts w:ascii="Arial" w:cs="Arial" w:eastAsia="Arial" w:hAnsi="Arial"/>
                <w:sz w:val="18"/>
                <w:szCs w:val="18"/>
                <w:color w:val="auto"/>
                <w:w w:val="89"/>
              </w:rPr>
              <w:t>Europe and Asia-</w:t>
            </w:r>
          </w:p>
        </w:tc>
        <w:tc>
          <w:tcPr>
            <w:tcW w:w="1360" w:type="dxa"/>
            <w:vAlign w:val="bottom"/>
            <w:shd w:val="clear" w:color="auto" w:fill="CCEEFF"/>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left="2571"/>
              <w:spacing w:after="0"/>
              <w:rPr>
                <w:sz w:val="20"/>
                <w:szCs w:val="20"/>
                <w:color w:val="auto"/>
              </w:rPr>
            </w:pPr>
            <w:r>
              <w:rPr>
                <w:rFonts w:ascii="Arial" w:cs="Arial" w:eastAsia="Arial" w:hAnsi="Arial"/>
                <w:sz w:val="18"/>
                <w:szCs w:val="18"/>
                <w:color w:val="auto"/>
                <w:w w:val="94"/>
              </w:rPr>
              <w:t>Pacific</w:t>
            </w:r>
          </w:p>
        </w:tc>
        <w:tc>
          <w:tcPr>
            <w:tcW w:w="1360" w:type="dxa"/>
            <w:vAlign w:val="bottom"/>
            <w:shd w:val="clear" w:color="auto" w:fill="CCEEFF"/>
          </w:tcPr>
          <w:p>
            <w:pPr>
              <w:spacing w:after="0"/>
              <w:rPr>
                <w:sz w:val="20"/>
                <w:szCs w:val="20"/>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4480" w:type="dxa"/>
            <w:vAlign w:val="bottom"/>
          </w:tcPr>
          <w:p>
            <w:pPr>
              <w:jc w:val="center"/>
              <w:ind w:left="2571"/>
              <w:spacing w:after="0"/>
              <w:rPr>
                <w:sz w:val="20"/>
                <w:szCs w:val="20"/>
                <w:color w:val="auto"/>
              </w:rPr>
            </w:pPr>
            <w:r>
              <w:rPr>
                <w:rFonts w:ascii="Arial" w:cs="Arial" w:eastAsia="Arial" w:hAnsi="Arial"/>
                <w:sz w:val="18"/>
                <w:szCs w:val="18"/>
                <w:color w:val="auto"/>
                <w:w w:val="92"/>
              </w:rPr>
              <w:t>Brady Americas</w:t>
            </w:r>
          </w:p>
        </w:tc>
        <w:tc>
          <w:tcPr>
            <w:tcW w:w="1360" w:type="dxa"/>
            <w:vAlign w:val="bottom"/>
          </w:tcPr>
          <w:p>
            <w:pPr>
              <w:jc w:val="center"/>
              <w:ind w:left="32"/>
              <w:spacing w:after="0"/>
              <w:rPr>
                <w:sz w:val="20"/>
                <w:szCs w:val="20"/>
                <w:color w:val="auto"/>
              </w:rPr>
            </w:pPr>
            <w:r>
              <w:rPr>
                <w:rFonts w:ascii="Arial" w:cs="Arial" w:eastAsia="Arial" w:hAnsi="Arial"/>
                <w:sz w:val="18"/>
                <w:szCs w:val="18"/>
                <w:color w:val="auto"/>
                <w:w w:val="90"/>
              </w:rPr>
              <w:t>December 2006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SpA (“Moderno”)</w:t>
            </w:r>
          </w:p>
        </w:tc>
        <w:tc>
          <w:tcPr>
            <w:tcW w:w="4480" w:type="dxa"/>
            <w:vAlign w:val="bottom"/>
            <w:shd w:val="clear" w:color="auto" w:fill="CCEEFF"/>
          </w:tcPr>
          <w:p>
            <w:pPr>
              <w:jc w:val="center"/>
              <w:ind w:left="2551"/>
              <w:spacing w:after="0"/>
              <w:rPr>
                <w:sz w:val="20"/>
                <w:szCs w:val="20"/>
                <w:color w:val="auto"/>
              </w:rPr>
            </w:pPr>
            <w:r>
              <w:rPr>
                <w:rFonts w:ascii="Arial" w:cs="Arial" w:eastAsia="Arial" w:hAnsi="Arial"/>
                <w:sz w:val="18"/>
                <w:szCs w:val="18"/>
                <w:color w:val="auto"/>
                <w:w w:val="89"/>
              </w:rPr>
              <w:t>Europe</w:t>
            </w: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0"/>
              </w:rPr>
              <w:t>December 2006</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Clement Communications, Inc. (“Clement”)</w:t>
            </w:r>
          </w:p>
        </w:tc>
        <w:tc>
          <w:tcPr>
            <w:tcW w:w="4480" w:type="dxa"/>
            <w:vAlign w:val="bottom"/>
          </w:tcPr>
          <w:p>
            <w:pPr>
              <w:jc w:val="center"/>
              <w:ind w:left="2551"/>
              <w:spacing w:after="0" w:line="201" w:lineRule="exact"/>
              <w:rPr>
                <w:sz w:val="20"/>
                <w:szCs w:val="20"/>
                <w:color w:val="auto"/>
              </w:rPr>
            </w:pPr>
            <w:r>
              <w:rPr>
                <w:rFonts w:ascii="Arial" w:cs="Arial" w:eastAsia="Arial" w:hAnsi="Arial"/>
                <w:sz w:val="18"/>
                <w:szCs w:val="18"/>
                <w:color w:val="auto"/>
                <w:w w:val="97"/>
              </w:rPr>
              <w:t>Direct Marketing &amp;</w:t>
            </w:r>
          </w:p>
        </w:tc>
        <w:tc>
          <w:tcPr>
            <w:tcW w:w="1360" w:type="dxa"/>
            <w:vAlign w:val="bottom"/>
          </w:tcPr>
          <w:p>
            <w:pPr>
              <w:jc w:val="center"/>
              <w:ind w:left="32"/>
              <w:spacing w:after="0" w:line="201" w:lineRule="exact"/>
              <w:rPr>
                <w:sz w:val="20"/>
                <w:szCs w:val="20"/>
                <w:color w:val="auto"/>
              </w:rPr>
            </w:pPr>
            <w:r>
              <w:rPr>
                <w:rFonts w:ascii="Arial" w:cs="Arial" w:eastAsia="Arial" w:hAnsi="Arial"/>
                <w:sz w:val="18"/>
                <w:szCs w:val="18"/>
                <w:color w:val="auto"/>
                <w:w w:val="88"/>
              </w:rPr>
              <w:t>February 2007</w:t>
            </w:r>
          </w:p>
        </w:tc>
      </w:tr>
      <w:tr>
        <w:trPr>
          <w:trHeight w:val="230"/>
        </w:trPr>
        <w:tc>
          <w:tcPr>
            <w:tcW w:w="5580" w:type="dxa"/>
            <w:vAlign w:val="bottom"/>
          </w:tcPr>
          <w:p>
            <w:pPr>
              <w:spacing w:after="0"/>
              <w:rPr>
                <w:sz w:val="20"/>
                <w:szCs w:val="20"/>
                <w:color w:val="auto"/>
              </w:rPr>
            </w:pPr>
          </w:p>
        </w:tc>
        <w:tc>
          <w:tcPr>
            <w:tcW w:w="4480" w:type="dxa"/>
            <w:vAlign w:val="bottom"/>
          </w:tcPr>
          <w:p>
            <w:pPr>
              <w:jc w:val="center"/>
              <w:ind w:left="2571"/>
              <w:spacing w:after="0"/>
              <w:rPr>
                <w:sz w:val="20"/>
                <w:szCs w:val="20"/>
                <w:color w:val="auto"/>
              </w:rPr>
            </w:pPr>
            <w:r>
              <w:rPr>
                <w:rFonts w:ascii="Arial" w:cs="Arial" w:eastAsia="Arial" w:hAnsi="Arial"/>
                <w:sz w:val="18"/>
                <w:szCs w:val="18"/>
                <w:color w:val="auto"/>
                <w:w w:val="91"/>
              </w:rPr>
              <w:t>People ID Americas</w:t>
            </w:r>
          </w:p>
        </w:tc>
        <w:tc>
          <w:tcPr>
            <w:tcW w:w="1360" w:type="dxa"/>
            <w:vAlign w:val="bottom"/>
          </w:tcPr>
          <w:p>
            <w:pPr>
              <w:spacing w:after="0"/>
              <w:rPr>
                <w:sz w:val="20"/>
                <w:szCs w:val="20"/>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Sorbent Products Co., Inc. (“SPC”)</w:t>
            </w:r>
          </w:p>
        </w:tc>
        <w:tc>
          <w:tcPr>
            <w:tcW w:w="4480" w:type="dxa"/>
            <w:vAlign w:val="bottom"/>
            <w:shd w:val="clear" w:color="auto" w:fill="CCEEFF"/>
          </w:tcPr>
          <w:p>
            <w:pPr>
              <w:jc w:val="center"/>
              <w:ind w:left="2571"/>
              <w:spacing w:after="0" w:line="201" w:lineRule="exact"/>
              <w:rPr>
                <w:sz w:val="20"/>
                <w:szCs w:val="20"/>
                <w:color w:val="auto"/>
              </w:rPr>
            </w:pPr>
            <w:r>
              <w:rPr>
                <w:rFonts w:ascii="Arial" w:cs="Arial" w:eastAsia="Arial" w:hAnsi="Arial"/>
                <w:sz w:val="18"/>
                <w:szCs w:val="18"/>
                <w:color w:val="auto"/>
                <w:w w:val="92"/>
              </w:rPr>
              <w:t>Brady Americas,</w:t>
            </w:r>
          </w:p>
        </w:tc>
        <w:tc>
          <w:tcPr>
            <w:tcW w:w="1360" w:type="dxa"/>
            <w:vAlign w:val="bottom"/>
            <w:shd w:val="clear" w:color="auto" w:fill="CCEEFF"/>
          </w:tcPr>
          <w:p>
            <w:pPr>
              <w:jc w:val="center"/>
              <w:ind w:left="32"/>
              <w:spacing w:after="0" w:line="201" w:lineRule="exact"/>
              <w:rPr>
                <w:sz w:val="20"/>
                <w:szCs w:val="20"/>
                <w:color w:val="auto"/>
              </w:rPr>
            </w:pPr>
            <w:r>
              <w:rPr>
                <w:rFonts w:ascii="Arial" w:cs="Arial" w:eastAsia="Arial" w:hAnsi="Arial"/>
                <w:sz w:val="18"/>
                <w:szCs w:val="18"/>
                <w:color w:val="auto"/>
                <w:w w:val="98"/>
              </w:rPr>
              <w:t>April 2007</w:t>
            </w:r>
          </w:p>
        </w:tc>
      </w:tr>
      <w:tr>
        <w:trPr>
          <w:trHeight w:val="216"/>
        </w:trPr>
        <w:tc>
          <w:tcPr>
            <w:tcW w:w="5580" w:type="dxa"/>
            <w:vAlign w:val="bottom"/>
            <w:shd w:val="clear" w:color="auto" w:fill="CCEEFF"/>
          </w:tcPr>
          <w:p>
            <w:pPr>
              <w:spacing w:after="0"/>
              <w:rPr>
                <w:sz w:val="18"/>
                <w:szCs w:val="18"/>
                <w:color w:val="auto"/>
              </w:rPr>
            </w:pPr>
          </w:p>
        </w:tc>
        <w:tc>
          <w:tcPr>
            <w:tcW w:w="4480" w:type="dxa"/>
            <w:vAlign w:val="bottom"/>
            <w:shd w:val="clear" w:color="auto" w:fill="CCEEFF"/>
          </w:tcPr>
          <w:p>
            <w:pPr>
              <w:jc w:val="center"/>
              <w:ind w:left="2551"/>
              <w:spacing w:after="0"/>
              <w:rPr>
                <w:sz w:val="20"/>
                <w:szCs w:val="20"/>
                <w:color w:val="auto"/>
              </w:rPr>
            </w:pPr>
            <w:r>
              <w:rPr>
                <w:rFonts w:ascii="Arial" w:cs="Arial" w:eastAsia="Arial" w:hAnsi="Arial"/>
                <w:sz w:val="18"/>
                <w:szCs w:val="18"/>
                <w:color w:val="auto"/>
                <w:w w:val="89"/>
              </w:rPr>
              <w:t>Europe and Asia-</w:t>
            </w:r>
          </w:p>
        </w:tc>
        <w:tc>
          <w:tcPr>
            <w:tcW w:w="1360" w:type="dxa"/>
            <w:vAlign w:val="bottom"/>
            <w:shd w:val="clear" w:color="auto" w:fill="CCEEFF"/>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p>
        </w:tc>
        <w:tc>
          <w:tcPr>
            <w:tcW w:w="4480" w:type="dxa"/>
            <w:vAlign w:val="bottom"/>
            <w:shd w:val="clear" w:color="auto" w:fill="CCEEFF"/>
          </w:tcPr>
          <w:p>
            <w:pPr>
              <w:jc w:val="center"/>
              <w:ind w:left="2571"/>
              <w:spacing w:after="0"/>
              <w:rPr>
                <w:sz w:val="20"/>
                <w:szCs w:val="20"/>
                <w:color w:val="auto"/>
              </w:rPr>
            </w:pPr>
            <w:r>
              <w:rPr>
                <w:rFonts w:ascii="Arial" w:cs="Arial" w:eastAsia="Arial" w:hAnsi="Arial"/>
                <w:sz w:val="18"/>
                <w:szCs w:val="18"/>
                <w:color w:val="auto"/>
                <w:w w:val="94"/>
              </w:rPr>
              <w:t>Pacific</w:t>
            </w:r>
          </w:p>
        </w:tc>
        <w:tc>
          <w:tcPr>
            <w:tcW w:w="1360" w:type="dxa"/>
            <w:vAlign w:val="bottom"/>
            <w:shd w:val="clear" w:color="auto" w:fill="CCEEFF"/>
          </w:tcPr>
          <w:p>
            <w:pPr>
              <w:spacing w:after="0"/>
              <w:rPr>
                <w:sz w:val="20"/>
                <w:szCs w:val="20"/>
                <w:color w:val="auto"/>
              </w:rPr>
            </w:pPr>
          </w:p>
        </w:tc>
      </w:tr>
      <w:tr>
        <w:trPr>
          <w:trHeight w:val="405"/>
        </w:trPr>
        <w:tc>
          <w:tcPr>
            <w:tcW w:w="5580" w:type="dxa"/>
            <w:vAlign w:val="bottom"/>
          </w:tcPr>
          <w:p>
            <w:pPr>
              <w:spacing w:after="0"/>
              <w:rPr>
                <w:sz w:val="24"/>
                <w:szCs w:val="24"/>
                <w:color w:val="auto"/>
              </w:rPr>
            </w:pPr>
          </w:p>
        </w:tc>
        <w:tc>
          <w:tcPr>
            <w:tcW w:w="4480" w:type="dxa"/>
            <w:vAlign w:val="bottom"/>
          </w:tcPr>
          <w:p>
            <w:pPr>
              <w:jc w:val="right"/>
              <w:ind w:right="4171"/>
              <w:spacing w:after="0"/>
              <w:rPr>
                <w:sz w:val="20"/>
                <w:szCs w:val="20"/>
                <w:color w:val="auto"/>
              </w:rPr>
            </w:pPr>
            <w:r>
              <w:rPr>
                <w:rFonts w:ascii="Arial" w:cs="Arial" w:eastAsia="Arial" w:hAnsi="Arial"/>
                <w:sz w:val="18"/>
                <w:szCs w:val="18"/>
                <w:color w:val="auto"/>
                <w:w w:val="99"/>
              </w:rPr>
              <w:t>13</w:t>
            </w:r>
          </w:p>
        </w:tc>
        <w:tc>
          <w:tcPr>
            <w:tcW w:w="1360" w:type="dxa"/>
            <w:vAlign w:val="bottom"/>
          </w:tcPr>
          <w:p>
            <w:pPr>
              <w:spacing w:after="0"/>
              <w:rPr>
                <w:sz w:val="24"/>
                <w:szCs w:val="24"/>
                <w:color w:val="auto"/>
              </w:rPr>
            </w:pPr>
          </w:p>
        </w:tc>
      </w:tr>
      <w:tr>
        <w:trPr>
          <w:trHeight w:val="226"/>
        </w:trPr>
        <w:tc>
          <w:tcPr>
            <w:tcW w:w="55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225"/>
        <w:spacing w:after="0" w:line="257" w:lineRule="auto"/>
        <w:rPr>
          <w:sz w:val="20"/>
          <w:szCs w:val="20"/>
          <w:color w:val="auto"/>
        </w:rPr>
      </w:pPr>
      <w:r>
        <w:rPr>
          <w:rFonts w:ascii="Arial" w:cs="Arial" w:eastAsia="Arial" w:hAnsi="Arial"/>
          <w:sz w:val="18"/>
          <w:szCs w:val="18"/>
          <w:color w:val="auto"/>
        </w:rPr>
        <w:t>Sales for the three months ended October 31, 2007 were up 14.4% compared to the same period in fiscal 2007. The increase was comprised of an increase of 1.7% attributed to organic growth, an increase of 5.2% due to the effect of currencies on sales, and an increase of 7.5% due to the acquisitions listed in the above table. The organic growth for the quarter ended October 31, 2007, was due primarily to an 8.2% increase in Brady Americas’ sales and a 2.4% increase in Direct Marketing &amp; People ID Americas’ sales, partially offset by a 3.3% decline in Asia-Pacific sales. The Europe segment’s organic sales were flat in the quarter.</w:t>
      </w:r>
    </w:p>
    <w:p>
      <w:pPr>
        <w:spacing w:after="0" w:line="80"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Gross margin as a percentage of sales remained constant at 49.4% for the quarter ended October 31, 2007, compared to the same period of the previous year. Excluding the acquisitions completed in the last fiscal year, gross margin as a percentage of sales has improved slightly.</w:t>
      </w:r>
    </w:p>
    <w:p>
      <w:pPr>
        <w:spacing w:after="0" w:line="38"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Research and development (“R&amp;D”) expenses increased 5.2% to $9.0 million for the three months ended October 31, 2007, compared to $8.5 million for the same period in the prior year. As a percentage of sales, R&amp;D expenses represented a lower percentage of sales, declining to 2.4% in the first quarter of fiscal 2008 from 2.6% in the first quarter of fiscal 2007. The majority of the decline in R&amp;D expense as a percentage of sales was due to acquisitions completed in the last year. The acquisitions added $25.0 million in revenue and had minimal R&amp;D expense.</w:t>
      </w:r>
    </w:p>
    <w:p>
      <w:pPr>
        <w:spacing w:after="0" w:line="63" w:lineRule="exact"/>
        <w:rPr>
          <w:sz w:val="20"/>
          <w:szCs w:val="20"/>
          <w:color w:val="auto"/>
        </w:rPr>
      </w:pPr>
    </w:p>
    <w:p>
      <w:pPr>
        <w:jc w:val="both"/>
        <w:ind w:right="20" w:firstLine="225"/>
        <w:spacing w:after="0" w:line="279" w:lineRule="auto"/>
        <w:rPr>
          <w:sz w:val="20"/>
          <w:szCs w:val="20"/>
          <w:color w:val="auto"/>
        </w:rPr>
      </w:pPr>
      <w:r>
        <w:rPr>
          <w:rFonts w:ascii="Arial" w:cs="Arial" w:eastAsia="Arial" w:hAnsi="Arial"/>
          <w:sz w:val="17"/>
          <w:szCs w:val="17"/>
          <w:color w:val="auto"/>
        </w:rPr>
        <w:t>SG&amp;A expenses increased 16.1% to $120.4 million for the three months ended October 31, 2007, as compared to $103.7 million for the same period in the prior year. This expected increase was due to acquisitions completed in fiscal 2007, the continued implementation of SAP in many of our locations around the world and investments made to generate new customers within our direct marketing businesses. As a percentage of sales, SG&amp;A expenses increased to 31.7% in the first quarter of fiscal 2008 from 31.2% in the same period of fiscal 2007, due to the reasons noted above.</w:t>
      </w:r>
    </w:p>
    <w:p>
      <w:pPr>
        <w:spacing w:after="0" w:line="6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Investment and other income decreased to $0.1 million for the quarter ended October 31, 2007 from $0.6 million for the quarter ended October 31, 2006. Interest income earned in the first quarter of fiscal 2008 was $1.2 million, as compared to $0.4 million in the first quarter of fiscal 2007, due to the higher cash and marketable securities investment balances maintained in fiscal 2008. Also included in this income statement heading, the Company recorded losses from the net effect of changes in foreign currency exchange rates on specific transactions of $1.1 million in the first quarter of fiscal 2008, as compared to a gain of $0.2 million in the first quarter of fiscal 2007.</w:t>
      </w:r>
    </w:p>
    <w:p>
      <w:pPr>
        <w:spacing w:after="0" w:line="80" w:lineRule="exact"/>
        <w:rPr>
          <w:sz w:val="20"/>
          <w:szCs w:val="20"/>
          <w:color w:val="auto"/>
        </w:rPr>
      </w:pPr>
    </w:p>
    <w:p>
      <w:pPr>
        <w:jc w:val="both"/>
        <w:ind w:right="160" w:firstLine="225"/>
        <w:spacing w:after="0" w:line="259" w:lineRule="auto"/>
        <w:rPr>
          <w:sz w:val="20"/>
          <w:szCs w:val="20"/>
          <w:color w:val="auto"/>
        </w:rPr>
      </w:pPr>
      <w:r>
        <w:rPr>
          <w:rFonts w:ascii="Arial" w:cs="Arial" w:eastAsia="Arial" w:hAnsi="Arial"/>
          <w:sz w:val="18"/>
          <w:szCs w:val="18"/>
          <w:color w:val="auto"/>
        </w:rPr>
        <w:t>Interest expense increased to $6.7 million for the quarter ended October 31, 2007 from $4.7 million for the quarter ended October 31, 2006. The increase in interest expense was due to interest on the $150 million private placement of senior notes that the Company completed in the third quarter of fiscal 2007, partially offset by the interest on the borrowings under our revolving credit facility in the first quarter of fiscal 2007. During the first quarter of fiscal 2008, the Company did not borrow under the revolving credit facility.</w:t>
      </w:r>
    </w:p>
    <w:p>
      <w:pPr>
        <w:spacing w:after="0" w:line="79"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Company’s effective tax rate was 29.7% for the quarter ended October 31, 2007, and 28.0% for the same period of the previous year. The increase in the effective rate was due to a shift of a higher percentage of the Company’s pre-tax income to higher tax rate countries. The Company expects the full year effective tax rate for fiscal 2008 to be approximately 29%.</w:t>
      </w:r>
    </w:p>
    <w:p>
      <w:pPr>
        <w:spacing w:after="0" w:line="73"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Net income for the three months ended October 31, 2007, increased 5.6% to $36.4 million, compared to $34.4 million for the same quarter of the previous year. Net income as a percentage of sales decreased to 9.6% for the quarter ended October 31, 2007 from 10.4% for the same period in the prior year. The decrease was primarily due to the increase in SG&amp;A expenses, the increase in interest expense and the increase in the Company’s effective tax rate.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Effective August 1, 2007, the Company revised its reportable segments as a result of organizational changes within the executive leadership team. Management of the Company now evaluates results based on the following businesses: Brady Americas, Direct Marketing &amp; People ID Americas, Europe, and Asia-Pacific.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jc w:val="center"/>
              <w:ind w:right="76"/>
              <w:spacing w:after="0"/>
              <w:rPr>
                <w:sz w:val="20"/>
                <w:szCs w:val="20"/>
                <w:color w:val="auto"/>
              </w:rPr>
            </w:pPr>
            <w:r>
              <w:rPr>
                <w:rFonts w:ascii="Arial" w:cs="Arial" w:eastAsia="Arial" w:hAnsi="Arial"/>
                <w:sz w:val="14"/>
                <w:szCs w:val="14"/>
                <w:color w:val="auto"/>
                <w:w w:val="98"/>
              </w:rPr>
              <w:t>Direct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jc w:val="center"/>
              <w:ind w:right="96"/>
              <w:spacing w:after="0" w:line="149" w:lineRule="exact"/>
              <w:rPr>
                <w:sz w:val="20"/>
                <w:szCs w:val="20"/>
                <w:color w:val="auto"/>
              </w:rPr>
            </w:pPr>
            <w:r>
              <w:rPr>
                <w:rFonts w:ascii="Arial" w:cs="Arial" w:eastAsia="Arial" w:hAnsi="Arial"/>
                <w:sz w:val="14"/>
                <w:szCs w:val="14"/>
                <w:color w:val="auto"/>
                <w:w w:val="99"/>
              </w:rPr>
              <w:t>Marketing &amp;</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Corporate</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33"/>
              <w:spacing w:after="0" w:line="149" w:lineRule="exact"/>
              <w:rPr>
                <w:sz w:val="20"/>
                <w:szCs w:val="20"/>
                <w:color w:val="auto"/>
              </w:rPr>
            </w:pPr>
            <w:r>
              <w:rPr>
                <w:rFonts w:ascii="Arial" w:cs="Arial" w:eastAsia="Arial" w:hAnsi="Arial"/>
                <w:sz w:val="14"/>
                <w:szCs w:val="14"/>
                <w:color w:val="auto"/>
              </w:rPr>
              <w:t>Brady</w:t>
            </w:r>
          </w:p>
        </w:tc>
        <w:tc>
          <w:tcPr>
            <w:tcW w:w="1400" w:type="dxa"/>
            <w:vAlign w:val="bottom"/>
          </w:tcPr>
          <w:p>
            <w:pPr>
              <w:jc w:val="center"/>
              <w:ind w:right="96"/>
              <w:spacing w:after="0" w:line="149" w:lineRule="exact"/>
              <w:rPr>
                <w:sz w:val="20"/>
                <w:szCs w:val="20"/>
                <w:color w:val="auto"/>
              </w:rPr>
            </w:pPr>
            <w:r>
              <w:rPr>
                <w:rFonts w:ascii="Arial" w:cs="Arial" w:eastAsia="Arial" w:hAnsi="Arial"/>
                <w:sz w:val="14"/>
                <w:szCs w:val="14"/>
                <w:color w:val="auto"/>
                <w:w w:val="94"/>
              </w:rPr>
              <w:t>People ID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jc w:val="right"/>
              <w:ind w:right="433"/>
              <w:spacing w:after="0" w:line="149" w:lineRule="exact"/>
              <w:rPr>
                <w:sz w:val="20"/>
                <w:szCs w:val="20"/>
                <w:color w:val="auto"/>
              </w:rPr>
            </w:pPr>
            <w:r>
              <w:rPr>
                <w:rFonts w:ascii="Arial" w:cs="Arial" w:eastAsia="Arial" w:hAnsi="Arial"/>
                <w:sz w:val="14"/>
                <w:szCs w:val="14"/>
                <w:color w:val="auto"/>
              </w:rPr>
              <w:t>Asia-</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and</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color w:val="auto"/>
                <w:w w:val="95"/>
              </w:rPr>
              <w:t>Americas</w:t>
            </w:r>
          </w:p>
        </w:tc>
        <w:tc>
          <w:tcPr>
            <w:tcW w:w="1400" w:type="dxa"/>
            <w:vAlign w:val="bottom"/>
          </w:tcPr>
          <w:p>
            <w:pPr>
              <w:jc w:val="center"/>
              <w:ind w:right="76"/>
              <w:spacing w:after="0"/>
              <w:rPr>
                <w:sz w:val="20"/>
                <w:szCs w:val="20"/>
                <w:color w:val="auto"/>
              </w:rPr>
            </w:pPr>
            <w:r>
              <w:rPr>
                <w:rFonts w:ascii="Arial" w:cs="Arial" w:eastAsia="Arial" w:hAnsi="Arial"/>
                <w:sz w:val="14"/>
                <w:szCs w:val="14"/>
                <w:color w:val="auto"/>
                <w:w w:val="95"/>
              </w:rPr>
              <w:t>Americas</w:t>
            </w:r>
          </w:p>
        </w:tc>
        <w:tc>
          <w:tcPr>
            <w:tcW w:w="220" w:type="dxa"/>
            <w:vAlign w:val="bottom"/>
          </w:tcPr>
          <w:p>
            <w:pPr>
              <w:spacing w:after="0"/>
              <w:rPr>
                <w:sz w:val="14"/>
                <w:szCs w:val="14"/>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color w:val="auto"/>
              </w:rPr>
              <w:t>Europe</w:t>
            </w:r>
          </w:p>
        </w:tc>
        <w:tc>
          <w:tcPr>
            <w:tcW w:w="1300" w:type="dxa"/>
            <w:vAlign w:val="bottom"/>
          </w:tcPr>
          <w:p>
            <w:pPr>
              <w:jc w:val="right"/>
              <w:ind w:right="393"/>
              <w:spacing w:after="0"/>
              <w:rPr>
                <w:sz w:val="20"/>
                <w:szCs w:val="20"/>
                <w:color w:val="auto"/>
              </w:rPr>
            </w:pPr>
            <w:r>
              <w:rPr>
                <w:rFonts w:ascii="Arial" w:cs="Arial" w:eastAsia="Arial" w:hAnsi="Arial"/>
                <w:sz w:val="14"/>
                <w:szCs w:val="14"/>
                <w:color w:val="auto"/>
              </w:rPr>
              <w:t>Pacific</w:t>
            </w:r>
          </w:p>
        </w:tc>
        <w:tc>
          <w:tcPr>
            <w:tcW w:w="340" w:type="dxa"/>
            <w:vAlign w:val="bottom"/>
          </w:tcPr>
          <w:p>
            <w:pPr>
              <w:spacing w:after="0"/>
              <w:rPr>
                <w:sz w:val="14"/>
                <w:szCs w:val="14"/>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w w:val="95"/>
              </w:rPr>
              <w:t>Subtotals</w:t>
            </w:r>
          </w:p>
        </w:tc>
        <w:tc>
          <w:tcPr>
            <w:tcW w:w="1340" w:type="dxa"/>
            <w:vAlign w:val="bottom"/>
            <w:gridSpan w:val="4"/>
          </w:tcPr>
          <w:p>
            <w:pPr>
              <w:jc w:val="right"/>
              <w:ind w:right="340"/>
              <w:spacing w:after="0"/>
              <w:rPr>
                <w:sz w:val="20"/>
                <w:szCs w:val="20"/>
                <w:color w:val="auto"/>
              </w:rPr>
            </w:pPr>
            <w:r>
              <w:rPr>
                <w:rFonts w:ascii="Arial" w:cs="Arial" w:eastAsia="Arial" w:hAnsi="Arial"/>
                <w:sz w:val="14"/>
                <w:szCs w:val="14"/>
                <w:color w:val="auto"/>
              </w:rPr>
              <w:t>Eliminations</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TO EXTERNAL</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9"/>
              </w:rPr>
              <w:t>105,235</w:t>
            </w:r>
          </w:p>
        </w:tc>
        <w:tc>
          <w:tcPr>
            <w:tcW w:w="140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$69,540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6"/>
              </w:rPr>
              <w:t>108,914</w:t>
            </w:r>
          </w:p>
        </w:tc>
        <w:tc>
          <w:tcPr>
            <w:tcW w:w="13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$96,445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6"/>
              </w:rPr>
              <w:t>380,134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$380,134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October 31, 2006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82,759</w:t>
            </w:r>
          </w:p>
        </w:tc>
        <w:tc>
          <w:tcPr>
            <w:tcW w:w="1400" w:type="dxa"/>
            <w:vAlign w:val="bottom"/>
          </w:tcPr>
          <w:p>
            <w:pPr>
              <w:jc w:val="right"/>
              <w:ind w:right="456"/>
              <w:spacing w:after="0"/>
              <w:rPr>
                <w:sz w:val="20"/>
                <w:szCs w:val="20"/>
                <w:color w:val="auto"/>
              </w:rPr>
            </w:pPr>
            <w:r>
              <w:rPr>
                <w:rFonts w:ascii="Arial" w:cs="Arial" w:eastAsia="Arial" w:hAnsi="Arial"/>
                <w:sz w:val="18"/>
                <w:szCs w:val="18"/>
                <w:color w:val="auto"/>
              </w:rPr>
              <w:t>$ 64,184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92,365</w:t>
            </w:r>
          </w:p>
        </w:tc>
        <w:tc>
          <w:tcPr>
            <w:tcW w:w="1300" w:type="dxa"/>
            <w:vAlign w:val="bottom"/>
          </w:tcPr>
          <w:p>
            <w:pPr>
              <w:jc w:val="right"/>
              <w:ind w:right="353"/>
              <w:spacing w:after="0"/>
              <w:rPr>
                <w:sz w:val="20"/>
                <w:szCs w:val="20"/>
                <w:color w:val="auto"/>
              </w:rPr>
            </w:pPr>
            <w:r>
              <w:rPr>
                <w:rFonts w:ascii="Arial" w:cs="Arial" w:eastAsia="Arial" w:hAnsi="Arial"/>
                <w:sz w:val="18"/>
                <w:szCs w:val="18"/>
                <w:color w:val="auto"/>
              </w:rPr>
              <w:t>$ 92,951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2"/>
              <w:spacing w:after="0"/>
              <w:rPr>
                <w:sz w:val="20"/>
                <w:szCs w:val="20"/>
                <w:color w:val="auto"/>
              </w:rPr>
            </w:pPr>
            <w:r>
              <w:rPr>
                <w:rFonts w:ascii="Arial" w:cs="Arial" w:eastAsia="Arial" w:hAnsi="Arial"/>
                <w:sz w:val="18"/>
                <w:szCs w:val="18"/>
                <w:color w:val="auto"/>
                <w:w w:val="86"/>
              </w:rPr>
              <w:t>332,259</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8"/>
              <w:spacing w:after="0"/>
              <w:rPr>
                <w:sz w:val="20"/>
                <w:szCs w:val="20"/>
                <w:color w:val="auto"/>
              </w:rPr>
            </w:pPr>
            <w:r>
              <w:rPr>
                <w:rFonts w:ascii="Arial" w:cs="Arial" w:eastAsia="Arial" w:hAnsi="Arial"/>
                <w:sz w:val="18"/>
                <w:szCs w:val="18"/>
                <w:color w:val="auto"/>
              </w:rPr>
              <w:t>$ 332,259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GROWTH</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INFORMATION</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October 31, 2007</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Organic</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8.2%</w:t>
            </w:r>
          </w:p>
        </w:tc>
        <w:tc>
          <w:tcPr>
            <w:tcW w:w="14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0.3%</w:t>
            </w:r>
          </w:p>
        </w:tc>
        <w:tc>
          <w:tcPr>
            <w:tcW w:w="13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Currency</w:t>
            </w:r>
          </w:p>
        </w:tc>
        <w:tc>
          <w:tcPr>
            <w:tcW w:w="220" w:type="dxa"/>
            <w:vAlign w:val="bottom"/>
          </w:tcPr>
          <w:p>
            <w:pPr>
              <w:spacing w:after="0"/>
              <w:rPr>
                <w:sz w:val="18"/>
                <w:szCs w:val="18"/>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1.8%</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9.6%</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17.2%</w:t>
            </w:r>
          </w:p>
        </w:tc>
        <w:tc>
          <w:tcPr>
            <w:tcW w:w="14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8.0%</w:t>
            </w:r>
          </w:p>
        </w:tc>
        <w:tc>
          <w:tcPr>
            <w:tcW w:w="13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27.2%</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17.9%</w:t>
            </w:r>
          </w:p>
        </w:tc>
        <w:tc>
          <w:tcPr>
            <w:tcW w:w="1300" w:type="dxa"/>
            <w:vAlign w:val="bottom"/>
          </w:tcPr>
          <w:p>
            <w:pPr>
              <w:jc w:val="right"/>
              <w:ind w:right="213"/>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24,459</w:t>
            </w:r>
          </w:p>
        </w:tc>
        <w:tc>
          <w:tcPr>
            <w:tcW w:w="140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$19,648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29,900</w:t>
            </w:r>
          </w:p>
        </w:tc>
        <w:tc>
          <w:tcPr>
            <w:tcW w:w="13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$19,390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93,397</w:t>
            </w:r>
          </w:p>
        </w:tc>
        <w:tc>
          <w:tcPr>
            <w:tcW w:w="1060" w:type="dxa"/>
            <w:vAlign w:val="bottom"/>
            <w:gridSpan w:val="3"/>
            <w:shd w:val="clear" w:color="auto" w:fill="CCEEFF"/>
          </w:tcPr>
          <w:p>
            <w:pPr>
              <w:jc w:val="right"/>
              <w:ind w:right="73"/>
              <w:spacing w:after="0"/>
              <w:rPr>
                <w:sz w:val="20"/>
                <w:szCs w:val="20"/>
                <w:color w:val="auto"/>
              </w:rPr>
            </w:pPr>
            <w:r>
              <w:rPr>
                <w:rFonts w:ascii="Arial" w:cs="Arial" w:eastAsia="Arial" w:hAnsi="Arial"/>
                <w:sz w:val="18"/>
                <w:szCs w:val="18"/>
                <w:color w:val="auto"/>
              </w:rPr>
              <w:t>$(2,237)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8"/>
              </w:rPr>
              <w:t>91,160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October 31, 2006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20,715</w:t>
            </w:r>
          </w:p>
        </w:tc>
        <w:tc>
          <w:tcPr>
            <w:tcW w:w="1400" w:type="dxa"/>
            <w:vAlign w:val="bottom"/>
          </w:tcPr>
          <w:p>
            <w:pPr>
              <w:jc w:val="right"/>
              <w:ind w:right="456"/>
              <w:spacing w:after="0"/>
              <w:rPr>
                <w:sz w:val="20"/>
                <w:szCs w:val="20"/>
                <w:color w:val="auto"/>
              </w:rPr>
            </w:pPr>
            <w:r>
              <w:rPr>
                <w:rFonts w:ascii="Arial" w:cs="Arial" w:eastAsia="Arial" w:hAnsi="Arial"/>
                <w:sz w:val="18"/>
                <w:szCs w:val="18"/>
                <w:color w:val="auto"/>
              </w:rPr>
              <w:t>$16,803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23,005</w:t>
            </w:r>
          </w:p>
        </w:tc>
        <w:tc>
          <w:tcPr>
            <w:tcW w:w="1300" w:type="dxa"/>
            <w:vAlign w:val="bottom"/>
          </w:tcPr>
          <w:p>
            <w:pPr>
              <w:jc w:val="right"/>
              <w:ind w:right="353"/>
              <w:spacing w:after="0"/>
              <w:rPr>
                <w:sz w:val="20"/>
                <w:szCs w:val="20"/>
                <w:color w:val="auto"/>
              </w:rPr>
            </w:pPr>
            <w:r>
              <w:rPr>
                <w:rFonts w:ascii="Arial" w:cs="Arial" w:eastAsia="Arial" w:hAnsi="Arial"/>
                <w:sz w:val="18"/>
                <w:szCs w:val="18"/>
                <w:color w:val="auto"/>
              </w:rPr>
              <w:t>$22,137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82,660</w:t>
            </w:r>
          </w:p>
        </w:tc>
        <w:tc>
          <w:tcPr>
            <w:tcW w:w="1060" w:type="dxa"/>
            <w:vAlign w:val="bottom"/>
            <w:gridSpan w:val="3"/>
          </w:tcPr>
          <w:p>
            <w:pPr>
              <w:jc w:val="right"/>
              <w:ind w:right="73"/>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w w:val="98"/>
              </w:rPr>
              <w:t>79,850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Percentage increase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(decrease)</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18.1%</w:t>
            </w:r>
          </w:p>
        </w:tc>
        <w:tc>
          <w:tcPr>
            <w:tcW w:w="14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30.0%</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(20.4%)</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SEGMENT PROFIT RECONCILIATION </w:t>
            </w:r>
            <w:r>
              <w:rPr>
                <w:rFonts w:ascii="Arial" w:cs="Arial" w:eastAsia="Arial" w:hAnsi="Arial"/>
                <w:sz w:val="18"/>
                <w:szCs w:val="18"/>
                <w:color w:val="auto"/>
              </w:rPr>
              <w:t>(Dollars in thousands)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6"/>
          </w:tcPr>
          <w:p>
            <w:pPr>
              <w:jc w:val="right"/>
              <w:ind w:right="5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280"/>
              <w:spacing w:after="0" w:line="123" w:lineRule="exact"/>
              <w:rPr>
                <w:sz w:val="20"/>
                <w:szCs w:val="20"/>
                <w:color w:val="auto"/>
              </w:rPr>
            </w:pPr>
            <w:r>
              <w:rPr>
                <w:rFonts w:ascii="Arial" w:cs="Arial" w:eastAsia="Arial" w:hAnsi="Arial"/>
                <w:sz w:val="14"/>
                <w:szCs w:val="14"/>
                <w:color w:val="auto"/>
                <w:w w:val="90"/>
              </w:rPr>
              <w:t>October 31,</w:t>
            </w: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5"/>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93,397</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$ 82,660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(2,237)</w:t>
            </w:r>
          </w:p>
        </w:tc>
        <w:tc>
          <w:tcPr>
            <w:tcW w:w="3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(32,822)</w:t>
            </w:r>
          </w:p>
        </w:tc>
        <w:tc>
          <w:tcPr>
            <w:tcW w:w="3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Investment and other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(6,720)</w:t>
            </w:r>
          </w:p>
        </w:tc>
        <w:tc>
          <w:tcPr>
            <w:tcW w:w="3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51,736</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(15,366)</w:t>
            </w:r>
          </w:p>
        </w:tc>
        <w:tc>
          <w:tcPr>
            <w:tcW w:w="3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36,370</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$ 34,448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Company evaluates performance of the businesses using sales and segment profit. Segment profit or loss does not include certain administrative costs, such as the cost of finance, stock options, information technology and human resources, which are managed as global functions. Interest, investment and other income and income taxes are also excluded when evaluating performance.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Brady Americas:</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Brady Americas sales increased 27.2% for the quarter ended October 31, 2007, compared to the same period in the prior year. Organic growth accounted for 8.2% in the first quarter of fiscal 2008 compared to the same period last year. Fluctuations in the exchange rates used to translate financial results into the U.S. dollar increased sales by 1.8% in the quarter. Sales in the region were also aided by the fiscal 2007 acquisitions of Precision Converters, Scafftag, Asterisco and SPC, which increased sales by 17.2% for the quarter. The organic growth in the quarter was driven by strong growth across most of the major markets, including electrical and wire identification, safety and industrial identification, laboratory and aerospace, and defense and mass transit. The growth was slightly offset by a continued softness in the electric utility market due to the weak housing market.</w:t>
      </w:r>
    </w:p>
    <w:p>
      <w:pPr>
        <w:spacing w:after="0" w:line="5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Segment profit increased 18.1% to $24.5 million for the quarter ended October 31, 2007, compared to $20.7 million for the same period in the prior year. As a percentage of sales, segment profit decreased to 23.2% for the quarter ended October 31,2007 from 25.0% for the same period in the prior year. The decline in segment profit as a percentage of sales was mainly due to acquisitions made in the last 12 months, with a smaller decline due to reductions in the base business profit percentage as gross margin declines were partially offset by selling expense reductions.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Marketing &amp; People ID Americas: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Direct Marketing &amp; People ID Americas sales increased 8.3% for the quarter ended October 31, 2007, compared to the same period in the prior year. Organic growth accounted for 2.4% in the first quarter of fiscal 2008 compared to the same period last year. Fluctuations in the exchange rates used to translate financial results into the U.S. dollar increased sales by 1.2% in the quarter. Sales in the region were also aided by the fiscal 2007 acquisitions of CIPI and Clement, which increased sales by 4.7% for the quarter. The organic growth in the quarter was driven by strong results in our regulatory business and slightly positive growth in the non-residential construction markets, partially offset by softness experienced in the manufacturing sector and a proactively managed shift away from less profitable sales in one of our businesses.</w:t>
      </w:r>
    </w:p>
    <w:p>
      <w:pPr>
        <w:spacing w:after="0" w:line="85"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Segment profit increased 16.9% to $19.6 million for the quarter ended October 31, 2007, compared to $16.8 million for the same period in the prior year. As a percentage of sales, segment profit increased to 28.3% in the first quarter of fiscal 2008 from 26.2% in the first quarter of fiscal 2007. The improvement was due to the continued integration of acquisitions and cost control efforts, partially offset by the investments made to generate new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Europe sales increased 17.9% for the quarter ended October 31, 2007, compared to the same period in the prior year. Organic growth was essentially flat at a 0.3% increase in the quarter as compared to the same period last year. Sales were positively affected by fluctuations in the exchange rates used to translate financial results into the U.S. dollar, which increased sales within the region by 9.6% in the quarter. The fiscal 2007 acquisitions of CIPI, Scafftag, Moderno and SPC increased sales by 8.0%. By market within the region, the direct marketing business experienced strong organic growth as we continued the momentum built up last year in France, in the United Kingdom and in Germany. Modest organic growth was achieved by the Brady brand MRO business, the high-performance labeling business and the wire identification business. In contrast, the OEM electronics business continued to decline as business continues to migrate to Asia.</w:t>
      </w:r>
    </w:p>
    <w:p>
      <w:pPr>
        <w:spacing w:after="0" w:line="8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Segment profit increased 30.0% to $29.9 million for the quarter ended October 31, 2007, compared to $23.0 million for the same period of the prior year. As a percentage of sales, segment profit increased to 27.5% in the first quarter of fiscal 2008 from 24.9% in the first quarter of fiscal 2007. The improvement in the segment profit rate was due to the continued focus on more profitable product lines, the integration of acquisitions, as well as other cost reduction activities. Acquisitions completed in the last 12 months were slightly dilutive to the segment profit rate in the first quarter of fiscal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Asia-Pacific sales increased 3.7% for the quarter ended October 31, 2007, compared to the same period in the prior year. Organic sales decreased 3.3% in the quarter as compared to the same period last year. Sales were positively affected by fluctuations in the exchange rates used to translate financial results into the U.S. dollar, which increased sales within the region by 6.7% in the quarter. The fiscal 2007 acquisitions of CIPI, Scafftag and SPC had a minimal impact on sales in the quarter by increasing sales by 0.3%. The negative organic growth for the quarter was due to a double-digit reduction within the mobile handset business, which began in the second quarter of fiscal 2007, and a smaller reduction in the high performance labeling business. The relatively small hard disk drive business experienced a double-digit sales increase in the first quarter of fiscal 2008, as did the relatively new and small consumer electronics business. The safety and facility identification business, wire identification business, direct marketing business and people identification business also continued to grow during the quarter.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Segment profit decreased 12.4% to $19.4 million for the quarter ended October 31, 2007, compared to $22.1 million for the same period in the prior year. As a percentage of sales, segment profit decreased to 20.1% in the first quarter of fiscal 2008 from 23.8% in the first quarter of fiscal 2007. The decreases were due primarily to the decreased sales volume described above as compared to the first quarter of fiscal 2007, as well as pricing pressure received from our customers, partially offset by cost control efforts and improving productivity.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current ratio as of October 31, 2007, was 2.4 compared to 2.1 at July 31, 2007. Cash and cash equivalents were $170.6 million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October 31, 2007, compared to $142.8 million at July 31, 2007. Additionally, there were $16.5 million of short-term investments outstanding at October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2007, compared to $19.2 million outstanding at July 31, 2007. Working capital increased $61.9 million during the quarter ended October 31, 2007,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$365.3 million from $303.4 million at July 31, 2007. Accounts receivable increased $17.0 million for the quarter due to increased sales volume and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currency translation. Inventories increased $1.6 million for the quarter, due to foreign currency translation. The net decrease in current liabilities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$16.1 million for the quarter. The decrease was composed of a significant decrease in accrued wages due to the payment of incentives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2008 related to the incentives earned in the year ended July 31, 2007, and a decrease in accrued income taxes as the adoption of FIN 48 required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of a portion of the current payable recorded at July 31, 2007 to long-term liabilities, partially offset by an increase in accounts payable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10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Cash flow from operating activities totaled $33.9 million for the quarter ended October 31, 2007, compared to $12.4 million for the same period last year. The increase was the result of a $1.9 million increase in net income, a $1.2 million increase in depreciation and amortization on the intangible assets acquired in fiscal 2007, and significant decreases in the change in accounts receivable and inventory balances as compared to the changes reported in the first quarter of fiscal 2007.</w:t>
      </w:r>
    </w:p>
    <w:p>
      <w:pPr>
        <w:spacing w:after="0" w:line="79"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Contingent consideration payments of $1.2 million were paid during the quarter ended October 31, 2007 to satisfy the earnout liability and the holdback liability of the Stopware acquisition completed in fiscal 2006. Capital expenditures were $7.4 million for the quarter ended October 31, 2007, compared to $14.5 million in the same period last year. Fiscal 2007 capital expenditures included approximately $9 million spent on the expansions in China, Canada, India, Slovakia, and other locations which were not repeated in fiscal 2008. Net cash used in financing activities was $1.3 million for the quarter ended October 31, 2007, due to the payment of dividends, partially offset by the proceeds from the issuance of common stock. Net cash provided by financing activities for the same period last year was $18.2 million due to net borrowings on the revolving loan agreement, partially offset by the payment of dividends.</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w:t>
      </w:r>
    </w:p>
    <w:p>
      <w:pPr>
        <w:spacing w:after="0" w:line="73"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Under the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October 31, 2007, the Company was in compliance with the covenants of the agreement.</w:t>
      </w:r>
    </w:p>
    <w:p>
      <w:pPr>
        <w:spacing w:after="0" w:line="46"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credit agreement restricts the amount of certain types of payments, including dividends, which can be made annually to $50 million plus an amount equal to 75% of consolidated net income for the prior fiscal year. The Company believes that based on historic dividend practice, this restriction would not impede the Company in following a similar dividend practice in the future. During the quarter ended October 31, 2007, the Company did not borrow or repay any amounts under the credit agreement. As of October 31, 2007, there were no outstanding borrowings under the credit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October 31, 2007, the Company was in compliance with this covenant.</w:t>
      </w:r>
    </w:p>
    <w:p>
      <w:pPr>
        <w:spacing w:after="0" w:line="5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fiscal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October 31, 2007, the Company was in compliance with this covenant.</w:t>
      </w:r>
    </w:p>
    <w:p>
      <w:pPr>
        <w:spacing w:after="0" w:line="7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will be amortized over seven years beginning in 2008, with interest payable on the notes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October 31, 2007, the Company was in compliance with this covenant.</w:t>
      </w:r>
    </w:p>
    <w:p>
      <w:pPr>
        <w:spacing w:after="0" w:line="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November 16, 2007, the Board of Directors declared a quarterly cash dividend to shareholders of the Company’s Class A Common Stock of $0.15 per share payable on January 31, 2008 to shareholders of record at the close of business on January 10, 2008.</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believes that its continued strong cash flows from operations and existing borrowing capacity will enable it to execute its long-term strategic plan. This strategic plan includes investments, which expand its current market share, open new markets and geographies, develop new products and distribution channels and continue to improve our processes. This strategic plan also includes executing key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3, 2007, the Company announced that David Mathieson resigned as chief financial officer of the company, effective December 31,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President and CEO, Frank M. Jaehnert, will assume the additional duties of chief financial officer until a successor is named.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5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 In connection with the adoption of FIN 48 as of August 1, 2007, the Company is unable to determine the period in which the cash settlement of the liability associated with FIN 48 will occur with the respective taxing authority. As such, the Company has excluded the liability associated with FIN 48 from the contractual obligations table.</w:t>
      </w:r>
    </w:p>
    <w:p>
      <w:pPr>
        <w:spacing w:after="0" w:line="79"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2007. These uncertainties may cause Brady’s actual future results to be materially different than those expressed in its forward-looking statements. Brady does not undertake to update its forward-looking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w:t>
      </w:r>
    </w:p>
    <w:p>
      <w:pPr>
        <w:spacing w:after="0" w:line="85"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2007, the Company had no interest rate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Submission of Matters to a Vote of Security Holders</w:t>
      </w:r>
    </w:p>
    <w:p>
      <w:pPr>
        <w:spacing w:after="0" w:line="117"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annual meeting of shareholders was held on November 16, 2007. At the meeting, the following persons were elected to serve as the Company’s directors by the affirmative vote of 100% of the 3,538,628 shares of Class B Voting Common Stock until the next annual meeting of shareholders and until their successors have been elected:</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Richard A. Bemis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R. Jarc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Gary E. Nei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Elizabeth I. Pungello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Bradley C. Richardson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6.</w:t>
      </w:r>
      <w:r>
        <w:rPr>
          <w:rFonts w:ascii="Arial" w:cs="Arial" w:eastAsia="Arial" w:hAnsi="Arial"/>
          <w:sz w:val="18"/>
          <w:szCs w:val="18"/>
          <w:u w:val="single" w:color="auto"/>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jc w:val="right"/>
              <w:ind w:right="150"/>
              <w:spacing w:after="0"/>
              <w:rPr>
                <w:sz w:val="20"/>
                <w:szCs w:val="20"/>
                <w:color w:val="auto"/>
              </w:rPr>
            </w:pPr>
            <w:r>
              <w:rPr>
                <w:rFonts w:ascii="Arial" w:cs="Arial" w:eastAsia="Arial" w:hAnsi="Arial"/>
                <w:sz w:val="18"/>
                <w:szCs w:val="18"/>
                <w:color w:val="auto"/>
              </w:rPr>
              <w:t>(a) Exhibits</w:t>
            </w:r>
          </w:p>
        </w:tc>
        <w:tc>
          <w:tcPr>
            <w:tcW w:w="1200" w:type="dxa"/>
            <w:vAlign w:val="bottom"/>
          </w:tcPr>
          <w:p>
            <w:pPr>
              <w:spacing w:after="0"/>
              <w:rPr>
                <w:sz w:val="20"/>
                <w:szCs w:val="20"/>
                <w:color w:val="auto"/>
              </w:rPr>
            </w:pPr>
          </w:p>
        </w:tc>
        <w:tc>
          <w:tcPr>
            <w:tcW w:w="8900" w:type="dxa"/>
            <w:vAlign w:val="bottom"/>
          </w:tcPr>
          <w:p>
            <w:pPr>
              <w:spacing w:after="0"/>
              <w:rPr>
                <w:sz w:val="20"/>
                <w:szCs w:val="20"/>
                <w:color w:val="auto"/>
              </w:rPr>
            </w:pPr>
          </w:p>
        </w:tc>
      </w:tr>
      <w:tr>
        <w:trPr>
          <w:trHeight w:val="418"/>
        </w:trPr>
        <w:tc>
          <w:tcPr>
            <w:tcW w:w="132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1010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32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10100" w:type="dxa"/>
            <w:vAlign w:val="bottom"/>
            <w:gridSpan w:val="2"/>
          </w:tcPr>
          <w:p>
            <w:pPr>
              <w:ind w:left="220"/>
              <w:spacing w:after="0"/>
              <w:rPr>
                <w:sz w:val="20"/>
                <w:szCs w:val="20"/>
                <w:color w:val="auto"/>
              </w:rPr>
            </w:pPr>
            <w:r>
              <w:rPr>
                <w:rFonts w:ascii="Arial" w:cs="Arial" w:eastAsia="Arial" w:hAnsi="Arial"/>
                <w:sz w:val="18"/>
                <w:szCs w:val="18"/>
                <w:color w:val="auto"/>
              </w:rPr>
              <w:t>Rule 13a-14(a)/15d-14(a) Certification of David Mathieson</w:t>
            </w:r>
          </w:p>
        </w:tc>
      </w:tr>
      <w:tr>
        <w:trPr>
          <w:trHeight w:val="216"/>
        </w:trPr>
        <w:tc>
          <w:tcPr>
            <w:tcW w:w="1320" w:type="dxa"/>
            <w:vAlign w:val="bottom"/>
          </w:tcPr>
          <w:p>
            <w:pPr>
              <w:jc w:val="right"/>
              <w:ind w:right="570"/>
              <w:spacing w:after="0"/>
              <w:rPr>
                <w:sz w:val="20"/>
                <w:szCs w:val="20"/>
                <w:color w:val="auto"/>
              </w:rPr>
            </w:pPr>
            <w:r>
              <w:rPr>
                <w:rFonts w:ascii="Arial" w:cs="Arial" w:eastAsia="Arial" w:hAnsi="Arial"/>
                <w:sz w:val="18"/>
                <w:szCs w:val="18"/>
                <w:color w:val="auto"/>
              </w:rPr>
              <w:t>32.1</w:t>
            </w:r>
          </w:p>
        </w:tc>
        <w:tc>
          <w:tcPr>
            <w:tcW w:w="1200" w:type="dxa"/>
            <w:vAlign w:val="bottom"/>
          </w:tcPr>
          <w:p>
            <w:pPr>
              <w:ind w:left="220"/>
              <w:spacing w:after="0"/>
              <w:rPr>
                <w:sz w:val="20"/>
                <w:szCs w:val="20"/>
                <w:color w:val="auto"/>
              </w:rPr>
            </w:pPr>
            <w:r>
              <w:rPr>
                <w:rFonts w:ascii="Arial" w:cs="Arial" w:eastAsia="Arial" w:hAnsi="Arial"/>
                <w:sz w:val="18"/>
                <w:szCs w:val="18"/>
                <w:color w:val="auto"/>
                <w:w w:val="91"/>
              </w:rPr>
              <w:t>Section 1350</w:t>
            </w: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30"/>
        </w:trPr>
        <w:tc>
          <w:tcPr>
            <w:tcW w:w="1320" w:type="dxa"/>
            <w:vAlign w:val="bottom"/>
          </w:tcPr>
          <w:p>
            <w:pPr>
              <w:jc w:val="right"/>
              <w:ind w:right="570"/>
              <w:spacing w:after="0"/>
              <w:rPr>
                <w:sz w:val="20"/>
                <w:szCs w:val="20"/>
                <w:color w:val="auto"/>
              </w:rPr>
            </w:pPr>
            <w:r>
              <w:rPr>
                <w:rFonts w:ascii="Arial" w:cs="Arial" w:eastAsia="Arial" w:hAnsi="Arial"/>
                <w:sz w:val="18"/>
                <w:szCs w:val="18"/>
                <w:color w:val="auto"/>
              </w:rPr>
              <w:t>32.2</w:t>
            </w:r>
          </w:p>
        </w:tc>
        <w:tc>
          <w:tcPr>
            <w:tcW w:w="1200" w:type="dxa"/>
            <w:vAlign w:val="bottom"/>
          </w:tcPr>
          <w:p>
            <w:pPr>
              <w:ind w:left="220"/>
              <w:spacing w:after="0"/>
              <w:rPr>
                <w:sz w:val="20"/>
                <w:szCs w:val="20"/>
                <w:color w:val="auto"/>
              </w:rPr>
            </w:pPr>
            <w:r>
              <w:rPr>
                <w:rFonts w:ascii="Arial" w:cs="Arial" w:eastAsia="Arial" w:hAnsi="Arial"/>
                <w:sz w:val="18"/>
                <w:szCs w:val="18"/>
                <w:color w:val="auto"/>
                <w:w w:val="91"/>
              </w:rPr>
              <w:t>Section 1350</w:t>
            </w: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David Mathieson</w:t>
            </w:r>
          </w:p>
        </w:tc>
      </w:tr>
      <w:tr>
        <w:trPr>
          <w:trHeight w:val="405"/>
        </w:trPr>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900" w:type="dxa"/>
            <w:vAlign w:val="bottom"/>
          </w:tcPr>
          <w:p>
            <w:pPr>
              <w:jc w:val="right"/>
              <w:ind w:right="5530"/>
              <w:spacing w:after="0"/>
              <w:rPr>
                <w:sz w:val="20"/>
                <w:szCs w:val="20"/>
                <w:color w:val="auto"/>
              </w:rPr>
            </w:pPr>
            <w:r>
              <w:rPr>
                <w:rFonts w:ascii="Arial" w:cs="Arial" w:eastAsia="Arial" w:hAnsi="Arial"/>
                <w:sz w:val="18"/>
                <w:szCs w:val="18"/>
                <w:color w:val="auto"/>
              </w:rPr>
              <w:t>21</w:t>
            </w:r>
          </w:p>
        </w:tc>
      </w:tr>
      <w:tr>
        <w:trPr>
          <w:trHeight w:val="226"/>
        </w:trPr>
        <w:tc>
          <w:tcPr>
            <w:tcW w:w="13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December 6,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6,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Senior Vice President &amp; Chief Financial Officer (Principal</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80"/>
          </w:cols>
          <w:pgMar w:left="240" w:top="419"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Mathieson, certify that:</w:t>
      </w:r>
    </w:p>
    <w:p>
      <w:pPr>
        <w:spacing w:after="0" w:line="117" w:lineRule="exact"/>
        <w:rPr>
          <w:sz w:val="20"/>
          <w:szCs w:val="20"/>
          <w:color w:val="auto"/>
        </w:rPr>
      </w:pPr>
    </w:p>
    <w:p>
      <w:pPr>
        <w:ind w:left="480" w:hanging="247"/>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ind w:right="440" w:firstLine="233"/>
        <w:spacing w:after="0" w:line="342"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9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40" w:firstLine="233"/>
        <w:spacing w:after="0" w:line="277" w:lineRule="auto"/>
        <w:tabs>
          <w:tab w:leader="none" w:pos="4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2007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40" w:firstLine="233"/>
        <w:spacing w:after="0" w:line="277"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2007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2019-12-11T19:37:55Z</dcterms:created>
  <dcterms:modified xsi:type="dcterms:W3CDTF">2019-12-11T19:37:55Z</dcterms:modified>
</cp:coreProperties>
</file>