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51435</wp:posOffset>
            </wp:positionV>
            <wp:extent cx="1500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53340</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22" w:lineRule="exact"/>
        <w:rPr>
          <w:sz w:val="24"/>
          <w:szCs w:val="24"/>
          <w:color w:val="auto"/>
        </w:rPr>
      </w:pPr>
    </w:p>
    <w:p>
      <w:pPr>
        <w:ind w:left="980" w:right="100" w:hanging="630"/>
        <w:spacing w:after="0" w:line="233" w:lineRule="auto"/>
        <w:tabs>
          <w:tab w:leader="none" w:pos="9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2022</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980" w:right="100" w:hanging="630"/>
        <w:spacing w:after="0" w:line="238" w:lineRule="auto"/>
        <w:tabs>
          <w:tab w:leader="none" w:pos="9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71120</wp:posOffset>
            </wp:positionV>
            <wp:extent cx="1500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8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800" w:type="dxa"/>
            <w:vAlign w:val="bottom"/>
          </w:tcPr>
          <w:p>
            <w:pPr>
              <w:jc w:val="center"/>
              <w:ind w:left="1464"/>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80" w:type="dxa"/>
            <w:vAlign w:val="bottom"/>
            <w:gridSpan w:val="2"/>
          </w:tcPr>
          <w:p>
            <w:pPr>
              <w:jc w:val="right"/>
              <w:ind w:right="216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90"/>
        </w:trPr>
        <w:tc>
          <w:tcPr>
            <w:tcW w:w="6780" w:type="dxa"/>
            <w:vAlign w:val="bottom"/>
            <w:gridSpan w:val="4"/>
          </w:tcPr>
          <w:p>
            <w:pPr>
              <w:jc w:val="center"/>
              <w:ind w:right="13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80" w:type="dxa"/>
            <w:vAlign w:val="bottom"/>
          </w:tcPr>
          <w:p>
            <w:pPr>
              <w:spacing w:after="0"/>
              <w:rPr>
                <w:sz w:val="16"/>
                <w:szCs w:val="16"/>
                <w:color w:val="auto"/>
              </w:rPr>
            </w:pPr>
          </w:p>
        </w:tc>
        <w:tc>
          <w:tcPr>
            <w:tcW w:w="410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98"/>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53233</w:t>
            </w:r>
          </w:p>
        </w:tc>
        <w:tc>
          <w:tcPr>
            <w:tcW w:w="3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460" w:type="dxa"/>
            <w:vAlign w:val="bottom"/>
            <w:gridSpan w:val="5"/>
          </w:tcPr>
          <w:p>
            <w:pPr>
              <w:jc w:val="center"/>
              <w:ind w:right="3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0" w:type="dxa"/>
            <w:vAlign w:val="bottom"/>
          </w:tcPr>
          <w:p>
            <w:pPr>
              <w:spacing w:after="0"/>
              <w:rPr>
                <w:sz w:val="1"/>
                <w:szCs w:val="1"/>
                <w:color w:val="auto"/>
              </w:rPr>
            </w:pPr>
          </w:p>
        </w:tc>
      </w:tr>
      <w:tr>
        <w:trPr>
          <w:trHeight w:val="363"/>
        </w:trPr>
        <w:tc>
          <w:tcPr>
            <w:tcW w:w="3800" w:type="dxa"/>
            <w:vAlign w:val="bottom"/>
          </w:tcPr>
          <w:p>
            <w:pPr>
              <w:spacing w:after="0"/>
              <w:rPr>
                <w:sz w:val="24"/>
                <w:szCs w:val="24"/>
                <w:color w:val="auto"/>
              </w:rPr>
            </w:pPr>
          </w:p>
        </w:tc>
        <w:tc>
          <w:tcPr>
            <w:tcW w:w="2980" w:type="dxa"/>
            <w:vAlign w:val="bottom"/>
            <w:gridSpan w:val="3"/>
          </w:tcPr>
          <w:p>
            <w:pPr>
              <w:jc w:val="center"/>
              <w:ind w:left="582"/>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460" w:type="dxa"/>
            <w:vAlign w:val="bottom"/>
            <w:gridSpan w:val="5"/>
          </w:tcPr>
          <w:p>
            <w:pPr>
              <w:jc w:val="center"/>
              <w:ind w:right="37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91"/>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3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0" w:type="dxa"/>
            <w:vAlign w:val="bottom"/>
            <w:tcBorders>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380" w:type="dxa"/>
            <w:vAlign w:val="bottom"/>
            <w:tcBorders>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right="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2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040"/>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6">
            <w:col w:w="1860" w:space="720"/>
            <w:col w:w="400" w:space="720"/>
            <w:col w:w="1920" w:space="720"/>
            <w:col w:w="400" w:space="720"/>
            <w:col w:w="1900" w:space="720"/>
            <w:col w:w="1180"/>
          </w:cols>
          <w:pgMar w:left="320" w:top="225" w:right="319" w:bottom="1440" w:gutter="0" w:footer="0" w:header="0"/>
          <w:type w:val="continuous"/>
        </w:sectPr>
      </w:pP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5" w:lineRule="exact"/>
        <w:rPr>
          <w:sz w:val="24"/>
          <w:szCs w:val="24"/>
          <w:color w:val="auto"/>
        </w:rPr>
      </w:pPr>
    </w:p>
    <w:p>
      <w:pPr>
        <w:sectPr>
          <w:pgSz w:w="11900" w:h="16838" w:orient="portrait"/>
          <w:cols w:equalWidth="0" w:num="4">
            <w:col w:w="1860" w:space="720"/>
            <w:col w:w="400" w:space="720"/>
            <w:col w:w="1920" w:space="720"/>
            <w:col w:w="4920"/>
          </w:cols>
          <w:pgMar w:left="320" w:top="225" w:right="319" w:bottom="1440" w:gutter="0" w:footer="0" w:header="0"/>
          <w:type w:val="continuous"/>
        </w:sectPr>
      </w:pPr>
    </w:p>
    <w:p>
      <w:pPr>
        <w:spacing w:after="0" w:line="4" w:lineRule="exact"/>
        <w:rPr>
          <w:sz w:val="24"/>
          <w:szCs w:val="24"/>
          <w:color w:val="auto"/>
        </w:rPr>
      </w:pPr>
    </w:p>
    <w:p>
      <w:pPr>
        <w:ind w:right="20"/>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84"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As of November 15, 2022, there were 46,200,742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FORM 10-Q</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BRADY CORPORATION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88"/>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0" w:type="dxa"/>
            <w:vAlign w:val="bottom"/>
          </w:tcPr>
          <w:p>
            <w:pPr>
              <w:spacing w:after="0"/>
              <w:rPr>
                <w:sz w:val="1"/>
                <w:szCs w:val="1"/>
                <w:color w:val="auto"/>
              </w:rPr>
            </w:pPr>
          </w:p>
        </w:tc>
      </w:tr>
      <w:tr>
        <w:trPr>
          <w:trHeight w:val="240"/>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$6,938 and $7,355,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183,233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190,023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21,719</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1,350,629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81,116</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76,764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61,458</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255,174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456,034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46,176,267 and 46,370,708 shares,</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stock—5,085,220 and 4,890,779 shares, respectively, of Class A nonvoting common stock, at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1,350,629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321,475</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166,487</w:t>
            </w:r>
          </w:p>
        </w:tc>
      </w:tr>
      <w:tr>
        <w:trPr>
          <w:trHeight w:val="212"/>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154,988</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96,746</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110,653</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44,335</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44,696</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51,973</w:t>
            </w:r>
          </w:p>
        </w:tc>
      </w:tr>
      <w:tr>
        <w:trPr>
          <w:trHeight w:val="219"/>
        </w:trPr>
        <w:tc>
          <w:tcPr>
            <w:tcW w:w="8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52,436</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(4,718)</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(217,856)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(109,077)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(17,437)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(17,437)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36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 $0.2300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(10,621)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Class B — $0.2134 per share</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2022</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(228,855)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(126,514)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911,725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October 31, 2021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7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Class A — $0.2250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 $0.2084 per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2021</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818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114,471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157,553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October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2022 and July 31, 2022, its results of operations, cash flows and comprehensive income for the three months ended October 31, 2022 and 2021. The condensed consolidated balance sheet as of July 31, 2022,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as if the acquirer had originated the contracts. The guidance is applied prospectively to acquisitions occurring on or after the effective date. The Company early adopted ASU No. 2021-08 during the quarter ended October 31, 2022. The adoption of the new standard will only have an impact on the Company's condensed consolidated financial statements in the event of future acquisitions.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as of October 31, 2022 and July 31, 2022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20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111,897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112,323</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29,272</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48,428</w:t>
            </w:r>
          </w:p>
        </w:tc>
      </w:tr>
      <w:tr>
        <w:trPr>
          <w:trHeight w:val="207"/>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195,695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190,023</w:t>
            </w:r>
          </w:p>
        </w:tc>
      </w:tr>
      <w:tr>
        <w:trPr>
          <w:trHeight w:val="23"/>
        </w:trPr>
        <w:tc>
          <w:tcPr>
            <w:tcW w:w="8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$273,922 and $272,376 as of October 31, 2022 and July 31,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October 31, 2022 and July 31, 2022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53,298</w:t>
            </w:r>
          </w:p>
        </w:tc>
        <w:tc>
          <w:tcPr>
            <w:tcW w:w="12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0" w:type="dxa"/>
            <w:vAlign w:val="bottom"/>
          </w:tcPr>
          <w:p>
            <w:pPr>
              <w:spacing w:after="0"/>
              <w:rPr>
                <w:sz w:val="1"/>
                <w:szCs w:val="1"/>
                <w:color w:val="auto"/>
              </w:rPr>
            </w:pPr>
          </w:p>
        </w:tc>
      </w:tr>
      <w:tr>
        <w:trPr>
          <w:trHeight w:val="195"/>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0" w:type="dxa"/>
            <w:vAlign w:val="bottom"/>
          </w:tcPr>
          <w:p>
            <w:pPr>
              <w:spacing w:after="0"/>
              <w:rPr>
                <w:sz w:val="1"/>
                <w:szCs w:val="1"/>
                <w:color w:val="auto"/>
              </w:rPr>
            </w:pPr>
          </w:p>
        </w:tc>
      </w:tr>
      <w:tr>
        <w:trPr>
          <w:trHeight w:val="22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October 31, 2022 compared to July 31, 2022 was due to the effect of currency fluctuations during the three-month period. Amortization expense on intangible assets was $3,631 and $3,807 for the three months ended October 31, 2022 and 2021,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October 31, 2022,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$3,780 and $4,765 for the three months ended October 31, 2022 and 2021,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months ended October 31, 2022 and 2021.</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three months ended October 31, 2022 and 2021,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4,999</w:t>
            </w:r>
          </w:p>
        </w:tc>
      </w:tr>
      <w:tr>
        <w:trPr>
          <w:trHeight w:val="27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 (2)</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bl>
    <w:p>
      <w:pPr>
        <w:ind w:left="520" w:hanging="188"/>
        <w:spacing w:after="0" w:line="212" w:lineRule="auto"/>
        <w:tabs>
          <w:tab w:leader="none" w:pos="5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new leases and remeasurements or modifications of existing leases.</w:t>
      </w:r>
    </w:p>
    <w:p>
      <w:pPr>
        <w:spacing w:after="0" w:line="2" w:lineRule="exact"/>
        <w:rPr>
          <w:rFonts w:ascii="Times New Roman" w:cs="Times New Roman" w:eastAsia="Times New Roman" w:hAnsi="Times New Roman"/>
          <w:sz w:val="23"/>
          <w:szCs w:val="23"/>
          <w:color w:val="auto"/>
          <w:vertAlign w:val="superscript"/>
        </w:rPr>
      </w:pPr>
    </w:p>
    <w:p>
      <w:pPr>
        <w:jc w:val="both"/>
        <w:ind w:firstLine="332"/>
        <w:spacing w:after="0" w:line="543" w:lineRule="auto"/>
        <w:tabs>
          <w:tab w:leader="none" w:pos="48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three months ended October 31, 2021, the Company purchased two buildings which were previously leased. This resulted in a decrease in operating lease assets obtained in exchange for lease liabilities for the period as the remaining lease assets and liabilities were removed from the condensed consolidated balance sheets.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the unrealized gain from cash flow hedges and the unamortized gain on post-retirement plans, net of their related tax effects.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three months ended October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(129,139)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October 31, 2022, compared to July 31, 2022, was primarily due to the appreciation of the U.S. dollar against certain other currencies during the three-month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three months ended October 31,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(62,483)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accumulated other comprehensive loss as of October 31, 2021, compared to July 31, 2021, was primarily due to the appreciation of the U.S. dollar against certain other currencies during the three-month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three months ended October 31, 2022 and 2021, unrealized gains on cash flow hedges were reclassified to "Cost of goods sold" and unamortized gains on post-retirement plans was reclassified into "Investment and other (expense) income" on the condensed consolidated statements of income.</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for the three months ended October 31,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8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liability. The balance of contract liabilities associated with service warranty performance obligations was $2,727 and $2,675 as of October 31, 2022 and July 31, 2022, respectively. The current portion and non-current portion of contract liabilities are included in “Other current liabilities” and “Other liabilities," respectively, on the condensed consolidated balance sheets. The Company recognized revenue of $306 and $289 during the three months ended October 31, 2022 and 2021, respectively, that was included in the contract liability balance at the beginning of the respective period from the amortization of extended service warranties. Of the contract liability balance outstanding at October 31, 2022, the Company expects to recognize 32% by the end of fiscal 2023, an additional 31% by the end of fiscal 2024, and the remaining balance thereafter.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months ended October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164,910</w:t>
            </w:r>
          </w:p>
        </w:tc>
        <w:tc>
          <w:tcPr>
            <w:tcW w:w="0" w:type="dxa"/>
            <w:vAlign w:val="bottom"/>
          </w:tcPr>
          <w:p>
            <w:pPr>
              <w:spacing w:after="0"/>
              <w:rPr>
                <w:sz w:val="1"/>
                <w:szCs w:val="1"/>
                <w:color w:val="auto"/>
              </w:rPr>
            </w:pPr>
          </w:p>
        </w:tc>
      </w:tr>
      <w:tr>
        <w:trPr>
          <w:trHeight w:val="214"/>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56,889</w:t>
            </w: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26,818</w:t>
            </w:r>
          </w:p>
        </w:tc>
        <w:tc>
          <w:tcPr>
            <w:tcW w:w="0" w:type="dxa"/>
            <w:vAlign w:val="bottom"/>
          </w:tcPr>
          <w:p>
            <w:pPr>
              <w:spacing w:after="0"/>
              <w:rPr>
                <w:sz w:val="1"/>
                <w:szCs w:val="1"/>
                <w:color w:val="auto"/>
              </w:rPr>
            </w:pP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256,356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248,617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WPS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21,142</w:t>
            </w: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38,022</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186,052</w:t>
            </w:r>
          </w:p>
        </w:tc>
        <w:tc>
          <w:tcPr>
            <w:tcW w:w="0" w:type="dxa"/>
            <w:vAlign w:val="bottom"/>
          </w:tcPr>
          <w:p>
            <w:pPr>
              <w:spacing w:after="0"/>
              <w:rPr>
                <w:sz w:val="1"/>
                <w:szCs w:val="1"/>
                <w:color w:val="auto"/>
              </w:rPr>
            </w:pPr>
          </w:p>
        </w:tc>
      </w:tr>
      <w:tr>
        <w:trPr>
          <w:trHeight w:val="214"/>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94,911</w:t>
            </w: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40,512</w:t>
            </w:r>
          </w:p>
        </w:tc>
        <w:tc>
          <w:tcPr>
            <w:tcW w:w="0" w:type="dxa"/>
            <w:vAlign w:val="bottom"/>
          </w:tcPr>
          <w:p>
            <w:pPr>
              <w:spacing w:after="0"/>
              <w:rPr>
                <w:sz w:val="1"/>
                <w:szCs w:val="1"/>
                <w:color w:val="auto"/>
              </w:rPr>
            </w:pP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321,475</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months ended October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51,525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48,816</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57,903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51,109</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income before income taxes for the three months ended October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50,335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44,696</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Stock-Based Compensation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during the three months ended October 31, 2022 and 2021 was $2,958 and $4,129, respectively. The total income tax benefit recognized in the condensed consolidated statements of income was $192 and $199 during the three months ended October 31, 2022 and 2021,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market price of the Company's stock at the date of the grant and generally vest ratably over three years, with one-third becoming exercisable one year after the grant date and one-third additional in each of the succeeding two years. Options issued under the plan, referred to herein as “time-based” options, generally expire ten years from the date of grant.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estimated the fair value of its time-based option awards granted during the three months ended October 31, 2022 and 2021, using the Black-Scholes option valuation model. The weighted-average assumptions used in the Black-Scholes valuation model are reflected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20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October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gridSpan w:val="2"/>
            <w:vMerge w:val="continue"/>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October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1,706,413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October 31, 2022</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1,270,763</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October 31, 2022 and 2021 was $12.06 and $11.29, respectively. The total intrinsic value of stock options exercised during the three months ended October 31, 2022 and 2021 was $364 and $319, respectively. The total fair value of stock options vested during the three months ended October 31, 2022 and 2021 was $2,458 and $2,446,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cash received from the exercise of stock options during the three months ended October 31, 2022 and 2021 was $349 and $151, respectively. The tax benefit from the exercise of stock options during the three months ended October 31, 2022 and 2021 was $91 and $80, respectively.</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2022, total unrecognized compensation cost related to stock options was $2,898 pre-tax, net of estimated forfeitures, which the Company expects to recognize over a weighted-average period of 2.1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RSU activity for the three months ended October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July 31,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October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granted during the three months ended October 31, 2021 had a weighted-average grant date fair value of $49.85. The total fair value of RSUs vested during three months ended October 31, 2022 and 2021 was $2,608 and $3,380,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2022, total unrecognized compensation cost related to RSUs was $5,029 pre-tax, net of estimated forfeitures, which the Company expects to recognize over a weighted-average period of 2.2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PRSUs are contingent on the achievement of predetermined market and performance targets. The PRSUs granted under the plan vest at the end of a three-year performance period provided the specified market and performance targets are met. For the PRSUs granted during the three months ended October 31, 2022 and 2021, the vesting criteria for 50% of the grant is based upon the Company's total shareholder return ("TSR") relative to the S&amp;P 600 SmallCap Industrials Index over a three-year performance period, and the vesting criteria for the other 50% of the grant is based upon Company revenue targets. All other previously granted non-vested PRSUs vest based upon the Company's TSR relative to the S&amp;P 600 SmallCap Industrials Index.</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calculates the fair value of each component of the applicable PRSUs individually. The fair value of the revenue target metric, which is a performance condition, is equal to the average of the high and low stock price on the grant date. The fair value of the TSR metric, which is a market condition, is determined using a Monte Carlo valuation model. The assumptions used in the Monte Carlo valuation model are reflected in the following table:</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4"/>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Monte Carlo Valuation Assumptions</w:t>
            </w: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PRSU activity for the three months ended October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July 31, 2022</w:t>
            </w:r>
          </w:p>
        </w:tc>
        <w:tc>
          <w:tcPr>
            <w:tcW w:w="1560" w:type="dxa"/>
            <w:vAlign w:val="bottom"/>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79,134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auto"/>
                <w:w w:val="99"/>
              </w:rPr>
              <w:t>44,110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6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(18,959)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tcPr>
          <w:p>
            <w:pPr>
              <w:jc w:val="center"/>
              <w:ind w:left="879"/>
              <w:spacing w:after="0"/>
              <w:rPr>
                <w:sz w:val="20"/>
                <w:szCs w:val="20"/>
                <w:color w:val="auto"/>
              </w:rPr>
            </w:pPr>
            <w:r>
              <w:rPr>
                <w:rFonts w:ascii="Times New Roman" w:cs="Times New Roman" w:eastAsia="Times New Roman" w:hAnsi="Times New Roman"/>
                <w:sz w:val="16"/>
                <w:szCs w:val="16"/>
                <w:color w:val="auto"/>
              </w:rPr>
              <w:t>(16,332)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October 31, 2022</w:t>
            </w:r>
          </w:p>
        </w:tc>
        <w:tc>
          <w:tcPr>
            <w:tcW w:w="1560" w:type="dxa"/>
            <w:vAlign w:val="bottom"/>
            <w:tcBorders>
              <w:bottom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87,953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three months ended October 31, 2021 had a weighted-average grant date fair value of $61.76. The total fair value of PRSUs vested during three months ended October 31, 2022 and 2021 was $889 and $4,098,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2022, total unrecognized compensation cost related to PRSUs was $2,889 pre-tax, net of estimated forfeitures, which the Company expects to recognize over a weighted-average period of 2.4 years.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51,973</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10"/>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583,533 and 479,602 for the three months ended October 31, 2022 and 2021,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October 31, 2022 and July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18,037</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2022 and July 31, 2022, unrealized gains of $1,352 and $1,040 have been included in OCI,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foreign exchange contracts designated as cash flow hedging instruments: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38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recognized in OCI</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reclassified from OCI into cost of goods sold</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568</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w:t>
            </w:r>
          </w:p>
        </w:tc>
        <w:tc>
          <w:tcPr>
            <w:tcW w:w="200" w:type="dxa"/>
            <w:vAlign w:val="bottom"/>
          </w:tcPr>
          <w:p>
            <w:pPr>
              <w:spacing w:after="0"/>
              <w:rPr>
                <w:sz w:val="13"/>
                <w:szCs w:val="13"/>
                <w:color w:val="auto"/>
              </w:rPr>
            </w:pPr>
          </w:p>
        </w:tc>
        <w:tc>
          <w:tcPr>
            <w:tcW w:w="13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other current</w:t>
            </w: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other current</w:t>
            </w: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(non-designated hedges)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Income Taxes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rate was 21.6% for the three months ended October 31, 2022 and 2021. The Company expects its ongoing annual income tax rate to be approximately 20% based on its current global business mix and based on tax laws and statutory rates currently in effect.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Credit Agreement (“Amendment No. 2”) with a group of six banks, which amends the original credit agreement dated as of August 1, 2019. Amendment No. 2 amends the credit agreement to, among other items, (a) increase the lending commitments by $100,000 for total lending commitments of $300,000 (b) extend the final maturity date to November 14, 2027, (c) increase the interest rate on certain borrowings by 0.125%, and (d) increase the available amount under the credit agreement, at the Company's option and subject to certain conditions, from $300,000 up to (i) an amount equal to the incremental borrowing necessary to bring the</w:t>
      </w:r>
    </w:p>
    <w:p>
      <w:pPr>
        <w:spacing w:after="0" w:line="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Company's consolidated net debt-to-EBITDA ratio to 2.5 to 1.0 plus (ii) $200,000. Borrowings under Amendment No. 2 remain unsecured and are guaranteed by certain of the Company's domestic subsidiaries. The credit agreement (as amended by Amendment No. 2) continues to contain various financial covenants, including a consolidated net debt-to-EBITDA ratio of 3.5 to 1.0 and a consolidated interest coverage ratio of 3.0 to 1.0.</w:t>
      </w:r>
    </w:p>
    <w:p>
      <w:pPr>
        <w:spacing w:after="0" w:line="11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 November 16, 2022, the Board of Directors declared a quarterly cash dividend to shareholders of the Company’s Class A and Class B Common Stock of $0.23 per share payable on January 31, 2023, to shareholders of record at the close of business on January 10,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manufactures a broad range of stock and custom identification products and sells a broad range of resale products.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new products, deliver a high level of customer service, advance our digital capabilities, and continuously improve the efficiency of our global operations.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streamlining our product offerings, compliance expertise, customization expertise, improving the overall customer experience,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2023:</w:t>
      </w:r>
    </w:p>
    <w:p>
      <w:pPr>
        <w:spacing w:after="0" w:line="171"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supply chain disruptions and inflationary pressures while ensuring prices are market competitive.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acquisitions that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 and managing working capital.</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the COVID-19 Pandemic and other Global Geopolitical Events on Our Business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increased freight and input material cost inflation as a result of increased global demand, disruptions caused by COVID-19 and government-mandated actions in response to COVID-19, the conflict in the Ukraine, as well as labor shortages. The Company has taken and will continue to take actions to mitigate inflation issues, but thus far has not fully offset the impact of these trends through pricing actions. As a result, these trends have negatively impacted the Company's gross profit margin.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the financial strength to continue to invest in organic sales growth opportunities including sales, marketing, and research and development ("R&amp;D") and inorganic sales opportunities including acquisitions, while continuing to drive sustainable efficiency gains and automation in our operations and selling, general and administrative ("SG&amp;A") functions. At October 31, 2022, we had cash of $114.5 million, as well as a credit facility with $99.4 million available for future borrowing, which can be increased up to $299.4 million at the Company's option and subject to certain conditions, for total available liquidity of $413.9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remaining undrawn amount of the credit facility and our ability to increase that credit line as necessary are sufficient to manage the continuing impact of geopolitical events which may result in reduced sales, reduced net income, and reduced cash provided by operating activities. Refer to Risk Factors, included in Part I, Item 1A of our Annual Report on Form 10-K for the year ended July 31, 2022, for further discussion of the possible impact of the COVID-19 pandemic and other global geopolitical events on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months ended October 31, 2022 and 2021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2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322,569</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321,475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155,264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154,988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89,945</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103,878</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110,653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October 31, 2022, increased 0.3% to $322.6 million, compared to $321.5 million in the same period in the prior year. The increase consisted of organic sales growth of 6.9% partially offset by a decrease from foreign currency translation of 6.6%. Organic sales grew 8.6% in the IDS segment and grew 1.2% in the WPS segment during the three months ended October 31, 2022, compared to the same period in the prior year.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margin increased 0.2% to $155.3 million in the three months ended October 31, 2022, compared to $155.0 million in the same period in the prior year. As a percentage of net sales, gross margin decreased to 48.1% compared to 48.2% in the same period in the prior year. The decrease in gross margin as a percentage of net sales was primarily due to an increase in the cost of materials and labor, which was partially mitigated by price increases as well as our ongoing efforts to streamline manufacturing processes and drive sustainable operational efficiencies.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R&amp;D expenses were consistent at $13.9 million and 4.3% of sales in the three months ended October 31, 2022 and 2021. The Company remains committed to investing in new product development to increase sales within our IDS and WPS businesses. Investments in new printing systems, materials and the build out of a comprehensive industrial track and trace solution remain the primary focus of R&amp;D expenditures for the remainder of fiscal 2023.</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decreased 7.0% to $89.9 million in the three months ended October 31, 2022, compared to $96.7 million in the same period in the prior year. As a percentage of sales, SG&amp;A decreased to 27.9% for the three months ended October 31, 2022, compared to 30.1% in the same period in the prior year. The decrease in SG&amp;A expenses was primarily due to foreign currency translation and to a lesser extent, reductions in catalog advertising expenses within the WPS segment.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15.9% to $51.4 million in the three months ended October 31, 2022, compared to $44.3 million in the same period in the prior year. The increase in operating income was due to an increase in segment profit in the WPS business due to actions taken last fiscal year to reduce the cost structure along with ongoing reductions in catalog advertising expenses, as well as an increase in IDS segment profit resulting from organic sales growth.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51,386</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expense was $0.2 million in the three months ended October 31, 2022, compared to investment and other income of $0.5 million in the same period in the prior year. The change was primarily due to a decrease in the market value of securities held in deferred compensation plans during the three months ended October 31, 2022.</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to $0.9 million in the three months ended October 31, 2022, compared to $0.2 million in the same period in the prior year. The increase in interest expense was primarily due to an increase in interest rates in the Company's revolving loan agreement and partially due to an increase in outstanding borrowings on the Company's revolving loan agreement compared to the same period in the prior year.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income tax rate was 21.6% for the three months ended October 31, 2022 and 2021. Refer to Note M "Income Taxes" for additional information on the Company's income tax rate.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(expense) income, income tax expense, and certain corporate administrative expenses are excluded when evaluating segment performance.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months ended October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IDS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WPS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34"/>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51,525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48,816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6,378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57,903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51,109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IDS net sales increased 3.1% to $256.4 million in the three months ended October 31, 2022, compared to $248.6 million in the same period in the prior year, which consisted of organic sales growth of 8.6% and a decrease from foreign currency translation of 5.5%. Organic sales grew in all major product lines with the most significant growth in the safety and facility identification product line, followed by growth in the product identification, wire identification and healthcare identification product lines.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Organic sales in the Americas increased in the mid-single digits, organic sales in Europe increased in the mid-teens, and organic sales in Asia increased in the mid-single digits in the three months ended October 31, 2022 compared to the same period in the prior year.</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profit increased 5.5% to $51.5 million in the three months ended October 31, 2022, compared to $48.8 million in the same period in the prior year. As a percentage of net sales, segment profit was 20.1% compared to 19.6% in the same period in the prior year. The increase in segment profit was primarily due to increased sales volumes in all regions and all major product lines globally.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WPS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WPS net sales declined 9.1% to $66.2 million in the three months ended October 31, 2022, compared to $72.9 million in the same period in the prior year, which consisted of an organic sales increase of 1.2% and a decrease from foreign currency translation of 10.3%. Organic digital sales increased by nearly 13% and organic catalog sales declined in the low-single digits in the three-month period.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Europe increased in the mid-single digits consisting of digital sales growth of approximately 10% and low-single digit catalog channel sales growth. Organic sales in North America declined by approximately 11% primarily due to actions taken to improve price competitiveness and simplify our product offering, which contributed to the significant improvement in segment profit in the three-month period. Organic sales in Australia increased by approximately 11% in the three months ended October 31, 2022 compared to the same period in the prior year consisting of high-single digit digital sales growth and catalog channel sales growth of approximately 12%.</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Segment profit increased 178.2% to $6.4 million in the three months ended October 31, 2022, compared to $2.3 million in the same period of the prior year. As a percentage of net sales, segment profit improved to 9.6% compared to 3.1% in the same period of the prior year. The increase in segment profit was primarily due to actions taken during fiscal 2022 to reduce the cost structure as well as ongoing reductions in catalog advertising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October 31, 2022, approximately 95%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$114.5 million at October 31, 2022, an increase of $0.4 million from July 31, 2022.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27,491</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10,218</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was $28.0 million in the three months ended October 31, 2022, compared to $27.5 million in the same period of the prior year. The use of cash from working capital was reduced primarily due to a decrease in the amount of inventory purchases in the current quarter, which was offset by the annual cash incentive plan payment made in the current quarter compared to the second quarter of the prior year.</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consisted of $3.9 million of capital expenditures in the three months ended October 31, 2022, compared to $11.3 million of capital expenditures in the same period of the prior year. Prior year capital expenditures were elevated due to the purchase of two facilities that were previously leased.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$20.5 million in the three months ended October 31, 2022 compared to $4.6 million in the same period of the prior year. Net borrowings on the credit facility declined by $25.0 million primarily due to reduced capital expenditures and share repurchases in the three months ended October 31, 2022 compared to the same period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credit facilities and lease obligations. We believe that net cash provided by operating activities will continue to be adequate to meet our liquidity and capital needs for these items over the short-term in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revolving loan agreement with a group of five banks. At the Company's option, and subject to certain conditions, the available amount under the revolving loan agreement may be increased from $200 million to $400 million.</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revolving loan agreement, which amends the revolving loan agreement dated August 1, 2019. The amendment amends the revolving loan agreement to, among other items, (a) change the interest rate under the revolving loan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revolving loan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revolving loan agreement did not have a material impact on the interest rate or related balances in the Company's consolidated financial statements.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October 31, 2022, the outstanding balance on the Company's revolving loan agreement was $99.0 million. The maximum amount outstanding on the credit facility during the three months ended October 31, 2022 was $101.0 million. The borrowings bear interest at 4.09% as of October 31, 2022. The Company had letters of credit outstanding under the loan agreement of $1.6 million as of October 31, 2022 and there was $99.4 million available for future borrowing, which can be increased to $299.4 million at the Company's option, subject to certain conditions. The revolving loan agreement has a final maturity date of August 1, 2024. As such, borrowings were classified as long-term on the Condensed Consolidated Balance Sheets.</w:t>
      </w:r>
    </w:p>
    <w:p>
      <w:pPr>
        <w:spacing w:after="0" w:line="129" w:lineRule="exact"/>
        <w:rPr>
          <w:sz w:val="20"/>
          <w:szCs w:val="20"/>
          <w:color w:val="auto"/>
        </w:rPr>
      </w:pPr>
    </w:p>
    <w:p>
      <w:pPr>
        <w:ind w:right="11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Refer to Item 1, Note N, "Subsequent Events" for information regarding the Company's subsequent events affecting financial condition. </w:t>
      </w:r>
      <w:r>
        <w:rPr>
          <w:rFonts w:ascii="Times New Roman" w:cs="Times New Roman" w:eastAsia="Times New Roman" w:hAnsi="Times New Roman"/>
          <w:sz w:val="18"/>
          <w:szCs w:val="18"/>
          <w:i w:val="1"/>
          <w:iCs w:val="1"/>
          <w:color w:val="auto"/>
        </w:rPr>
        <w:t>Covenant Compliance</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2022, the Company was in compliance with these financial covenants, with a ratio of debt to EBITDA, as defined by the agreements, equal to 0.38 to 1.0 and the interest expense coverage ratio equal to 125.1 to 1.0.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and freight as well as raw material shortages and supply chain disruptions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novel coronavirus ("COVID-19") pandemic or other pandemics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its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2022. There has been no material change in this information since July 31,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2022. There have been no material changes from the risk factors set forth in the 2022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May 24, 2022, the Company's Board of Directors authorized an increase in the Company's share repurchase program, authorizing the repurchase of up to $100.0 million of the Company's Class A Nonvoting Common Stock. As of October 31, 2022, there were $72.9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October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2022 - August 31, 2022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85,010</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2022 - September 30,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73,932</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2022 - October 31, 2022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72,939</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72,939</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6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40" w:type="dxa"/>
            <w:vAlign w:val="bottom"/>
            <w:tcBorders>
              <w:top w:val="single" w:sz="8" w:color="auto"/>
            </w:tcBorders>
            <w:gridSpan w:val="9"/>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Settlement Agreement between the Company and Mr. Deman dated as of October 10, 2022 (incorporated by reference</w:t>
              </w:r>
            </w:hyperlink>
          </w:p>
        </w:tc>
      </w:tr>
      <w:tr>
        <w:trPr>
          <w:trHeight w:val="156"/>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to Registrant's Current report on Form 8-K filed October 11, 2022).*</w:t>
              </w:r>
            </w:hyperlink>
          </w:p>
        </w:tc>
        <w:tc>
          <w:tcPr>
            <w:tcW w:w="20" w:type="dxa"/>
            <w:vAlign w:val="bottom"/>
          </w:tcPr>
          <w:p>
            <w:pPr>
              <w:spacing w:after="0"/>
              <w:rPr>
                <w:sz w:val="13"/>
                <w:szCs w:val="13"/>
                <w:color w:val="auto"/>
              </w:rPr>
            </w:pPr>
          </w:p>
        </w:tc>
      </w:tr>
      <w:tr>
        <w:trPr>
          <w:trHeight w:val="20"/>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9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9"/>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Second Amendment to Credit Agreement, among the Company and the lenders listed therein, dated as of November</w:t>
              </w:r>
            </w:hyperlink>
          </w:p>
        </w:tc>
      </w:tr>
      <w:tr>
        <w:trPr>
          <w:trHeight w:val="155"/>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14, 2022 (incorporated by reference to Registrant's Current report on Form 8-K filed November 15, 2022).</w:t>
              </w:r>
            </w:hyperlink>
          </w:p>
        </w:tc>
        <w:tc>
          <w:tcPr>
            <w:tcW w:w="40" w:type="dxa"/>
            <w:vAlign w:val="bottom"/>
            <w:gridSpan w:val="2"/>
          </w:tcPr>
          <w:p>
            <w:pPr>
              <w:spacing w:after="0"/>
              <w:rPr>
                <w:sz w:val="13"/>
                <w:szCs w:val="13"/>
                <w:color w:val="auto"/>
              </w:rPr>
            </w:pPr>
          </w:p>
        </w:tc>
      </w:tr>
      <w:tr>
        <w:trPr>
          <w:trHeight w:val="49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Russell R. Shaller</w:t>
            </w:r>
          </w:p>
        </w:tc>
        <w:tc>
          <w:tcPr>
            <w:tcW w:w="980" w:type="dxa"/>
            <w:vAlign w:val="bottom"/>
            <w:gridSpan w:val="3"/>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Aaron J. Pearce</w:t>
            </w:r>
          </w:p>
        </w:tc>
        <w:tc>
          <w:tcPr>
            <w:tcW w:w="4320" w:type="dxa"/>
            <w:vAlign w:val="bottom"/>
            <w:gridSpan w:val="5"/>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720" w:type="dxa"/>
            <w:vAlign w:val="bottom"/>
            <w:tcBorders>
              <w:top w:val="single" w:sz="8" w:color="0000FF"/>
            </w:tcBorders>
          </w:tcPr>
          <w:p>
            <w:pPr>
              <w:spacing w:after="0"/>
              <w:rPr>
                <w:sz w:val="24"/>
                <w:szCs w:val="24"/>
                <w:color w:val="auto"/>
              </w:rPr>
            </w:pPr>
          </w:p>
        </w:tc>
        <w:tc>
          <w:tcPr>
            <w:tcW w:w="4480" w:type="dxa"/>
            <w:vAlign w:val="bottom"/>
            <w:gridSpan w:val="6"/>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Aaron J. Pearce</w:t>
            </w:r>
          </w:p>
        </w:tc>
        <w:tc>
          <w:tcPr>
            <w:tcW w:w="5360" w:type="dxa"/>
            <w:vAlign w:val="bottom"/>
            <w:gridSpan w:val="8"/>
          </w:tcPr>
          <w:p>
            <w:pPr>
              <w:spacing w:after="0"/>
              <w:rPr>
                <w:sz w:val="24"/>
                <w:szCs w:val="24"/>
                <w:color w:val="auto"/>
              </w:rPr>
            </w:pPr>
          </w:p>
        </w:tc>
      </w:tr>
      <w:tr>
        <w:trPr>
          <w:trHeight w:val="46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w:t>
            </w:r>
          </w:p>
        </w:tc>
      </w:tr>
      <w:tr>
        <w:trPr>
          <w:trHeight w:val="234"/>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50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Presentation Label Linkbase Document</w:t>
            </w:r>
          </w:p>
        </w:tc>
      </w:tr>
      <w:tr>
        <w:trPr>
          <w:trHeight w:val="50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Inline XBRL data (contained in Exhibit 101)</w:t>
            </w:r>
          </w:p>
        </w:tc>
      </w:tr>
    </w:tbl>
    <w:p>
      <w:pPr>
        <w:spacing w:after="0" w:line="200" w:lineRule="exact"/>
        <w:rPr>
          <w:sz w:val="20"/>
          <w:szCs w:val="20"/>
          <w:color w:val="auto"/>
        </w:rPr>
      </w:pPr>
    </w:p>
    <w:p>
      <w:pPr>
        <w:spacing w:after="0" w:line="349"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2022</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2"/>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2022</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AARON J. PEARCE</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Aaron J. Pearce</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2022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2022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7" Type="http://schemas.openxmlformats.org/officeDocument/2006/relationships/hyperlink" Target="https://www.sec.gov/Archives/edgar/data/746598/000074659822000136/exhibit101settlementagreem.htm" TargetMode="External"/><Relationship Id="rId38" Type="http://schemas.openxmlformats.org/officeDocument/2006/relationships/hyperlink" Target="https://www.sec.gov/Archives/edgar/data/746598/000074659822000142/exhibit101creditagree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2022-11-17T06:18:28Z</dcterms:created>
  <dcterms:modified xsi:type="dcterms:W3CDTF">2022-11-17T06:18:28Z</dcterms:modified>
</cp:coreProperties>
</file>