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3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Rule 13d-102</w:t>
      </w:r>
    </w:p>
    <w:p>
      <w:pPr>
        <w:spacing w:after="0" w:line="16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(Amendment No. __)*</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Brady Corp</w:t>
      </w:r>
    </w:p>
    <w:p>
      <w:pPr>
        <w:spacing w:after="0" w:line="3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common</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104674106</w:t>
      </w:r>
    </w:p>
    <w:p>
      <w:pPr>
        <w:spacing w:after="0" w:line="31"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05/31/2009</w:t>
      </w:r>
    </w:p>
    <w:p>
      <w:pPr>
        <w:spacing w:after="0" w:line="31"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2739" w:firstLine="632"/>
        <w:spacing w:after="0" w:line="25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tbl>
      <w:tblPr>
        <w:tblLayout w:type="fixed"/>
        <w:tblInd w:w="3280" w:type="dxa"/>
        <w:tblCellMar>
          <w:top w:w="0" w:type="dxa"/>
          <w:left w:w="0" w:type="dxa"/>
          <w:bottom w:w="0" w:type="dxa"/>
          <w:right w:w="0" w:type="dxa"/>
        </w:tblCellMar>
      </w:tblPr>
      <w:tr>
        <w:trPr>
          <w:trHeight w:val="171"/>
        </w:trPr>
        <w:tc>
          <w:tcPr>
            <w:tcW w:w="1520" w:type="dxa"/>
            <w:vAlign w:val="bottom"/>
            <w:gridSpan w:val="3"/>
          </w:tcPr>
          <w:p>
            <w:pPr>
              <w:spacing w:after="0" w:line="171" w:lineRule="exact"/>
              <w:rPr>
                <w:sz w:val="20"/>
                <w:szCs w:val="20"/>
                <w:color w:val="auto"/>
              </w:rPr>
            </w:pPr>
            <w:r>
              <w:rPr>
                <w:rFonts w:ascii="Courier New" w:cs="Courier New" w:eastAsia="Courier New" w:hAnsi="Courier New"/>
                <w:sz w:val="18"/>
                <w:szCs w:val="18"/>
                <w:color w:val="auto"/>
                <w:w w:val="99"/>
              </w:rPr>
              <w:t>|X| Rule 13d-1</w:t>
            </w:r>
          </w:p>
        </w:tc>
        <w:tc>
          <w:tcPr>
            <w:tcW w:w="360" w:type="dxa"/>
            <w:vAlign w:val="bottom"/>
          </w:tcPr>
          <w:p>
            <w:pPr>
              <w:ind w:left="60"/>
              <w:spacing w:after="0" w:line="171" w:lineRule="exact"/>
              <w:rPr>
                <w:sz w:val="20"/>
                <w:szCs w:val="20"/>
                <w:color w:val="auto"/>
              </w:rPr>
            </w:pPr>
            <w:r>
              <w:rPr>
                <w:rFonts w:ascii="Courier New" w:cs="Courier New" w:eastAsia="Courier New" w:hAnsi="Courier New"/>
                <w:sz w:val="18"/>
                <w:szCs w:val="18"/>
                <w:color w:val="auto"/>
                <w:w w:val="86"/>
              </w:rPr>
              <w:t>(b)</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|_|</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Rule</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(c)</w:t>
            </w:r>
          </w:p>
        </w:tc>
      </w:tr>
      <w:tr>
        <w:trPr>
          <w:trHeight w:val="296"/>
        </w:trPr>
        <w:tc>
          <w:tcPr>
            <w:tcW w:w="360" w:type="dxa"/>
            <w:vAlign w:val="bottom"/>
          </w:tcPr>
          <w:p>
            <w:pPr>
              <w:spacing w:after="0"/>
              <w:rPr>
                <w:sz w:val="20"/>
                <w:szCs w:val="20"/>
                <w:color w:val="auto"/>
              </w:rPr>
            </w:pPr>
            <w:r>
              <w:rPr>
                <w:rFonts w:ascii="Courier New" w:cs="Courier New" w:eastAsia="Courier New" w:hAnsi="Courier New"/>
                <w:sz w:val="18"/>
                <w:szCs w:val="18"/>
                <w:color w:val="auto"/>
              </w:rPr>
              <w:t>|_|</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Rule</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13d-1</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(d)</w:t>
            </w:r>
          </w:p>
        </w:tc>
      </w:tr>
    </w:tbl>
    <w:p>
      <w:pPr>
        <w:spacing w:after="0" w:line="109"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ind w:right="2199" w:firstLine="632"/>
        <w:spacing w:after="0" w:line="26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90" w:lineRule="exact"/>
        <w:rPr>
          <w:sz w:val="24"/>
          <w:szCs w:val="24"/>
          <w:color w:val="auto"/>
        </w:rPr>
      </w:pPr>
    </w:p>
    <w:p>
      <w:pPr>
        <w:ind w:right="1879" w:firstLine="632"/>
        <w:spacing w:after="0" w:line="265"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1 of 7 Pages</w:t>
      </w: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104674106</w:t>
      </w:r>
    </w:p>
    <w:p>
      <w:pPr>
        <w:spacing w:after="0" w:line="31"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spacing w:after="0" w:line="169"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Neuberger Berman Group LLC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jc w:val="right"/>
        <w:ind w:right="1779"/>
        <w:spacing w:after="0" w:line="238" w:lineRule="auto"/>
        <w:rPr>
          <w:sz w:val="20"/>
          <w:szCs w:val="20"/>
          <w:color w:val="auto"/>
        </w:rPr>
      </w:pPr>
      <w:r>
        <w:rPr>
          <w:rFonts w:ascii="Courier New" w:cs="Courier New" w:eastAsia="Courier New" w:hAnsi="Courier New"/>
          <w:sz w:val="18"/>
          <w:szCs w:val="18"/>
          <w:color w:val="auto"/>
        </w:rPr>
        <w:t>(2) Check the appropriate box if a member of a group (see instructions)   (a)|_| (b)|X|</w:t>
      </w:r>
    </w:p>
    <w:p>
      <w:pPr>
        <w:spacing w:after="0" w:line="1"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169"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169" w:lineRule="exact"/>
        <w:rPr>
          <w:rFonts w:ascii="Courier New" w:cs="Courier New" w:eastAsia="Courier New" w:hAnsi="Courier New"/>
          <w:sz w:val="16"/>
          <w:szCs w:val="16"/>
          <w:color w:val="auto"/>
        </w:rPr>
      </w:pPr>
    </w:p>
    <w:p>
      <w:pPr>
        <w:ind w:left="860" w:right="7479" w:hanging="431"/>
        <w:spacing w:after="0" w:line="347"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39287</w:t>
      </w:r>
    </w:p>
    <w:p>
      <w:pPr>
        <w:spacing w:after="0" w:line="18" w:lineRule="exact"/>
        <w:rPr>
          <w:rFonts w:ascii="Courier New" w:cs="Courier New" w:eastAsia="Courier New" w:hAnsi="Courier New"/>
          <w:sz w:val="18"/>
          <w:szCs w:val="18"/>
          <w:color w:val="auto"/>
        </w:rPr>
      </w:pPr>
    </w:p>
    <w:p>
      <w:pPr>
        <w:ind w:left="860" w:right="7259" w:hanging="431"/>
        <w:spacing w:after="0" w:line="347"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2142489</w:t>
      </w:r>
    </w:p>
    <w:p>
      <w:pPr>
        <w:spacing w:after="0" w:line="18" w:lineRule="exact"/>
        <w:rPr>
          <w:rFonts w:ascii="Courier New" w:cs="Courier New" w:eastAsia="Courier New" w:hAnsi="Courier New"/>
          <w:sz w:val="18"/>
          <w:szCs w:val="18"/>
          <w:color w:val="auto"/>
        </w:rPr>
      </w:pPr>
    </w:p>
    <w:p>
      <w:pPr>
        <w:ind w:left="860" w:right="6939" w:hanging="431"/>
        <w:spacing w:after="0" w:line="347"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8" w:lineRule="exact"/>
        <w:rPr>
          <w:rFonts w:ascii="Courier New" w:cs="Courier New" w:eastAsia="Courier New" w:hAnsi="Courier New"/>
          <w:sz w:val="18"/>
          <w:szCs w:val="18"/>
          <w:color w:val="auto"/>
        </w:rPr>
      </w:pPr>
    </w:p>
    <w:p>
      <w:pPr>
        <w:ind w:left="860" w:right="6739" w:hanging="431"/>
        <w:spacing w:after="0" w:line="347"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2515944</w:t>
      </w:r>
    </w:p>
    <w:p>
      <w:pPr>
        <w:spacing w:after="0" w:line="1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169"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2515944</w:t>
      </w:r>
    </w:p>
    <w:p>
      <w:pPr>
        <w:sectPr>
          <w:pgSz w:w="11900" w:h="16838" w:orient="portrait"/>
          <w:cols w:equalWidth="0" w:num="1">
            <w:col w:w="10219"/>
          </w:cols>
          <w:pgMar w:left="24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53" w:lineRule="exact"/>
        <w:rPr>
          <w:sz w:val="20"/>
          <w:szCs w:val="20"/>
          <w:color w:val="auto"/>
        </w:rPr>
      </w:pPr>
    </w:p>
    <w:p>
      <w:pPr>
        <w:ind w:left="540" w:right="1879" w:hanging="539"/>
        <w:spacing w:after="0" w:line="238" w:lineRule="auto"/>
        <w:tabs>
          <w:tab w:leader="none" w:pos="52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 |_| (see instructions).</w:t>
      </w:r>
    </w:p>
    <w:p>
      <w:pPr>
        <w:spacing w:after="0" w:line="1"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5.161%</w:t>
      </w:r>
    </w:p>
    <w:p>
      <w:pPr>
        <w:spacing w:after="0" w:line="31"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31"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7 Pages</w:t>
      </w:r>
    </w:p>
    <w:p>
      <w:pPr>
        <w:sectPr>
          <w:pgSz w:w="11900" w:h="16838" w:orient="portrait"/>
          <w:cols w:equalWidth="0" w:num="1">
            <w:col w:w="10219"/>
          </w:cols>
          <w:pgMar w:left="240" w:top="11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CUSIP No. 104674106</w:t>
      </w:r>
    </w:p>
    <w:p>
      <w:pPr>
        <w:spacing w:after="0" w:line="31"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Neuberger Berman LLC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right"/>
        <w:ind w:right="1779"/>
        <w:spacing w:after="0" w:line="238" w:lineRule="auto"/>
        <w:rPr>
          <w:sz w:val="20"/>
          <w:szCs w:val="20"/>
          <w:color w:val="auto"/>
        </w:rPr>
      </w:pPr>
      <w:r>
        <w:rPr>
          <w:rFonts w:ascii="Courier New" w:cs="Courier New" w:eastAsia="Courier New" w:hAnsi="Courier New"/>
          <w:sz w:val="18"/>
          <w:szCs w:val="18"/>
          <w:color w:val="auto"/>
        </w:rPr>
        <w:t>(2) Check the appropriate box if a member of a group (see instructions)   (a)|_| (b)|X|</w:t>
      </w:r>
    </w:p>
    <w:p>
      <w:pPr>
        <w:spacing w:after="0" w:line="1"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169" w:lineRule="exact"/>
        <w:rPr>
          <w:rFonts w:ascii="Courier New" w:cs="Courier New" w:eastAsia="Courier New" w:hAnsi="Courier New"/>
          <w:sz w:val="16"/>
          <w:szCs w:val="16"/>
          <w:color w:val="auto"/>
        </w:rPr>
      </w:pPr>
    </w:p>
    <w:p>
      <w:pPr>
        <w:ind w:left="860" w:right="7479" w:hanging="431"/>
        <w:spacing w:after="0" w:line="347" w:lineRule="auto"/>
        <w:tabs>
          <w:tab w:leader="none" w:pos="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39287</w:t>
      </w:r>
    </w:p>
    <w:p>
      <w:pPr>
        <w:spacing w:after="0" w:line="18" w:lineRule="exact"/>
        <w:rPr>
          <w:rFonts w:ascii="Courier New" w:cs="Courier New" w:eastAsia="Courier New" w:hAnsi="Courier New"/>
          <w:sz w:val="18"/>
          <w:szCs w:val="18"/>
          <w:color w:val="auto"/>
        </w:rPr>
      </w:pPr>
    </w:p>
    <w:p>
      <w:pPr>
        <w:ind w:left="860" w:right="7259" w:hanging="431"/>
        <w:spacing w:after="0" w:line="347" w:lineRule="auto"/>
        <w:tabs>
          <w:tab w:leader="none" w:pos="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2142489</w:t>
      </w:r>
    </w:p>
    <w:p>
      <w:pPr>
        <w:spacing w:after="0" w:line="18" w:lineRule="exact"/>
        <w:rPr>
          <w:rFonts w:ascii="Courier New" w:cs="Courier New" w:eastAsia="Courier New" w:hAnsi="Courier New"/>
          <w:sz w:val="18"/>
          <w:szCs w:val="18"/>
          <w:color w:val="auto"/>
        </w:rPr>
      </w:pPr>
    </w:p>
    <w:p>
      <w:pPr>
        <w:ind w:left="860" w:right="6939" w:hanging="431"/>
        <w:spacing w:after="0" w:line="347" w:lineRule="auto"/>
        <w:tabs>
          <w:tab w:leader="none" w:pos="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8" w:lineRule="exact"/>
        <w:rPr>
          <w:rFonts w:ascii="Courier New" w:cs="Courier New" w:eastAsia="Courier New" w:hAnsi="Courier New"/>
          <w:sz w:val="18"/>
          <w:szCs w:val="18"/>
          <w:color w:val="auto"/>
        </w:rPr>
      </w:pPr>
    </w:p>
    <w:p>
      <w:pPr>
        <w:ind w:left="860" w:right="6739" w:hanging="431"/>
        <w:spacing w:after="0" w:line="347" w:lineRule="auto"/>
        <w:tabs>
          <w:tab w:leader="none" w:pos="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2515944</w:t>
      </w:r>
    </w:p>
    <w:p>
      <w:pPr>
        <w:spacing w:after="0" w:line="1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2515944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1879" w:hanging="539"/>
        <w:spacing w:after="0" w:line="238" w:lineRule="auto"/>
        <w:tabs>
          <w:tab w:leader="none" w:pos="52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 |_| (see instructions).</w:t>
      </w:r>
    </w:p>
    <w:p>
      <w:pPr>
        <w:spacing w:after="0" w:line="1"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5.161%</w:t>
      </w:r>
    </w:p>
    <w:p>
      <w:pPr>
        <w:spacing w:after="0" w:line="31"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169"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BD</w:t>
      </w:r>
      <w:r>
        <w:rPr>
          <w:sz w:val="20"/>
          <w:szCs w:val="20"/>
          <w:color w:val="auto"/>
        </w:rPr>
        <w:tab/>
      </w:r>
      <w:r>
        <w:rPr>
          <w:rFonts w:ascii="Courier New" w:cs="Courier New" w:eastAsia="Courier New" w:hAnsi="Courier New"/>
          <w:sz w:val="18"/>
          <w:szCs w:val="18"/>
          <w:color w:val="auto"/>
        </w:rPr>
        <w:t>IA</w:t>
      </w:r>
    </w:p>
    <w:p>
      <w:pPr>
        <w:spacing w:after="0" w:line="31"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3 of 7 Pages</w:t>
      </w:r>
    </w:p>
    <w:p>
      <w:pPr>
        <w:sectPr>
          <w:pgSz w:w="11900" w:h="16838" w:orient="portrait"/>
          <w:cols w:equalWidth="0" w:num="1">
            <w:col w:w="10219"/>
          </w:cols>
          <w:pgMar w:left="240" w:top="691"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CUSIP No. 104674106</w:t>
      </w:r>
    </w:p>
    <w:p>
      <w:pPr>
        <w:spacing w:after="0" w:line="31"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Neuberger Berman Management LLC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right"/>
        <w:ind w:right="1779"/>
        <w:spacing w:after="0" w:line="238" w:lineRule="auto"/>
        <w:rPr>
          <w:sz w:val="20"/>
          <w:szCs w:val="20"/>
          <w:color w:val="auto"/>
        </w:rPr>
      </w:pPr>
      <w:r>
        <w:rPr>
          <w:rFonts w:ascii="Courier New" w:cs="Courier New" w:eastAsia="Courier New" w:hAnsi="Courier New"/>
          <w:sz w:val="18"/>
          <w:szCs w:val="18"/>
          <w:color w:val="auto"/>
        </w:rPr>
        <w:t>(2) Check the appropriate box if a member of a group (see instructions)   (a)|_| (b)|X|</w:t>
      </w:r>
    </w:p>
    <w:p>
      <w:pPr>
        <w:spacing w:after="0" w:line="1"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169" w:lineRule="exact"/>
        <w:rPr>
          <w:rFonts w:ascii="Courier New" w:cs="Courier New" w:eastAsia="Courier New" w:hAnsi="Courier New"/>
          <w:sz w:val="16"/>
          <w:szCs w:val="16"/>
          <w:color w:val="auto"/>
        </w:rPr>
      </w:pPr>
    </w:p>
    <w:p>
      <w:pPr>
        <w:ind w:left="860" w:right="7479" w:hanging="431"/>
        <w:spacing w:after="0" w:line="347" w:lineRule="auto"/>
        <w:tabs>
          <w:tab w:leader="none" w:pos="8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8" w:lineRule="exact"/>
        <w:rPr>
          <w:rFonts w:ascii="Courier New" w:cs="Courier New" w:eastAsia="Courier New" w:hAnsi="Courier New"/>
          <w:sz w:val="18"/>
          <w:szCs w:val="18"/>
          <w:color w:val="auto"/>
        </w:rPr>
      </w:pPr>
    </w:p>
    <w:p>
      <w:pPr>
        <w:ind w:left="860" w:right="7259" w:hanging="431"/>
        <w:spacing w:after="0" w:line="347" w:lineRule="auto"/>
        <w:tabs>
          <w:tab w:leader="none" w:pos="8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2142489</w:t>
      </w:r>
    </w:p>
    <w:p>
      <w:pPr>
        <w:spacing w:after="0" w:line="18" w:lineRule="exact"/>
        <w:rPr>
          <w:rFonts w:ascii="Courier New" w:cs="Courier New" w:eastAsia="Courier New" w:hAnsi="Courier New"/>
          <w:sz w:val="18"/>
          <w:szCs w:val="18"/>
          <w:color w:val="auto"/>
        </w:rPr>
      </w:pPr>
    </w:p>
    <w:p>
      <w:pPr>
        <w:ind w:left="860" w:right="6939" w:hanging="431"/>
        <w:spacing w:after="0" w:line="347" w:lineRule="auto"/>
        <w:tabs>
          <w:tab w:leader="none" w:pos="8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8" w:lineRule="exact"/>
        <w:rPr>
          <w:rFonts w:ascii="Courier New" w:cs="Courier New" w:eastAsia="Courier New" w:hAnsi="Courier New"/>
          <w:sz w:val="18"/>
          <w:szCs w:val="18"/>
          <w:color w:val="auto"/>
        </w:rPr>
      </w:pPr>
    </w:p>
    <w:p>
      <w:pPr>
        <w:ind w:left="860" w:right="6739" w:hanging="431"/>
        <w:spacing w:after="0" w:line="347" w:lineRule="auto"/>
        <w:tabs>
          <w:tab w:leader="none" w:pos="8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2142489</w:t>
      </w:r>
    </w:p>
    <w:p>
      <w:pPr>
        <w:spacing w:after="0" w:line="1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2142489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1879" w:hanging="539"/>
        <w:spacing w:after="0" w:line="238" w:lineRule="auto"/>
        <w:tabs>
          <w:tab w:leader="none" w:pos="52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 |_| (see instructions).</w:t>
      </w:r>
    </w:p>
    <w:p>
      <w:pPr>
        <w:spacing w:after="0" w:line="1"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4.395%</w:t>
      </w:r>
    </w:p>
    <w:p>
      <w:pPr>
        <w:spacing w:after="0" w:line="31"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169"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BD</w:t>
      </w:r>
      <w:r>
        <w:rPr>
          <w:sz w:val="20"/>
          <w:szCs w:val="20"/>
          <w:color w:val="auto"/>
        </w:rPr>
        <w:tab/>
      </w:r>
      <w:r>
        <w:rPr>
          <w:rFonts w:ascii="Courier New" w:cs="Courier New" w:eastAsia="Courier New" w:hAnsi="Courier New"/>
          <w:sz w:val="18"/>
          <w:szCs w:val="18"/>
          <w:color w:val="auto"/>
        </w:rPr>
        <w:t>IA</w:t>
      </w:r>
    </w:p>
    <w:p>
      <w:pPr>
        <w:spacing w:after="0" w:line="31"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4 of 7 Pages</w:t>
      </w:r>
    </w:p>
    <w:p>
      <w:pPr>
        <w:sectPr>
          <w:pgSz w:w="11900" w:h="16838" w:orient="portrait"/>
          <w:cols w:equalWidth="0" w:num="1">
            <w:col w:w="10219"/>
          </w:cols>
          <w:pgMar w:left="240" w:top="691"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CUSIP No. 104674106</w:t>
      </w:r>
    </w:p>
    <w:p>
      <w:pPr>
        <w:spacing w:after="0" w:line="31"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Neuberger Berman Equity Funds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right"/>
        <w:ind w:right="1779"/>
        <w:spacing w:after="0" w:line="238" w:lineRule="auto"/>
        <w:rPr>
          <w:sz w:val="20"/>
          <w:szCs w:val="20"/>
          <w:color w:val="auto"/>
        </w:rPr>
      </w:pPr>
      <w:r>
        <w:rPr>
          <w:rFonts w:ascii="Courier New" w:cs="Courier New" w:eastAsia="Courier New" w:hAnsi="Courier New"/>
          <w:sz w:val="18"/>
          <w:szCs w:val="18"/>
          <w:color w:val="auto"/>
        </w:rPr>
        <w:t>(2) Check the appropriate box if a member of a group (see instructions)   (a)|_| (b)|X|</w:t>
      </w:r>
    </w:p>
    <w:p>
      <w:pPr>
        <w:spacing w:after="0" w:line="1"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169" w:lineRule="exact"/>
        <w:rPr>
          <w:rFonts w:ascii="Courier New" w:cs="Courier New" w:eastAsia="Courier New" w:hAnsi="Courier New"/>
          <w:sz w:val="16"/>
          <w:szCs w:val="16"/>
          <w:color w:val="auto"/>
        </w:rPr>
      </w:pPr>
    </w:p>
    <w:p>
      <w:pPr>
        <w:ind w:left="860" w:right="7479" w:hanging="431"/>
        <w:spacing w:after="0" w:line="347" w:lineRule="auto"/>
        <w:tabs>
          <w:tab w:leader="none" w:pos="8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8" w:lineRule="exact"/>
        <w:rPr>
          <w:rFonts w:ascii="Courier New" w:cs="Courier New" w:eastAsia="Courier New" w:hAnsi="Courier New"/>
          <w:sz w:val="18"/>
          <w:szCs w:val="18"/>
          <w:color w:val="auto"/>
        </w:rPr>
      </w:pPr>
    </w:p>
    <w:p>
      <w:pPr>
        <w:ind w:left="860" w:right="7259" w:hanging="431"/>
        <w:spacing w:after="0" w:line="347" w:lineRule="auto"/>
        <w:tabs>
          <w:tab w:leader="none" w:pos="8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2142489</w:t>
      </w:r>
    </w:p>
    <w:p>
      <w:pPr>
        <w:spacing w:after="0" w:line="18" w:lineRule="exact"/>
        <w:rPr>
          <w:rFonts w:ascii="Courier New" w:cs="Courier New" w:eastAsia="Courier New" w:hAnsi="Courier New"/>
          <w:sz w:val="18"/>
          <w:szCs w:val="18"/>
          <w:color w:val="auto"/>
        </w:rPr>
      </w:pPr>
    </w:p>
    <w:p>
      <w:pPr>
        <w:ind w:left="860" w:right="6939" w:hanging="431"/>
        <w:spacing w:after="0" w:line="347" w:lineRule="auto"/>
        <w:tabs>
          <w:tab w:leader="none" w:pos="8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8" w:lineRule="exact"/>
        <w:rPr>
          <w:rFonts w:ascii="Courier New" w:cs="Courier New" w:eastAsia="Courier New" w:hAnsi="Courier New"/>
          <w:sz w:val="18"/>
          <w:szCs w:val="18"/>
          <w:color w:val="auto"/>
        </w:rPr>
      </w:pPr>
    </w:p>
    <w:p>
      <w:pPr>
        <w:ind w:left="860" w:right="6739" w:hanging="431"/>
        <w:spacing w:after="0" w:line="347" w:lineRule="auto"/>
        <w:tabs>
          <w:tab w:leader="none" w:pos="8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2142489</w:t>
      </w:r>
    </w:p>
    <w:p>
      <w:pPr>
        <w:spacing w:after="0" w:line="1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2142489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1879" w:hanging="539"/>
        <w:spacing w:after="0" w:line="238" w:lineRule="auto"/>
        <w:tabs>
          <w:tab w:leader="none" w:pos="52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 |_| (see instructions).</w:t>
      </w:r>
    </w:p>
    <w:p>
      <w:pPr>
        <w:spacing w:after="0" w:line="1"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4.395%</w:t>
      </w:r>
    </w:p>
    <w:p>
      <w:pPr>
        <w:spacing w:after="0" w:line="31"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IV</w:t>
      </w:r>
    </w:p>
    <w:p>
      <w:pPr>
        <w:spacing w:after="0" w:line="31"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5 of 7 Pages</w:t>
      </w:r>
    </w:p>
    <w:p>
      <w:pPr>
        <w:sectPr>
          <w:pgSz w:w="11900" w:h="16838" w:orient="portrait"/>
          <w:cols w:equalWidth="0" w:num="1">
            <w:col w:w="10219"/>
          </w:cols>
          <w:pgMar w:left="240" w:top="691"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Brady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6555 West Good Hope Road</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Milwaukee, WI 53201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Neuberger Berman Group LLC</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Neuberger Berman LLC</w:t>
      </w:r>
    </w:p>
    <w:p>
      <w:pPr>
        <w:ind w:left="1160"/>
        <w:spacing w:after="0" w:line="238" w:lineRule="auto"/>
        <w:rPr>
          <w:sz w:val="20"/>
          <w:szCs w:val="20"/>
          <w:color w:val="auto"/>
        </w:rPr>
      </w:pPr>
      <w:r>
        <w:rPr>
          <w:rFonts w:ascii="Courier New" w:cs="Courier New" w:eastAsia="Courier New" w:hAnsi="Courier New"/>
          <w:sz w:val="18"/>
          <w:szCs w:val="18"/>
          <w:color w:val="auto"/>
        </w:rPr>
        <w:t>Neuberger Berman Management LLC</w:t>
      </w:r>
    </w:p>
    <w:p>
      <w:pPr>
        <w:ind w:left="1160"/>
        <w:spacing w:after="0"/>
        <w:rPr>
          <w:sz w:val="20"/>
          <w:szCs w:val="20"/>
          <w:color w:val="auto"/>
        </w:rPr>
      </w:pPr>
      <w:r>
        <w:rPr>
          <w:rFonts w:ascii="Courier New" w:cs="Courier New" w:eastAsia="Courier New" w:hAnsi="Courier New"/>
          <w:sz w:val="18"/>
          <w:szCs w:val="18"/>
          <w:color w:val="auto"/>
        </w:rPr>
        <w:t>Neuberger Berman Equity Funds</w:t>
      </w:r>
    </w:p>
    <w:p>
      <w:pPr>
        <w:spacing w:after="0" w:line="169" w:lineRule="exact"/>
        <w:rPr>
          <w:sz w:val="20"/>
          <w:szCs w:val="20"/>
          <w:color w:val="auto"/>
        </w:rPr>
      </w:pPr>
    </w:p>
    <w:p>
      <w:pPr>
        <w:ind w:left="1160" w:right="1779"/>
        <w:spacing w:after="0" w:line="298" w:lineRule="auto"/>
        <w:rPr>
          <w:sz w:val="20"/>
          <w:szCs w:val="20"/>
          <w:color w:val="auto"/>
        </w:rPr>
      </w:pPr>
      <w:r>
        <w:rPr>
          <w:rFonts w:ascii="Courier New" w:cs="Courier New" w:eastAsia="Courier New" w:hAnsi="Courier New"/>
          <w:sz w:val="16"/>
          <w:szCs w:val="16"/>
          <w:color w:val="auto"/>
        </w:rPr>
        <w:t>Neuberger Berman Group LLC ("NBG") makes this filing on behalf of itself and its direct and indirect affiliates, including, Neuberger Berman Holdings LLC, formerly known as Neuberger Berman Inc. ("NBI"). NBI and its subsidiaries, Neuberger Berman LLC and Neuberger Berman Management LLC, became subsidiaries of NBG following the sale of certain assets formerly owned by Lehman Brothers Holdings Inc.</w:t>
      </w:r>
    </w:p>
    <w:p>
      <w:pPr>
        <w:spacing w:after="0" w:line="68" w:lineRule="exact"/>
        <w:rPr>
          <w:sz w:val="20"/>
          <w:szCs w:val="20"/>
          <w:color w:val="auto"/>
        </w:rPr>
      </w:pPr>
    </w:p>
    <w:p>
      <w:pPr>
        <w:ind w:left="1160" w:right="1999"/>
        <w:spacing w:after="0" w:line="265" w:lineRule="auto"/>
        <w:rPr>
          <w:sz w:val="20"/>
          <w:szCs w:val="20"/>
          <w:color w:val="auto"/>
        </w:rPr>
      </w:pPr>
      <w:r>
        <w:rPr>
          <w:rFonts w:ascii="Courier New" w:cs="Courier New" w:eastAsia="Courier New" w:hAnsi="Courier New"/>
          <w:sz w:val="18"/>
          <w:szCs w:val="18"/>
          <w:color w:val="auto"/>
        </w:rPr>
        <w:t>Please note that in connection with sale described above, certain disclosures required under Section 13(d) of the Securities Exchange Act of 1934, as amended, that were filed by NBI under SEC Central Index Key (CIK) number (#0001068144) will now be filed under NBG's CIK number (#0001465109).</w:t>
      </w:r>
    </w:p>
    <w:p>
      <w:pPr>
        <w:spacing w:after="0" w:line="90" w:lineRule="exact"/>
        <w:rPr>
          <w:sz w:val="20"/>
          <w:szCs w:val="20"/>
          <w:color w:val="auto"/>
        </w:rPr>
      </w:pPr>
    </w:p>
    <w:p>
      <w:pPr>
        <w:ind w:left="1160" w:right="1779"/>
        <w:spacing w:after="0" w:line="256" w:lineRule="auto"/>
        <w:rPr>
          <w:sz w:val="20"/>
          <w:szCs w:val="20"/>
          <w:color w:val="auto"/>
        </w:rPr>
      </w:pPr>
      <w:r>
        <w:rPr>
          <w:rFonts w:ascii="Courier New" w:cs="Courier New" w:eastAsia="Courier New" w:hAnsi="Courier New"/>
          <w:sz w:val="18"/>
          <w:szCs w:val="18"/>
          <w:color w:val="auto"/>
        </w:rPr>
        <w:t>This statement is filed by: (i) Neuberger Berman Group LLC with respect to shares of the issuer's common stock ("Shares"), beneficially owned by Neuberger Berman LLC and certain affiliated persons; (ii) Neuberger Berman LLC with respect to Shares beneficially owned by certain affiliated persons; (iii) and Neuberger Berman Management LLC with respect to Shares beneficially owned by certain affiliated persons.</w:t>
      </w:r>
    </w:p>
    <w:p>
      <w:pPr>
        <w:spacing w:after="0" w:line="98" w:lineRule="exact"/>
        <w:rPr>
          <w:sz w:val="20"/>
          <w:szCs w:val="20"/>
          <w:color w:val="auto"/>
        </w:rPr>
      </w:pPr>
    </w:p>
    <w:p>
      <w:pPr>
        <w:ind w:left="1160" w:right="1879"/>
        <w:spacing w:after="0" w:line="260" w:lineRule="auto"/>
        <w:rPr>
          <w:sz w:val="20"/>
          <w:szCs w:val="20"/>
          <w:color w:val="auto"/>
        </w:rPr>
      </w:pPr>
      <w:r>
        <w:rPr>
          <w:rFonts w:ascii="Courier New" w:cs="Courier New" w:eastAsia="Courier New" w:hAnsi="Courier New"/>
          <w:sz w:val="18"/>
          <w:szCs w:val="18"/>
          <w:color w:val="auto"/>
        </w:rPr>
        <w:t>Neuberger Berman Group LLC, Neuberger Berman LLC and Neuberger Management LLC have entered into a Joint Filing Agreement, a copy of which is filed with this Schedule 13G as Exhibit 99.1, pursuant to which they have agreed to file this Schedule 13G jointly in accordance with the provisions of Rule 13d-1(k) of the Securities Exchange Act of 1934, as amended.</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605 Third Avenue</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New York, New York 10158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No.:</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104674106</w:t>
      </w:r>
    </w:p>
    <w:p>
      <w:pPr>
        <w:spacing w:after="0" w:line="201" w:lineRule="exact"/>
        <w:rPr>
          <w:sz w:val="20"/>
          <w:szCs w:val="20"/>
          <w:color w:val="auto"/>
        </w:rPr>
      </w:pPr>
    </w:p>
    <w:p>
      <w:pPr>
        <w:ind w:left="860" w:right="2199" w:hanging="842"/>
        <w:spacing w:after="0" w:line="347" w:lineRule="auto"/>
        <w:rPr>
          <w:sz w:val="20"/>
          <w:szCs w:val="20"/>
          <w:color w:val="auto"/>
        </w:rPr>
      </w:pPr>
      <w:r>
        <w:rPr>
          <w:rFonts w:ascii="Courier New" w:cs="Courier New" w:eastAsia="Courier New" w:hAnsi="Courier New"/>
          <w:sz w:val="18"/>
          <w:szCs w:val="18"/>
          <w:color w:val="auto"/>
        </w:rPr>
        <w:t>Item 3. If This Statement is Filed Pursuant to Rule 13d-1(b), or 13d-2(b) or (c), Check Whether the Person Filing is a:</w:t>
      </w:r>
    </w:p>
    <w:p>
      <w:pPr>
        <w:spacing w:after="0" w:line="18" w:lineRule="exact"/>
        <w:rPr>
          <w:sz w:val="20"/>
          <w:szCs w:val="20"/>
          <w:color w:val="auto"/>
        </w:rPr>
      </w:pPr>
    </w:p>
    <w:p>
      <w:pPr>
        <w:ind w:left="1700" w:right="2739" w:hanging="849"/>
        <w:spacing w:after="0" w:line="347"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 (15 U.S.C. 78o).</w:t>
      </w:r>
    </w:p>
    <w:p>
      <w:pPr>
        <w:spacing w:after="0" w:line="18"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 (15 U.S.C. 78c).</w:t>
      </w:r>
    </w:p>
    <w:p>
      <w:pPr>
        <w:spacing w:after="0" w:line="201" w:lineRule="exact"/>
        <w:rPr>
          <w:rFonts w:ascii="Courier New" w:cs="Courier New" w:eastAsia="Courier New" w:hAnsi="Courier New"/>
          <w:sz w:val="18"/>
          <w:szCs w:val="18"/>
          <w:color w:val="auto"/>
        </w:rPr>
      </w:pPr>
    </w:p>
    <w:p>
      <w:pPr>
        <w:ind w:left="1700" w:right="2319" w:hanging="849"/>
        <w:spacing w:after="0" w:line="347"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 78c).</w:t>
      </w:r>
    </w:p>
    <w:p>
      <w:pPr>
        <w:spacing w:after="0" w:line="18" w:lineRule="exact"/>
        <w:rPr>
          <w:rFonts w:ascii="Courier New" w:cs="Courier New" w:eastAsia="Courier New" w:hAnsi="Courier New"/>
          <w:sz w:val="18"/>
          <w:szCs w:val="18"/>
          <w:color w:val="auto"/>
        </w:rPr>
      </w:pPr>
    </w:p>
    <w:p>
      <w:pPr>
        <w:ind w:left="1700" w:right="1879" w:hanging="849"/>
        <w:spacing w:after="0" w:line="347"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of 1940 (15 U.S.C 80a-8).</w:t>
      </w:r>
    </w:p>
    <w:p>
      <w:pPr>
        <w:spacing w:after="0" w:line="18" w:lineRule="exact"/>
        <w:rPr>
          <w:rFonts w:ascii="Courier New" w:cs="Courier New" w:eastAsia="Courier New" w:hAnsi="Courier New"/>
          <w:sz w:val="18"/>
          <w:szCs w:val="18"/>
          <w:color w:val="auto"/>
        </w:rPr>
      </w:pPr>
    </w:p>
    <w:p>
      <w:pPr>
        <w:ind w:left="1700" w:right="4319" w:hanging="849"/>
        <w:spacing w:after="0" w:line="347"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investment adviser in accordance with ss. 240.13d-1(b)(1)(ii)(E);</w:t>
      </w:r>
    </w:p>
    <w:p>
      <w:pPr>
        <w:sectPr>
          <w:pgSz w:w="11900" w:h="16838" w:orient="portrait"/>
          <w:cols w:equalWidth="0" w:num="1">
            <w:col w:w="10219"/>
          </w:cols>
          <w:pgMar w:left="240" w:top="691" w:right="1440" w:bottom="0" w:gutter="0" w:footer="0" w:header="0"/>
        </w:sectPr>
      </w:pPr>
    </w:p>
    <w:bookmarkStart w:id="6" w:name="page7"/>
    <w:bookmarkEnd w:id="6"/>
    <w:p>
      <w:pPr>
        <w:ind w:left="1700" w:right="2099" w:hanging="849"/>
        <w:spacing w:after="0" w:line="347" w:lineRule="auto"/>
        <w:tabs>
          <w:tab w:leader="none" w:pos="1279"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ss.240.13d-1(b)(1)(ii)(F);</w:t>
      </w:r>
    </w:p>
    <w:p>
      <w:pPr>
        <w:spacing w:after="0" w:line="18" w:lineRule="exact"/>
        <w:rPr>
          <w:rFonts w:ascii="Courier New" w:cs="Courier New" w:eastAsia="Courier New" w:hAnsi="Courier New"/>
          <w:sz w:val="18"/>
          <w:szCs w:val="18"/>
          <w:color w:val="auto"/>
        </w:rPr>
      </w:pPr>
    </w:p>
    <w:p>
      <w:pPr>
        <w:ind w:left="1700" w:right="2099" w:hanging="849"/>
        <w:spacing w:after="0" w:line="347" w:lineRule="auto"/>
        <w:tabs>
          <w:tab w:leader="none" w:pos="1279"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ss.240.13d- 1(b)(1)(ii)(G);</w:t>
      </w:r>
    </w:p>
    <w:p>
      <w:pPr>
        <w:spacing w:after="0" w:line="18" w:lineRule="exact"/>
        <w:rPr>
          <w:rFonts w:ascii="Courier New" w:cs="Courier New" w:eastAsia="Courier New" w:hAnsi="Courier New"/>
          <w:sz w:val="18"/>
          <w:szCs w:val="18"/>
          <w:color w:val="auto"/>
        </w:rPr>
      </w:pPr>
    </w:p>
    <w:p>
      <w:pPr>
        <w:ind w:left="1700" w:right="2619" w:hanging="849"/>
        <w:spacing w:after="0" w:line="347" w:lineRule="auto"/>
        <w:tabs>
          <w:tab w:leader="none" w:pos="1279"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 (12 U.S.C. 1813);</w:t>
      </w:r>
    </w:p>
    <w:p>
      <w:pPr>
        <w:spacing w:after="0" w:line="18" w:lineRule="exact"/>
        <w:rPr>
          <w:rFonts w:ascii="Courier New" w:cs="Courier New" w:eastAsia="Courier New" w:hAnsi="Courier New"/>
          <w:sz w:val="18"/>
          <w:szCs w:val="18"/>
          <w:color w:val="auto"/>
        </w:rPr>
      </w:pPr>
    </w:p>
    <w:p>
      <w:pPr>
        <w:ind w:left="1700" w:right="2319" w:hanging="849"/>
        <w:spacing w:after="0" w:line="292" w:lineRule="auto"/>
        <w:tabs>
          <w:tab w:leader="none" w:pos="1279"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 of 1940 (15 U.S.C. 80a-3);</w:t>
      </w:r>
    </w:p>
    <w:p>
      <w:pPr>
        <w:spacing w:after="0" w:line="66"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Group, in accordance with ss. 240.13d-1(b)(1)(ii)(J).</w:t>
      </w:r>
    </w:p>
    <w:p>
      <w:pPr>
        <w:spacing w:after="0" w:line="201" w:lineRule="exact"/>
        <w:rPr>
          <w:sz w:val="20"/>
          <w:szCs w:val="20"/>
          <w:color w:val="auto"/>
        </w:rPr>
      </w:pPr>
    </w:p>
    <w:p>
      <w:pPr>
        <w:ind w:left="860" w:right="3779"/>
        <w:spacing w:after="0" w:line="347" w:lineRule="auto"/>
        <w:rPr>
          <w:sz w:val="20"/>
          <w:szCs w:val="20"/>
          <w:color w:val="auto"/>
        </w:rPr>
      </w:pPr>
      <w:r>
        <w:rPr>
          <w:rFonts w:ascii="Courier New" w:cs="Courier New" w:eastAsia="Courier New" w:hAnsi="Courier New"/>
          <w:sz w:val="18"/>
          <w:szCs w:val="18"/>
          <w:color w:val="auto"/>
        </w:rPr>
        <w:t>If this statement is filed pursuant to Rule 13d-1(c), check this box. |_|</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860" w:hanging="431"/>
        <w:spacing w:after="0"/>
        <w:tabs>
          <w:tab w:leader="none" w:pos="8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2515944 (1)</w:t>
      </w:r>
    </w:p>
    <w:p>
      <w:pPr>
        <w:spacing w:after="0" w:line="169"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5.161</w:t>
      </w:r>
    </w:p>
    <w:p>
      <w:pPr>
        <w:spacing w:after="0" w:line="169"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30" w:lineRule="exact"/>
        <w:rPr>
          <w:rFonts w:ascii="Courier New" w:cs="Courier New" w:eastAsia="Courier New" w:hAnsi="Courier New"/>
          <w:sz w:val="18"/>
          <w:szCs w:val="18"/>
          <w:color w:val="auto"/>
        </w:rPr>
      </w:pPr>
    </w:p>
    <w:p>
      <w:pPr>
        <w:ind w:left="1480" w:right="5679" w:hanging="629"/>
        <w:spacing w:after="0" w:line="309" w:lineRule="auto"/>
        <w:tabs>
          <w:tab w:leader="none" w:pos="148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direct the vote 39287</w:t>
      </w:r>
    </w:p>
    <w:p>
      <w:pPr>
        <w:spacing w:after="0" w:line="50" w:lineRule="exact"/>
        <w:rPr>
          <w:rFonts w:ascii="Courier New" w:cs="Courier New" w:eastAsia="Courier New" w:hAnsi="Courier New"/>
          <w:sz w:val="18"/>
          <w:szCs w:val="18"/>
          <w:color w:val="auto"/>
        </w:rPr>
      </w:pPr>
    </w:p>
    <w:p>
      <w:pPr>
        <w:ind w:left="1480" w:right="5479" w:hanging="629"/>
        <w:spacing w:after="0" w:line="347" w:lineRule="auto"/>
        <w:tabs>
          <w:tab w:leader="none" w:pos="148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direct the vote 2142489</w:t>
      </w:r>
    </w:p>
    <w:p>
      <w:pPr>
        <w:spacing w:after="0" w:line="18" w:lineRule="exact"/>
        <w:rPr>
          <w:rFonts w:ascii="Courier New" w:cs="Courier New" w:eastAsia="Courier New" w:hAnsi="Courier New"/>
          <w:sz w:val="18"/>
          <w:szCs w:val="18"/>
          <w:color w:val="auto"/>
        </w:rPr>
      </w:pPr>
    </w:p>
    <w:p>
      <w:pPr>
        <w:ind w:left="1480" w:right="3479" w:hanging="629"/>
        <w:spacing w:after="0" w:line="347" w:lineRule="auto"/>
        <w:tabs>
          <w:tab w:leader="none" w:pos="148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of 0</w:t>
      </w:r>
    </w:p>
    <w:p>
      <w:pPr>
        <w:spacing w:after="0" w:line="18" w:lineRule="exact"/>
        <w:rPr>
          <w:rFonts w:ascii="Courier New" w:cs="Courier New" w:eastAsia="Courier New" w:hAnsi="Courier New"/>
          <w:sz w:val="18"/>
          <w:szCs w:val="18"/>
          <w:color w:val="auto"/>
        </w:rPr>
      </w:pPr>
    </w:p>
    <w:p>
      <w:pPr>
        <w:ind w:left="1480" w:right="3259" w:hanging="629"/>
        <w:spacing w:after="0" w:line="347" w:lineRule="auto"/>
        <w:tabs>
          <w:tab w:leader="none" w:pos="148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 2515944</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5 Percent or Less of a Class.</w:t>
      </w:r>
    </w:p>
    <w:p>
      <w:pPr>
        <w:spacing w:after="0" w:line="201" w:lineRule="exact"/>
        <w:rPr>
          <w:sz w:val="20"/>
          <w:szCs w:val="20"/>
          <w:color w:val="auto"/>
        </w:rPr>
      </w:pPr>
    </w:p>
    <w:p>
      <w:pPr>
        <w:ind w:left="860" w:right="1779"/>
        <w:spacing w:after="0" w:line="344"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5 percent of the class of securities, check the following |_|</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860" w:right="1779"/>
        <w:spacing w:after="0" w:line="250" w:lineRule="auto"/>
        <w:rPr>
          <w:sz w:val="20"/>
          <w:szCs w:val="20"/>
          <w:color w:val="auto"/>
        </w:rPr>
      </w:pPr>
      <w:r>
        <w:rPr>
          <w:rFonts w:ascii="Courier New" w:cs="Courier New" w:eastAsia="Courier New" w:hAnsi="Courier New"/>
          <w:sz w:val="18"/>
          <w:szCs w:val="18"/>
          <w:color w:val="auto"/>
        </w:rPr>
        <w:t>Neuberger Berman Group LLC may be deemed to be a beneficial owner of securities for purposes of Rule 13d-3 because certain affiliated persons have shared power to retain or dispose of, and in some cases the sole power to vote, the securities of many unrelated clients. Neuberger Berman Group LLC or its affiliated persons do not, however, have any economic interest in the securities of those clients. The clients are the actual owners of the securities and have the sole right to receive and the power to direct the receipt of dividends from or proceeds from the sale of such securities. No one client has an interest of more than 5% of the issuer.</w:t>
      </w:r>
    </w:p>
    <w:p>
      <w:pPr>
        <w:spacing w:after="0" w:line="104" w:lineRule="exact"/>
        <w:rPr>
          <w:sz w:val="20"/>
          <w:szCs w:val="20"/>
          <w:color w:val="auto"/>
        </w:rPr>
      </w:pPr>
    </w:p>
    <w:p>
      <w:pPr>
        <w:ind w:left="860" w:right="1779"/>
        <w:spacing w:after="0" w:line="248" w:lineRule="auto"/>
        <w:rPr>
          <w:sz w:val="20"/>
          <w:szCs w:val="20"/>
          <w:color w:val="auto"/>
        </w:rPr>
      </w:pPr>
      <w:r>
        <w:rPr>
          <w:rFonts w:ascii="Courier New" w:cs="Courier New" w:eastAsia="Courier New" w:hAnsi="Courier New"/>
          <w:sz w:val="18"/>
          <w:szCs w:val="18"/>
          <w:color w:val="auto"/>
        </w:rPr>
        <w:t>With regard to the Shares set forth under item 4(c)(II), Neuberger Berman Group LLC may be deemed to be the beneficial owner for purposes of Rule 13d-3 because certain affiliated persons have shared power retain, dispose of and vote the securities. Each of Neuberger Berman LLC and Neuberger Berman Management LLC serve as a sub-adviser and investment manager, respectively, of Neuberger Berman Group LLC's various registered mutual funds which hold such Shares in the ordinary course of their business and not with the purpose nor with the effect of changing or influencing the control of the issuer. The holdings of Neuberger Berman Fixed Income LLC and NB Alternative Fund Management LLC, affiliates of Neuberger Berman LLC, are also aggregated to comprise the holdings referenced herein.</w:t>
      </w:r>
    </w:p>
    <w:p>
      <w:pPr>
        <w:spacing w:after="0" w:line="105" w:lineRule="exact"/>
        <w:rPr>
          <w:sz w:val="20"/>
          <w:szCs w:val="20"/>
          <w:color w:val="auto"/>
        </w:rPr>
      </w:pPr>
    </w:p>
    <w:p>
      <w:pPr>
        <w:ind w:left="860" w:right="1779"/>
        <w:spacing w:after="0" w:line="265" w:lineRule="auto"/>
        <w:rPr>
          <w:sz w:val="20"/>
          <w:szCs w:val="20"/>
          <w:color w:val="auto"/>
        </w:rPr>
      </w:pPr>
      <w:r>
        <w:rPr>
          <w:rFonts w:ascii="Courier New" w:cs="Courier New" w:eastAsia="Courier New" w:hAnsi="Courier New"/>
          <w:sz w:val="18"/>
          <w:szCs w:val="18"/>
          <w:color w:val="auto"/>
        </w:rPr>
        <w:t>It should be further noted that the Share calculation under item 4(c)(IV) is derived from a total combination of the Shares set forth under Item 4(c)(I and II). The remaining balance of Shares, if any, are for the individual client accounts over which Neuberger Berman LLC has shared power to dispose but not vote Shares.</w:t>
      </w:r>
    </w:p>
    <w:p>
      <w:pPr>
        <w:spacing w:after="0" w:line="90" w:lineRule="exact"/>
        <w:rPr>
          <w:sz w:val="20"/>
          <w:szCs w:val="20"/>
          <w:color w:val="auto"/>
        </w:rPr>
      </w:pPr>
    </w:p>
    <w:p>
      <w:pPr>
        <w:ind w:left="860" w:right="1999" w:hanging="842"/>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ectPr>
          <w:pgSz w:w="11900" w:h="16838" w:orient="portrait"/>
          <w:cols w:equalWidth="0" w:num="1">
            <w:col w:w="10219"/>
          </w:cols>
          <w:pgMar w:left="240" w:top="110" w:right="1440" w:bottom="0" w:gutter="0" w:footer="0" w:header="0"/>
        </w:sectPr>
      </w:pPr>
    </w:p>
    <w:bookmarkStart w:id="7" w:name="page8"/>
    <w:bookmarkEnd w:id="7"/>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left="960" w:right="1879"/>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320" w:right="1879" w:hanging="312"/>
        <w:spacing w:after="0" w:line="256" w:lineRule="auto"/>
        <w:tabs>
          <w:tab w:leader="none" w:pos="3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Neuberger Berman Group LLC, Neuberger Berman LLC, Neuberger Berman Management LLC and certain affiliated persons own directly no Shares. As investment advisers, certain affiliated persons that are controlled by Neuberger Berman Group LLC have investment and voting powers with respect to the Shares held.</w:t>
      </w:r>
    </w:p>
    <w:p>
      <w:pPr>
        <w:spacing w:after="0" w:line="95" w:lineRule="exact"/>
        <w:rPr>
          <w:rFonts w:ascii="Courier New" w:cs="Courier New" w:eastAsia="Courier New" w:hAnsi="Courier New"/>
          <w:sz w:val="18"/>
          <w:szCs w:val="18"/>
          <w:color w:val="auto"/>
        </w:rPr>
      </w:pPr>
    </w:p>
    <w:p>
      <w:pPr>
        <w:ind w:left="320" w:right="1779"/>
        <w:spacing w:after="0" w:line="24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Neuberger Berman Group LLC, through its direct and indirect subsidiary Neuberger Berman Holdings LLC, controls Neuberger Berman LLC and certain affiliated persons. By reason of the provisions of Rule 13d-3 of the Securities Exchange Act of 1934, as amended, Neuberger Berman Group LLC may be deemed to own beneficially 2,515,944 Shares while Neuberger Berman LLC and Neuberger Berman Management LLC may be deemed to own beneficially 2,515,944 Shares and 2,142,489 Shares constituting approximately 5.161% and 4.395%, respectively, of the Shares outstanding. Each of Neuberger Berman Group LLC, Neuberger Berman LLC, Neuberger Berman Management LLC and certain affiliated persons disclaim beneficial ownership of any of the securities covered by this statement.</w:t>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 of 7 Pages</w:t>
      </w:r>
    </w:p>
    <w:p>
      <w:pPr>
        <w:sectPr>
          <w:pgSz w:w="11900" w:h="16838" w:orient="portrait"/>
          <w:cols w:equalWidth="0" w:num="1">
            <w:col w:w="10219"/>
          </w:cols>
          <w:pgMar w:left="240" w:top="110" w:right="1440" w:bottom="1440" w:gutter="0" w:footer="0" w:header="0"/>
        </w:sectPr>
      </w:pPr>
    </w:p>
    <w:bookmarkStart w:id="8" w:name="page9"/>
    <w:bookmarkEnd w:id="8"/>
    <w:p>
      <w:pPr>
        <w:ind w:right="1879"/>
        <w:spacing w:after="0" w:line="402"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860" w:type="dxa"/>
            <w:vAlign w:val="bottom"/>
          </w:tcPr>
          <w:p>
            <w:pPr>
              <w:spacing w:after="0"/>
              <w:rPr>
                <w:sz w:val="24"/>
                <w:szCs w:val="24"/>
                <w:color w:val="auto"/>
              </w:rPr>
            </w:pP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Neuberger</w:t>
            </w:r>
          </w:p>
        </w:tc>
        <w:tc>
          <w:tcPr>
            <w:tcW w:w="720" w:type="dxa"/>
            <w:vAlign w:val="bottom"/>
          </w:tcPr>
          <w:p>
            <w:pPr>
              <w:ind w:left="40"/>
              <w:spacing w:after="0"/>
              <w:rPr>
                <w:sz w:val="20"/>
                <w:szCs w:val="20"/>
                <w:color w:val="auto"/>
              </w:rPr>
            </w:pPr>
            <w:r>
              <w:rPr>
                <w:rFonts w:ascii="Courier New" w:cs="Courier New" w:eastAsia="Courier New" w:hAnsi="Courier New"/>
                <w:sz w:val="18"/>
                <w:szCs w:val="18"/>
                <w:color w:val="auto"/>
              </w:rPr>
              <w:t>Berman</w:t>
            </w: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rPr>
              <w:t>Group LLC</w:t>
            </w:r>
          </w:p>
        </w:tc>
      </w:tr>
      <w:tr>
        <w:trPr>
          <w:trHeight w:val="311"/>
        </w:trPr>
        <w:tc>
          <w:tcPr>
            <w:tcW w:w="2860" w:type="dxa"/>
            <w:vAlign w:val="bottom"/>
          </w:tcPr>
          <w:p>
            <w:pPr>
              <w:spacing w:after="0"/>
              <w:rPr>
                <w:sz w:val="20"/>
                <w:szCs w:val="20"/>
                <w:color w:val="auto"/>
              </w:rPr>
            </w:pPr>
            <w:r>
              <w:rPr>
                <w:rFonts w:ascii="Courier New" w:cs="Courier New" w:eastAsia="Courier New" w:hAnsi="Courier New"/>
                <w:sz w:val="18"/>
                <w:szCs w:val="18"/>
                <w:color w:val="auto"/>
              </w:rPr>
              <w:t>Date: 06/11/2009</w:t>
            </w: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/s/ Kevin</w:t>
            </w:r>
          </w:p>
        </w:tc>
        <w:tc>
          <w:tcPr>
            <w:tcW w:w="2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Handwerker</w:t>
            </w:r>
          </w:p>
        </w:tc>
      </w:tr>
      <w:tr>
        <w:trPr>
          <w:trHeight w:val="203"/>
        </w:trPr>
        <w:tc>
          <w:tcPr>
            <w:tcW w:w="2860" w:type="dxa"/>
            <w:vAlign w:val="bottom"/>
          </w:tcPr>
          <w:p>
            <w:pPr>
              <w:spacing w:after="0"/>
              <w:rPr>
                <w:sz w:val="17"/>
                <w:szCs w:val="17"/>
                <w:color w:val="auto"/>
              </w:rPr>
            </w:pPr>
          </w:p>
        </w:tc>
        <w:tc>
          <w:tcPr>
            <w:tcW w:w="17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Name:</w:t>
            </w:r>
          </w:p>
        </w:tc>
        <w:tc>
          <w:tcPr>
            <w:tcW w:w="26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Kevin Handwerker</w:t>
            </w:r>
          </w:p>
        </w:tc>
      </w:tr>
      <w:tr>
        <w:trPr>
          <w:trHeight w:val="296"/>
        </w:trPr>
        <w:tc>
          <w:tcPr>
            <w:tcW w:w="2860" w:type="dxa"/>
            <w:vAlign w:val="bottom"/>
          </w:tcPr>
          <w:p>
            <w:pPr>
              <w:spacing w:after="0"/>
              <w:rPr>
                <w:sz w:val="24"/>
                <w:szCs w:val="24"/>
                <w:color w:val="auto"/>
              </w:rPr>
            </w:pPr>
          </w:p>
        </w:tc>
        <w:tc>
          <w:tcPr>
            <w:tcW w:w="4420" w:type="dxa"/>
            <w:vAlign w:val="bottom"/>
            <w:gridSpan w:val="4"/>
          </w:tcPr>
          <w:p>
            <w:pPr>
              <w:ind w:left="1160"/>
              <w:spacing w:after="0"/>
              <w:rPr>
                <w:sz w:val="20"/>
                <w:szCs w:val="20"/>
                <w:color w:val="auto"/>
              </w:rPr>
            </w:pPr>
            <w:r>
              <w:rPr>
                <w:rFonts w:ascii="Courier New" w:cs="Courier New" w:eastAsia="Courier New" w:hAnsi="Courier New"/>
                <w:sz w:val="18"/>
                <w:szCs w:val="18"/>
                <w:color w:val="auto"/>
              </w:rPr>
              <w:t>Title: General Counsel</w:t>
            </w:r>
          </w:p>
        </w:tc>
      </w:tr>
      <w:tr>
        <w:trPr>
          <w:trHeight w:val="608"/>
        </w:trPr>
        <w:tc>
          <w:tcPr>
            <w:tcW w:w="2860" w:type="dxa"/>
            <w:vAlign w:val="bottom"/>
          </w:tcPr>
          <w:p>
            <w:pPr>
              <w:spacing w:after="0"/>
              <w:rPr>
                <w:sz w:val="24"/>
                <w:szCs w:val="24"/>
                <w:color w:val="auto"/>
              </w:rPr>
            </w:pP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Neuberger</w:t>
            </w:r>
          </w:p>
        </w:tc>
        <w:tc>
          <w:tcPr>
            <w:tcW w:w="720" w:type="dxa"/>
            <w:vAlign w:val="bottom"/>
          </w:tcPr>
          <w:p>
            <w:pPr>
              <w:ind w:left="40"/>
              <w:spacing w:after="0"/>
              <w:rPr>
                <w:sz w:val="20"/>
                <w:szCs w:val="20"/>
                <w:color w:val="auto"/>
              </w:rPr>
            </w:pPr>
            <w:r>
              <w:rPr>
                <w:rFonts w:ascii="Courier New" w:cs="Courier New" w:eastAsia="Courier New" w:hAnsi="Courier New"/>
                <w:sz w:val="18"/>
                <w:szCs w:val="18"/>
                <w:color w:val="auto"/>
              </w:rPr>
              <w:t>Berman</w:t>
            </w: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rPr>
              <w:t>LLC</w:t>
            </w:r>
          </w:p>
        </w:tc>
      </w:tr>
      <w:tr>
        <w:trPr>
          <w:trHeight w:val="311"/>
        </w:trPr>
        <w:tc>
          <w:tcPr>
            <w:tcW w:w="2860" w:type="dxa"/>
            <w:vAlign w:val="bottom"/>
          </w:tcPr>
          <w:p>
            <w:pPr>
              <w:spacing w:after="0"/>
              <w:rPr>
                <w:sz w:val="20"/>
                <w:szCs w:val="20"/>
                <w:color w:val="auto"/>
              </w:rPr>
            </w:pPr>
            <w:r>
              <w:rPr>
                <w:rFonts w:ascii="Courier New" w:cs="Courier New" w:eastAsia="Courier New" w:hAnsi="Courier New"/>
                <w:sz w:val="18"/>
                <w:szCs w:val="18"/>
                <w:color w:val="auto"/>
              </w:rPr>
              <w:t>Date: 06/11/2009</w:t>
            </w: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/s/ Kevin</w:t>
            </w:r>
          </w:p>
        </w:tc>
        <w:tc>
          <w:tcPr>
            <w:tcW w:w="2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Handwerker</w:t>
            </w:r>
          </w:p>
        </w:tc>
      </w:tr>
      <w:tr>
        <w:trPr>
          <w:trHeight w:val="203"/>
        </w:trPr>
        <w:tc>
          <w:tcPr>
            <w:tcW w:w="2860" w:type="dxa"/>
            <w:vAlign w:val="bottom"/>
          </w:tcPr>
          <w:p>
            <w:pPr>
              <w:spacing w:after="0"/>
              <w:rPr>
                <w:sz w:val="17"/>
                <w:szCs w:val="17"/>
                <w:color w:val="auto"/>
              </w:rPr>
            </w:pPr>
          </w:p>
        </w:tc>
        <w:tc>
          <w:tcPr>
            <w:tcW w:w="17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Name:</w:t>
            </w:r>
          </w:p>
        </w:tc>
        <w:tc>
          <w:tcPr>
            <w:tcW w:w="26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Kevin Handwerker</w:t>
            </w:r>
          </w:p>
        </w:tc>
      </w:tr>
      <w:tr>
        <w:trPr>
          <w:trHeight w:val="296"/>
        </w:trPr>
        <w:tc>
          <w:tcPr>
            <w:tcW w:w="2860" w:type="dxa"/>
            <w:vAlign w:val="bottom"/>
          </w:tcPr>
          <w:p>
            <w:pPr>
              <w:spacing w:after="0"/>
              <w:rPr>
                <w:sz w:val="24"/>
                <w:szCs w:val="24"/>
                <w:color w:val="auto"/>
              </w:rPr>
            </w:pPr>
          </w:p>
        </w:tc>
        <w:tc>
          <w:tcPr>
            <w:tcW w:w="4420" w:type="dxa"/>
            <w:vAlign w:val="bottom"/>
            <w:gridSpan w:val="4"/>
          </w:tcPr>
          <w:p>
            <w:pPr>
              <w:ind w:left="1160"/>
              <w:spacing w:after="0"/>
              <w:rPr>
                <w:sz w:val="20"/>
                <w:szCs w:val="20"/>
                <w:color w:val="auto"/>
              </w:rPr>
            </w:pPr>
            <w:r>
              <w:rPr>
                <w:rFonts w:ascii="Courier New" w:cs="Courier New" w:eastAsia="Courier New" w:hAnsi="Courier New"/>
                <w:sz w:val="18"/>
                <w:szCs w:val="18"/>
                <w:color w:val="auto"/>
              </w:rPr>
              <w:t>Title: General Counsel</w:t>
            </w:r>
          </w:p>
        </w:tc>
      </w:tr>
      <w:tr>
        <w:trPr>
          <w:trHeight w:val="608"/>
        </w:trPr>
        <w:tc>
          <w:tcPr>
            <w:tcW w:w="2860" w:type="dxa"/>
            <w:vAlign w:val="bottom"/>
          </w:tcPr>
          <w:p>
            <w:pPr>
              <w:spacing w:after="0"/>
              <w:rPr>
                <w:sz w:val="24"/>
                <w:szCs w:val="24"/>
                <w:color w:val="auto"/>
              </w:rPr>
            </w:pP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Neuberger</w:t>
            </w:r>
          </w:p>
        </w:tc>
        <w:tc>
          <w:tcPr>
            <w:tcW w:w="720" w:type="dxa"/>
            <w:vAlign w:val="bottom"/>
          </w:tcPr>
          <w:p>
            <w:pPr>
              <w:ind w:left="40"/>
              <w:spacing w:after="0"/>
              <w:rPr>
                <w:sz w:val="20"/>
                <w:szCs w:val="20"/>
                <w:color w:val="auto"/>
              </w:rPr>
            </w:pPr>
            <w:r>
              <w:rPr>
                <w:rFonts w:ascii="Courier New" w:cs="Courier New" w:eastAsia="Courier New" w:hAnsi="Courier New"/>
                <w:sz w:val="18"/>
                <w:szCs w:val="18"/>
                <w:color w:val="auto"/>
              </w:rPr>
              <w:t>Berman</w:t>
            </w: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w w:val="96"/>
              </w:rPr>
              <w:t>Management LLC</w:t>
            </w:r>
          </w:p>
        </w:tc>
      </w:tr>
      <w:tr>
        <w:trPr>
          <w:trHeight w:val="311"/>
        </w:trPr>
        <w:tc>
          <w:tcPr>
            <w:tcW w:w="2860" w:type="dxa"/>
            <w:vAlign w:val="bottom"/>
          </w:tcPr>
          <w:p>
            <w:pPr>
              <w:spacing w:after="0"/>
              <w:rPr>
                <w:sz w:val="20"/>
                <w:szCs w:val="20"/>
                <w:color w:val="auto"/>
              </w:rPr>
            </w:pPr>
            <w:r>
              <w:rPr>
                <w:rFonts w:ascii="Courier New" w:cs="Courier New" w:eastAsia="Courier New" w:hAnsi="Courier New"/>
                <w:sz w:val="18"/>
                <w:szCs w:val="18"/>
                <w:color w:val="auto"/>
              </w:rPr>
              <w:t>Date: 06/11/2009</w:t>
            </w:r>
          </w:p>
        </w:tc>
        <w:tc>
          <w:tcPr>
            <w:tcW w:w="2880" w:type="dxa"/>
            <w:vAlign w:val="bottom"/>
            <w:gridSpan w:val="3"/>
          </w:tcPr>
          <w:p>
            <w:pPr>
              <w:ind w:left="1160"/>
              <w:spacing w:after="0"/>
              <w:rPr>
                <w:sz w:val="20"/>
                <w:szCs w:val="20"/>
                <w:color w:val="auto"/>
              </w:rPr>
            </w:pPr>
            <w:r>
              <w:rPr>
                <w:rFonts w:ascii="Courier New" w:cs="Courier New" w:eastAsia="Courier New" w:hAnsi="Courier New"/>
                <w:sz w:val="18"/>
                <w:szCs w:val="18"/>
                <w:color w:val="auto"/>
                <w:w w:val="98"/>
              </w:rPr>
              <w:t>/s/ Robert Conti</w:t>
            </w:r>
          </w:p>
        </w:tc>
        <w:tc>
          <w:tcPr>
            <w:tcW w:w="1540" w:type="dxa"/>
            <w:vAlign w:val="bottom"/>
          </w:tcPr>
          <w:p>
            <w:pPr>
              <w:spacing w:after="0"/>
              <w:rPr>
                <w:sz w:val="24"/>
                <w:szCs w:val="24"/>
                <w:color w:val="auto"/>
              </w:rPr>
            </w:pPr>
          </w:p>
        </w:tc>
      </w:tr>
      <w:tr>
        <w:trPr>
          <w:trHeight w:val="203"/>
        </w:trPr>
        <w:tc>
          <w:tcPr>
            <w:tcW w:w="2860" w:type="dxa"/>
            <w:vAlign w:val="bottom"/>
          </w:tcPr>
          <w:p>
            <w:pPr>
              <w:spacing w:after="0"/>
              <w:rPr>
                <w:sz w:val="17"/>
                <w:szCs w:val="17"/>
                <w:color w:val="auto"/>
              </w:rPr>
            </w:pPr>
          </w:p>
        </w:tc>
        <w:tc>
          <w:tcPr>
            <w:tcW w:w="17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Name:</w:t>
            </w:r>
          </w:p>
        </w:tc>
        <w:tc>
          <w:tcPr>
            <w:tcW w:w="26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Robert Conti</w:t>
            </w:r>
          </w:p>
        </w:tc>
      </w:tr>
      <w:tr>
        <w:trPr>
          <w:trHeight w:val="296"/>
        </w:trPr>
        <w:tc>
          <w:tcPr>
            <w:tcW w:w="2860" w:type="dxa"/>
            <w:vAlign w:val="bottom"/>
          </w:tcPr>
          <w:p>
            <w:pPr>
              <w:spacing w:after="0"/>
              <w:rPr>
                <w:sz w:val="24"/>
                <w:szCs w:val="24"/>
                <w:color w:val="auto"/>
              </w:rPr>
            </w:pPr>
          </w:p>
        </w:tc>
        <w:tc>
          <w:tcPr>
            <w:tcW w:w="2880" w:type="dxa"/>
            <w:vAlign w:val="bottom"/>
            <w:gridSpan w:val="3"/>
          </w:tcPr>
          <w:p>
            <w:pPr>
              <w:ind w:left="1160"/>
              <w:spacing w:after="0"/>
              <w:rPr>
                <w:sz w:val="20"/>
                <w:szCs w:val="20"/>
                <w:color w:val="auto"/>
              </w:rPr>
            </w:pPr>
            <w:r>
              <w:rPr>
                <w:rFonts w:ascii="Courier New" w:cs="Courier New" w:eastAsia="Courier New" w:hAnsi="Courier New"/>
                <w:sz w:val="18"/>
                <w:szCs w:val="18"/>
                <w:color w:val="auto"/>
                <w:w w:val="98"/>
              </w:rPr>
              <w:t>Title: President</w:t>
            </w:r>
          </w:p>
        </w:tc>
        <w:tc>
          <w:tcPr>
            <w:tcW w:w="1540" w:type="dxa"/>
            <w:vAlign w:val="bottom"/>
          </w:tcPr>
          <w:p>
            <w:pPr>
              <w:spacing w:after="0"/>
              <w:rPr>
                <w:sz w:val="24"/>
                <w:szCs w:val="24"/>
                <w:color w:val="auto"/>
              </w:rPr>
            </w:pPr>
          </w:p>
        </w:tc>
      </w:tr>
      <w:tr>
        <w:trPr>
          <w:trHeight w:val="608"/>
        </w:trPr>
        <w:tc>
          <w:tcPr>
            <w:tcW w:w="2860" w:type="dxa"/>
            <w:vAlign w:val="bottom"/>
          </w:tcPr>
          <w:p>
            <w:pPr>
              <w:spacing w:after="0"/>
              <w:rPr>
                <w:sz w:val="24"/>
                <w:szCs w:val="24"/>
                <w:color w:val="auto"/>
              </w:rPr>
            </w:pP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Neuberger</w:t>
            </w:r>
          </w:p>
        </w:tc>
        <w:tc>
          <w:tcPr>
            <w:tcW w:w="720" w:type="dxa"/>
            <w:vAlign w:val="bottom"/>
          </w:tcPr>
          <w:p>
            <w:pPr>
              <w:ind w:left="40"/>
              <w:spacing w:after="0"/>
              <w:rPr>
                <w:sz w:val="20"/>
                <w:szCs w:val="20"/>
                <w:color w:val="auto"/>
              </w:rPr>
            </w:pPr>
            <w:r>
              <w:rPr>
                <w:rFonts w:ascii="Courier New" w:cs="Courier New" w:eastAsia="Courier New" w:hAnsi="Courier New"/>
                <w:sz w:val="18"/>
                <w:szCs w:val="18"/>
                <w:color w:val="auto"/>
              </w:rPr>
              <w:t>Berman</w:t>
            </w: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rPr>
              <w:t>Equity Funds</w:t>
            </w:r>
          </w:p>
        </w:tc>
      </w:tr>
      <w:tr>
        <w:trPr>
          <w:trHeight w:val="311"/>
        </w:trPr>
        <w:tc>
          <w:tcPr>
            <w:tcW w:w="2860" w:type="dxa"/>
            <w:vAlign w:val="bottom"/>
          </w:tcPr>
          <w:p>
            <w:pPr>
              <w:spacing w:after="0"/>
              <w:rPr>
                <w:sz w:val="20"/>
                <w:szCs w:val="20"/>
                <w:color w:val="auto"/>
              </w:rPr>
            </w:pPr>
            <w:r>
              <w:rPr>
                <w:rFonts w:ascii="Courier New" w:cs="Courier New" w:eastAsia="Courier New" w:hAnsi="Courier New"/>
                <w:sz w:val="18"/>
                <w:szCs w:val="18"/>
                <w:color w:val="auto"/>
              </w:rPr>
              <w:t>Date: 06/11/2009</w:t>
            </w:r>
          </w:p>
        </w:tc>
        <w:tc>
          <w:tcPr>
            <w:tcW w:w="2880" w:type="dxa"/>
            <w:vAlign w:val="bottom"/>
            <w:gridSpan w:val="3"/>
          </w:tcPr>
          <w:p>
            <w:pPr>
              <w:ind w:left="1160"/>
              <w:spacing w:after="0"/>
              <w:rPr>
                <w:sz w:val="20"/>
                <w:szCs w:val="20"/>
                <w:color w:val="auto"/>
              </w:rPr>
            </w:pPr>
            <w:r>
              <w:rPr>
                <w:rFonts w:ascii="Courier New" w:cs="Courier New" w:eastAsia="Courier New" w:hAnsi="Courier New"/>
                <w:sz w:val="18"/>
                <w:szCs w:val="18"/>
                <w:color w:val="auto"/>
                <w:w w:val="98"/>
              </w:rPr>
              <w:t>/s/ Robert Conti</w:t>
            </w:r>
          </w:p>
        </w:tc>
        <w:tc>
          <w:tcPr>
            <w:tcW w:w="1540" w:type="dxa"/>
            <w:vAlign w:val="bottom"/>
          </w:tcPr>
          <w:p>
            <w:pPr>
              <w:spacing w:after="0"/>
              <w:rPr>
                <w:sz w:val="24"/>
                <w:szCs w:val="24"/>
                <w:color w:val="auto"/>
              </w:rPr>
            </w:pPr>
          </w:p>
        </w:tc>
      </w:tr>
      <w:tr>
        <w:trPr>
          <w:trHeight w:val="203"/>
        </w:trPr>
        <w:tc>
          <w:tcPr>
            <w:tcW w:w="2860" w:type="dxa"/>
            <w:vAlign w:val="bottom"/>
          </w:tcPr>
          <w:p>
            <w:pPr>
              <w:spacing w:after="0"/>
              <w:rPr>
                <w:sz w:val="17"/>
                <w:szCs w:val="17"/>
                <w:color w:val="auto"/>
              </w:rPr>
            </w:pPr>
          </w:p>
        </w:tc>
        <w:tc>
          <w:tcPr>
            <w:tcW w:w="17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Name:</w:t>
            </w:r>
          </w:p>
        </w:tc>
        <w:tc>
          <w:tcPr>
            <w:tcW w:w="26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Robert Conti</w:t>
            </w:r>
          </w:p>
        </w:tc>
      </w:tr>
      <w:tr>
        <w:trPr>
          <w:trHeight w:val="203"/>
        </w:trPr>
        <w:tc>
          <w:tcPr>
            <w:tcW w:w="2860" w:type="dxa"/>
            <w:vAlign w:val="bottom"/>
          </w:tcPr>
          <w:p>
            <w:pPr>
              <w:spacing w:after="0"/>
              <w:rPr>
                <w:sz w:val="17"/>
                <w:szCs w:val="17"/>
                <w:color w:val="auto"/>
              </w:rPr>
            </w:pPr>
          </w:p>
        </w:tc>
        <w:tc>
          <w:tcPr>
            <w:tcW w:w="2880" w:type="dxa"/>
            <w:vAlign w:val="bottom"/>
            <w:gridSpan w:val="3"/>
          </w:tcPr>
          <w:p>
            <w:pPr>
              <w:ind w:left="1160"/>
              <w:spacing w:after="0" w:line="203" w:lineRule="exact"/>
              <w:rPr>
                <w:sz w:val="20"/>
                <w:szCs w:val="20"/>
                <w:color w:val="auto"/>
              </w:rPr>
            </w:pPr>
            <w:r>
              <w:rPr>
                <w:rFonts w:ascii="Courier New" w:cs="Courier New" w:eastAsia="Courier New" w:hAnsi="Courier New"/>
                <w:sz w:val="18"/>
                <w:szCs w:val="18"/>
                <w:color w:val="auto"/>
                <w:w w:val="98"/>
              </w:rPr>
              <w:t>Title: President</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Chief</w:t>
            </w:r>
          </w:p>
        </w:tc>
      </w:tr>
      <w:tr>
        <w:trPr>
          <w:trHeight w:val="296"/>
        </w:trPr>
        <w:tc>
          <w:tcPr>
            <w:tcW w:w="28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Executive</w:t>
            </w: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rPr>
              <w:t>Officer</w:t>
            </w:r>
          </w:p>
        </w:tc>
      </w:tr>
    </w:tbl>
    <w:p>
      <w:pPr>
        <w:spacing w:after="0" w:line="311" w:lineRule="exact"/>
        <w:rPr>
          <w:sz w:val="20"/>
          <w:szCs w:val="20"/>
          <w:color w:val="auto"/>
        </w:rPr>
      </w:pPr>
    </w:p>
    <w:p>
      <w:pPr>
        <w:ind w:right="1879"/>
        <w:spacing w:after="0" w:line="252"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 porated by reference. The name and any title of each person who signs the statement shall be typed or printed beneath his signature.</w:t>
      </w:r>
    </w:p>
    <w:p>
      <w:pPr>
        <w:spacing w:after="0" w:line="99" w:lineRule="exact"/>
        <w:rPr>
          <w:sz w:val="20"/>
          <w:szCs w:val="20"/>
          <w:color w:val="auto"/>
        </w:rPr>
      </w:pPr>
    </w:p>
    <w:p>
      <w:pPr>
        <w:ind w:right="1879"/>
        <w:spacing w:after="0" w:line="285" w:lineRule="auto"/>
        <w:rPr>
          <w:sz w:val="20"/>
          <w:szCs w:val="20"/>
          <w:color w:val="auto"/>
        </w:rPr>
      </w:pPr>
      <w:r>
        <w:rPr>
          <w:rFonts w:ascii="Courier New" w:cs="Courier New" w:eastAsia="Courier New" w:hAnsi="Courier New"/>
          <w:sz w:val="16"/>
          <w:szCs w:val="16"/>
          <w:color w:val="auto"/>
        </w:rPr>
        <w:t>ATTENTION: Intentional misstatements or omissions of fact constitute Federal criminal violations (see 18 U.S.C. 1001). (Secs. 3(b), 13(d)(1), 13(d)(2), 13(d)(5), 13(d)(6), 13(g)(1), 13(g)(2), 13(g)(5), 23, 48 Stat. 882, 894, 901; sec. 203(a), 49 Stat. 704; sec. 8, 49 Stat. 1379; sec. 10, 78 Stat. 88a; sec. 2, 82 Stat. 454; secs. 1, 2, 84 Stat. 1497; secs. 3, 10, 18, 89 Stat. 97, 119, 155; secs. 202, 203, 91 Stat. 1494, 1498, 1499; (15 U.S.C. 78c(b), 78m(d)(1), 78m(d)(2), 78m(d)(5), 78m(d)(6), 78m(g)(1), 78m(g)(2), 78m(g)(5), 78w)) [43 FR 18499, Apr. 28, 1978, as amended at 43 FR 55756, Nov. 29, 1978; 44 FR 2148, Jan. 9, 1979; 44 FR 11751, Mar. 2, 1979; 61 FR 49959, Sept. 24, 1996; 62 FR 35340, July 1, 1997; 63 FR 2867, Jan. 16, 1998; 63 FR 15287, Mar. 31, 1998]</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 of 7 Pages</w:t>
      </w:r>
    </w:p>
    <w:p>
      <w:pPr>
        <w:sectPr>
          <w:pgSz w:w="11900" w:h="16838" w:orient="portrait"/>
          <w:cols w:equalWidth="0" w:num="1">
            <w:col w:w="10219"/>
          </w:cols>
          <w:pgMar w:left="240" w:top="691" w:right="1440" w:bottom="1440" w:gutter="0" w:footer="0" w:header="0"/>
        </w:sectPr>
      </w:pPr>
    </w:p>
    <w:bookmarkStart w:id="9" w:name="page10"/>
    <w:bookmarkEnd w:id="9"/>
    <w:p>
      <w:pPr>
        <w:ind w:right="1879"/>
        <w:spacing w:after="0" w:line="260" w:lineRule="auto"/>
        <w:rPr>
          <w:sz w:val="20"/>
          <w:szCs w:val="20"/>
          <w:color w:val="auto"/>
        </w:rPr>
      </w:pPr>
      <w:r>
        <w:rPr>
          <w:rFonts w:ascii="Courier New" w:cs="Courier New" w:eastAsia="Courier New" w:hAnsi="Courier New"/>
          <w:sz w:val="18"/>
          <w:szCs w:val="18"/>
          <w:color w:val="auto"/>
        </w:rPr>
        <w:t>The undersigned hereby agrees that the foregoing statement on Schedule 13G is filed on behalf of each of the undersigned in accordance with the provisions of Rule 13d-1(k) under the Securities Exchange Act of 1934, as amended, and that all subsequent amendments to this statement on Schedule 13G may be filed on behalf of each of the undersigned without the necessity of filing additional joint filing agreements.</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lvl w:ilvl="1">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lvl w:ilvl="1">
      <w:lvlJc w:val="left"/>
      <w:lvlText w:val="(%2)"/>
      <w:numFmt w:val="decimal"/>
      <w:start w:val="5"/>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lvl w:ilvl="1">
      <w:lvlJc w:val="left"/>
      <w:lvlText w:val="(%2)"/>
      <w:numFmt w:val="decimal"/>
      <w:start w:val="5"/>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lvl w:ilvl="1">
      <w:lvlJc w:val="left"/>
      <w:lvlText w:val="(%2)"/>
      <w:numFmt w:val="decimal"/>
      <w:start w:val="5"/>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lvl w:ilvl="1">
      <w:lvlJc w:val="left"/>
      <w:lvlText w:val="(%2)"/>
      <w:numFmt w:val="decimal"/>
      <w:start w:val="5"/>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lowerLetter"/>
      <w:start w:val="1"/>
    </w:lvl>
    <w:lvl w:ilvl="1">
      <w:lvlJc w:val="left"/>
      <w:lvlText w:val="%2"/>
      <w:numFmt w:val="lowerLetter"/>
      <w:start w:val="1"/>
    </w:lvl>
  </w:abstractNum>
  <w:abstractNum w:abstractNumId="30">
    <w:nsid w:val="6CEAF087"/>
    <w:multiLevelType w:val="hybridMultilevel"/>
    <w:lvl w:ilvl="0">
      <w:lvlJc w:val="left"/>
      <w:lvlText w:val="(%1)"/>
      <w:numFmt w:val="lowerLetter"/>
      <w:start w:val="6"/>
    </w:lvl>
  </w:abstractNum>
  <w:abstractNum w:abstractNumId="31">
    <w:nsid w:val="22221A70"/>
    <w:multiLevelType w:val="hybridMultilevel"/>
    <w:lvl w:ilvl="0">
      <w:lvlJc w:val="left"/>
      <w:lvlText w:val="(%1)"/>
      <w:numFmt w:val="lowerLetter"/>
      <w:start w:val="1"/>
    </w:lvl>
    <w:lvl w:ilvl="1">
      <w:lvlJc w:val="left"/>
      <w:lvlText w:val="(%2)"/>
      <w:numFmt w:val="lowerRoman"/>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2019-12-13T14:12:39Z</dcterms:created>
  <dcterms:modified xsi:type="dcterms:W3CDTF">2019-12-13T14:12:39Z</dcterms:modified>
</cp:coreProperties>
</file>