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increments of 50% upon the third and fourth anniversaries of the grant date. Upon vesting, each restricted stock unit will be settled solely by delivery of one share of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2021-06-22T10:04:07Z</dcterms:created>
  <dcterms:modified xsi:type="dcterms:W3CDTF">2021-06-22T10:04:07Z</dcterms:modified>
</cp:coreProperties>
</file>