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Ference Patrick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11/20/2008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6555 WEST GOOD HOPE ROAD</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MILWAUKEE WI</w:t>
            </w:r>
          </w:p>
        </w:tc>
        <w:tc>
          <w:tcPr>
            <w:tcW w:w="1380" w:type="dxa"/>
            <w:vAlign w:val="bottom"/>
          </w:tcPr>
          <w:p>
            <w:pPr>
              <w:ind w:left="340"/>
              <w:spacing w:after="0"/>
              <w:rPr>
                <w:sz w:val="20"/>
                <w:szCs w:val="20"/>
                <w:color w:val="auto"/>
              </w:rPr>
            </w:pPr>
            <w:r>
              <w:rPr>
                <w:rFonts w:ascii="Arial" w:cs="Arial" w:eastAsia="Arial" w:hAnsi="Arial"/>
                <w:sz w:val="18"/>
                <w:szCs w:val="18"/>
                <w:color w:val="0000FF"/>
              </w:rPr>
              <w:t>53223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6"/>
          <w:szCs w:val="16"/>
          <w:color w:val="0000FF"/>
        </w:rPr>
        <w:t>Vice President Human Resources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jc w:val="right"/>
              <w:ind w:right="1002"/>
              <w:spacing w:after="0"/>
              <w:rPr>
                <w:sz w:val="20"/>
                <w:szCs w:val="20"/>
                <w:color w:val="auto"/>
              </w:rPr>
            </w:pPr>
            <w:r>
              <w:rPr>
                <w:rFonts w:ascii="Arial" w:cs="Arial" w:eastAsia="Arial" w:hAnsi="Arial"/>
                <w:sz w:val="14"/>
                <w:szCs w:val="14"/>
                <w:b w:val="1"/>
                <w:bCs w:val="1"/>
                <w:color w:val="auto"/>
                <w:w w:val="98"/>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16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jc w:val="right"/>
              <w:ind w:right="1722"/>
              <w:spacing w:after="0"/>
              <w:rPr>
                <w:sz w:val="20"/>
                <w:szCs w:val="20"/>
                <w:color w:val="auto"/>
              </w:rPr>
            </w:pPr>
            <w:r>
              <w:rPr>
                <w:rFonts w:ascii="Arial" w:cs="Arial" w:eastAsia="Arial" w:hAnsi="Arial"/>
                <w:sz w:val="18"/>
                <w:szCs w:val="18"/>
                <w:color w:val="0000FF"/>
                <w:w w:val="91"/>
              </w:rPr>
              <w:t>Class A Common Stock</w:t>
            </w:r>
          </w:p>
        </w:tc>
        <w:tc>
          <w:tcPr>
            <w:tcW w:w="900" w:type="dxa"/>
            <w:vAlign w:val="bottom"/>
          </w:tcPr>
          <w:p>
            <w:pPr>
              <w:ind w:left="140"/>
              <w:spacing w:after="0"/>
              <w:rPr>
                <w:sz w:val="20"/>
                <w:szCs w:val="20"/>
                <w:color w:val="auto"/>
              </w:rPr>
            </w:pPr>
            <w:r>
              <w:rPr>
                <w:rFonts w:ascii="Arial" w:cs="Arial" w:eastAsia="Arial" w:hAnsi="Arial"/>
                <w:sz w:val="14"/>
                <w:szCs w:val="14"/>
                <w:color w:val="0000FF"/>
              </w:rPr>
              <w:t>10/01/2009</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10/01/2018</w:t>
            </w:r>
          </w:p>
        </w:tc>
        <w:tc>
          <w:tcPr>
            <w:tcW w:w="1580" w:type="dxa"/>
            <w:vAlign w:val="bottom"/>
          </w:tcPr>
          <w:p>
            <w:pPr>
              <w:ind w:left="520"/>
              <w:spacing w:after="0"/>
              <w:rPr>
                <w:sz w:val="20"/>
                <w:szCs w:val="20"/>
                <w:color w:val="auto"/>
              </w:rPr>
            </w:pPr>
            <w:r>
              <w:rPr>
                <w:rFonts w:ascii="Arial" w:cs="Arial" w:eastAsia="Arial" w:hAnsi="Arial"/>
                <w:sz w:val="18"/>
                <w:szCs w:val="18"/>
                <w:color w:val="0000FF"/>
                <w:w w:val="95"/>
              </w:rPr>
              <w:t>Option to Buy</w:t>
            </w:r>
          </w:p>
        </w:tc>
        <w:tc>
          <w:tcPr>
            <w:tcW w:w="1100" w:type="dxa"/>
            <w:vAlign w:val="bottom"/>
          </w:tcPr>
          <w:p>
            <w:pPr>
              <w:ind w:left="580"/>
              <w:spacing w:after="0"/>
              <w:rPr>
                <w:sz w:val="20"/>
                <w:szCs w:val="20"/>
                <w:color w:val="auto"/>
              </w:rPr>
            </w:pPr>
            <w:r>
              <w:rPr>
                <w:rFonts w:ascii="Arial" w:cs="Arial" w:eastAsia="Arial" w:hAnsi="Arial"/>
                <w:sz w:val="18"/>
                <w:szCs w:val="18"/>
                <w:color w:val="0000FF"/>
                <w:w w:val="90"/>
              </w:rPr>
              <w:t>15,000</w:t>
            </w:r>
          </w:p>
        </w:tc>
        <w:tc>
          <w:tcPr>
            <w:tcW w:w="60" w:type="dxa"/>
            <w:vAlign w:val="bottom"/>
          </w:tcPr>
          <w:p>
            <w:pPr>
              <w:spacing w:after="0"/>
              <w:rPr>
                <w:sz w:val="23"/>
                <w:szCs w:val="23"/>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0000FF"/>
              </w:rPr>
              <w:t>35.42</w:t>
            </w:r>
          </w:p>
        </w:tc>
        <w:tc>
          <w:tcPr>
            <w:tcW w:w="26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jc w:val="right"/>
              <w:ind w:right="1722"/>
              <w:spacing w:after="0"/>
              <w:rPr>
                <w:sz w:val="20"/>
                <w:szCs w:val="20"/>
                <w:color w:val="auto"/>
              </w:rPr>
            </w:pPr>
            <w:r>
              <w:rPr>
                <w:rFonts w:ascii="Arial" w:cs="Arial" w:eastAsia="Arial" w:hAnsi="Arial"/>
                <w:sz w:val="14"/>
                <w:szCs w:val="14"/>
                <w:b w:val="1"/>
                <w:bCs w:val="1"/>
                <w:color w:val="auto"/>
                <w:w w:val="96"/>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560" w:type="dxa"/>
            <w:vAlign w:val="bottom"/>
          </w:tcPr>
          <w:p>
            <w:pPr>
              <w:jc w:val="right"/>
              <w:ind w:right="2662"/>
              <w:spacing w:after="0"/>
              <w:rPr>
                <w:sz w:val="20"/>
                <w:szCs w:val="20"/>
                <w:color w:val="auto"/>
              </w:rPr>
            </w:pPr>
            <w:r>
              <w:rPr>
                <w:rFonts w:ascii="Arial" w:cs="Arial" w:eastAsia="Arial" w:hAnsi="Arial"/>
                <w:sz w:val="18"/>
                <w:szCs w:val="18"/>
                <w:b w:val="1"/>
                <w:bCs w:val="1"/>
                <w:color w:val="auto"/>
                <w:w w:val="97"/>
              </w:rPr>
              <w:t>Remarks:</w:t>
            </w: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0000FF"/>
                <w:w w:val="87"/>
              </w:rPr>
              <w:t>Barbara Bolens</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11/26/2008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Executing Forms 3, 4 and 5</w:t>
      </w:r>
    </w:p>
    <w:p>
      <w:pPr>
        <w:spacing w:after="0" w:line="207" w:lineRule="exact"/>
        <w:rPr>
          <w:sz w:val="20"/>
          <w:szCs w:val="20"/>
          <w:color w:val="auto"/>
        </w:rPr>
      </w:pPr>
    </w:p>
    <w:p>
      <w:pPr>
        <w:jc w:val="both"/>
        <w:ind w:right="2739"/>
        <w:spacing w:after="0" w:line="536"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Barbara Bolens, Roger Mair, and Kathy Johnson, signing singly, the undersigned's true and lawful attorney-in-fact to:</w:t>
      </w:r>
    </w:p>
    <w:p>
      <w:pPr>
        <w:spacing w:after="0" w:line="1" w:lineRule="exact"/>
        <w:rPr>
          <w:sz w:val="20"/>
          <w:szCs w:val="20"/>
          <w:color w:val="auto"/>
        </w:rPr>
      </w:pPr>
    </w:p>
    <w:p>
      <w:pPr>
        <w:ind w:right="2939" w:firstLine="8"/>
        <w:spacing w:after="0" w:line="536"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Brady Corporation (the "Company"), Forms 3, 4 and 5 in accordance with Section 16(a) of</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Securities Exchange Act of 1934 and the rules thereunder:</w:t>
      </w:r>
    </w:p>
    <w:p>
      <w:pPr>
        <w:spacing w:after="0" w:line="206" w:lineRule="exact"/>
        <w:rPr>
          <w:rFonts w:ascii="Courier New" w:cs="Courier New" w:eastAsia="Courier New" w:hAnsi="Courier New"/>
          <w:sz w:val="16"/>
          <w:szCs w:val="16"/>
          <w:color w:val="auto"/>
        </w:rPr>
      </w:pPr>
    </w:p>
    <w:p>
      <w:pPr>
        <w:ind w:right="3579" w:firstLine="8"/>
        <w:spacing w:after="0" w:line="47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159" w:firstLine="8"/>
        <w:spacing w:after="0" w:line="536"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rFonts w:ascii="Courier New" w:cs="Courier New" w:eastAsia="Courier New" w:hAnsi="Courier New"/>
          <w:sz w:val="16"/>
          <w:szCs w:val="16"/>
          <w:color w:val="auto"/>
        </w:rPr>
      </w:pPr>
    </w:p>
    <w:p>
      <w:pPr>
        <w:ind w:right="2099"/>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 w:lineRule="exact"/>
        <w:rPr>
          <w:rFonts w:ascii="Courier New" w:cs="Courier New" w:eastAsia="Courier New" w:hAnsi="Courier New"/>
          <w:sz w:val="16"/>
          <w:szCs w:val="16"/>
          <w:color w:val="auto"/>
        </w:rPr>
      </w:pPr>
    </w:p>
    <w:p>
      <w:pPr>
        <w:ind w:right="231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ectPr>
          <w:pgSz w:w="11900" w:h="16946" w:orient="portrait"/>
          <w:cols w:equalWidth="0" w:num="1">
            <w:col w:w="10219"/>
          </w:cols>
          <w:pgMar w:left="240" w:top="136" w:right="1440" w:bottom="0" w:gutter="0" w:footer="0" w:header="0"/>
        </w:sectPr>
      </w:pPr>
    </w:p>
    <w:bookmarkStart w:id="2" w:name="page3"/>
    <w:bookmarkEnd w:id="2"/>
    <w:p>
      <w:pPr>
        <w:ind w:right="2939"/>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June, 2003.</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Patrick S. Ference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Patrick S. Ference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QBMKE\180003.40001\5427293.2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QBMKE\180003.40001\5427293.2</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50646" TargetMode="External"/><Relationship Id="rId12"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2019-12-18T13:20:22Z</dcterms:created>
  <dcterms:modified xsi:type="dcterms:W3CDTF">2019-12-18T13:20:22Z</dcterms:modified>
</cp:coreProperties>
</file>