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filed with the Securities and Exchange Commission on November 24, 2008</w:t>
      </w:r>
    </w:p>
    <w:p>
      <w:pPr>
        <w:spacing w:after="0" w:line="225"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11430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FORM S-3</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Under</w:t>
      </w:r>
    </w:p>
    <w:p>
      <w:pPr>
        <w:jc w:val="center"/>
        <w:ind w:right="-7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1540" w:type="dxa"/>
        <w:tblCellMar>
          <w:top w:w="0" w:type="dxa"/>
          <w:left w:w="0" w:type="dxa"/>
          <w:bottom w:w="0" w:type="dxa"/>
          <w:right w:w="0" w:type="dxa"/>
        </w:tblCellMar>
      </w:tblPr>
      <w:tr>
        <w:trPr>
          <w:trHeight w:val="220"/>
        </w:trPr>
        <w:tc>
          <w:tcPr>
            <w:tcW w:w="4420" w:type="dxa"/>
            <w:vAlign w:val="bottom"/>
          </w:tcPr>
          <w:p>
            <w:pPr>
              <w:jc w:val="center"/>
              <w:ind w:right="1970"/>
              <w:spacing w:after="0"/>
              <w:rPr>
                <w:sz w:val="20"/>
                <w:szCs w:val="20"/>
                <w:color w:val="auto"/>
              </w:rPr>
            </w:pPr>
            <w:r>
              <w:rPr>
                <w:rFonts w:ascii="Arial" w:cs="Arial" w:eastAsia="Arial" w:hAnsi="Arial"/>
                <w:sz w:val="18"/>
                <w:szCs w:val="18"/>
                <w:b w:val="1"/>
                <w:bCs w:val="1"/>
                <w:color w:val="auto"/>
                <w:w w:val="99"/>
              </w:rPr>
              <w:t>WISCONSIN</w:t>
            </w:r>
          </w:p>
        </w:tc>
        <w:tc>
          <w:tcPr>
            <w:tcW w:w="342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39-0178960</w:t>
            </w:r>
          </w:p>
        </w:tc>
      </w:tr>
      <w:tr>
        <w:trPr>
          <w:trHeight w:val="216"/>
        </w:trPr>
        <w:tc>
          <w:tcPr>
            <w:tcW w:w="4420" w:type="dxa"/>
            <w:vAlign w:val="bottom"/>
          </w:tcPr>
          <w:p>
            <w:pPr>
              <w:jc w:val="center"/>
              <w:ind w:right="1990"/>
              <w:spacing w:after="0"/>
              <w:rPr>
                <w:sz w:val="20"/>
                <w:szCs w:val="20"/>
                <w:color w:val="auto"/>
              </w:rPr>
            </w:pPr>
            <w:r>
              <w:rPr>
                <w:rFonts w:ascii="Arial" w:cs="Arial" w:eastAsia="Arial" w:hAnsi="Arial"/>
                <w:sz w:val="18"/>
                <w:szCs w:val="18"/>
                <w:color w:val="auto"/>
                <w:w w:val="92"/>
              </w:rPr>
              <w:t>(State or other jurisdiction</w:t>
            </w:r>
          </w:p>
        </w:tc>
        <w:tc>
          <w:tcPr>
            <w:tcW w:w="3420" w:type="dxa"/>
            <w:vAlign w:val="bottom"/>
          </w:tcPr>
          <w:p>
            <w:pPr>
              <w:jc w:val="center"/>
              <w:ind w:left="1990"/>
              <w:spacing w:after="0"/>
              <w:rPr>
                <w:sz w:val="20"/>
                <w:szCs w:val="20"/>
                <w:color w:val="auto"/>
              </w:rPr>
            </w:pPr>
            <w:r>
              <w:rPr>
                <w:rFonts w:ascii="Arial" w:cs="Arial" w:eastAsia="Arial" w:hAnsi="Arial"/>
                <w:sz w:val="18"/>
                <w:szCs w:val="18"/>
                <w:color w:val="auto"/>
                <w:w w:val="92"/>
              </w:rPr>
              <w:t>(I.R.S. Employer</w:t>
            </w:r>
          </w:p>
        </w:tc>
      </w:tr>
      <w:tr>
        <w:trPr>
          <w:trHeight w:val="230"/>
        </w:trPr>
        <w:tc>
          <w:tcPr>
            <w:tcW w:w="4420" w:type="dxa"/>
            <w:vAlign w:val="bottom"/>
          </w:tcPr>
          <w:p>
            <w:pPr>
              <w:jc w:val="center"/>
              <w:ind w:right="1970"/>
              <w:spacing w:after="0"/>
              <w:rPr>
                <w:sz w:val="20"/>
                <w:szCs w:val="20"/>
                <w:color w:val="auto"/>
              </w:rPr>
            </w:pPr>
            <w:r>
              <w:rPr>
                <w:rFonts w:ascii="Arial" w:cs="Arial" w:eastAsia="Arial" w:hAnsi="Arial"/>
                <w:sz w:val="18"/>
                <w:szCs w:val="18"/>
                <w:color w:val="auto"/>
                <w:w w:val="92"/>
              </w:rPr>
              <w:t>of incorporation or organization)</w:t>
            </w:r>
          </w:p>
        </w:tc>
        <w:tc>
          <w:tcPr>
            <w:tcW w:w="3420" w:type="dxa"/>
            <w:vAlign w:val="bottom"/>
          </w:tcPr>
          <w:p>
            <w:pPr>
              <w:jc w:val="center"/>
              <w:ind w:left="199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6555 West Good Hope Road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Milwaukee, Wisconsin 53223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(414) 358-6600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including area code, of Registrant’s principal executive offices)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THOMAS J. FELMER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Brady 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6555 West Good Hope Road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 Box 571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Milwaukee, Wisconsin 53201-0571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(414) 358-6600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(Name, address, including ZIP Code, and telephone number,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Copy to:</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HOYT R. STASTNEY, ESQ.</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Quarles &amp; Brady LLP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411 East Wisconsin Avenue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Milwaukee, Wisconsin 53202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(414) 277-5000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At such time or from time to time after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as determined in light of market conditions and other factors.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40"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108"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-45085</wp:posOffset>
            </wp:positionV>
            <wp:extent cx="571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42"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-45085</wp:posOffset>
            </wp:positionV>
            <wp:extent cx="1143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42" w:lineRule="exact"/>
        <w:rPr>
          <w:sz w:val="20"/>
          <w:szCs w:val="20"/>
          <w:color w:val="auto"/>
        </w:rPr>
      </w:pPr>
    </w:p>
    <w:p>
      <w:pPr>
        <w:ind w:right="140" w:firstLine="225"/>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ectPr>
          <w:pgSz w:w="11900" w:h="16838" w:orient="portrait"/>
          <w:cols w:equalWidth="0" w:num="1">
            <w:col w:w="11340"/>
          </w:cols>
          <w:pgMar w:left="240" w:top="122" w:right="319" w:bottom="0" w:gutter="0" w:footer="0" w:header="0"/>
        </w:sectPr>
      </w:pPr>
    </w:p>
    <w:bookmarkStart w:id="2" w:name="page3"/>
    <w:bookmarkEnd w:id="2"/>
    <w:p>
      <w:pPr>
        <w:ind w:right="120" w:firstLine="270"/>
        <w:spacing w:after="0" w:line="33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5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140" w:type="dxa"/>
            <w:vAlign w:val="bottom"/>
          </w:tcPr>
          <w:p>
            <w:pPr>
              <w:ind w:left="240"/>
              <w:spacing w:after="0"/>
              <w:rPr>
                <w:sz w:val="20"/>
                <w:szCs w:val="20"/>
                <w:color w:val="auto"/>
              </w:rPr>
            </w:pPr>
            <w:r>
              <w:rPr>
                <w:rFonts w:ascii="Arial" w:cs="Arial" w:eastAsia="Arial" w:hAnsi="Arial"/>
                <w:sz w:val="18"/>
                <w:szCs w:val="18"/>
                <w:color w:val="auto"/>
              </w:rPr>
              <w:t>Accelerated filer o</w:t>
            </w:r>
          </w:p>
        </w:tc>
        <w:tc>
          <w:tcPr>
            <w:tcW w:w="4180" w:type="dxa"/>
            <w:vAlign w:val="bottom"/>
            <w:gridSpan w:val="2"/>
          </w:tcPr>
          <w:p>
            <w:pPr>
              <w:jc w:val="center"/>
              <w:ind w:right="239"/>
              <w:spacing w:after="0"/>
              <w:rPr>
                <w:sz w:val="20"/>
                <w:szCs w:val="20"/>
                <w:color w:val="auto"/>
              </w:rPr>
            </w:pPr>
            <w:r>
              <w:rPr>
                <w:rFonts w:ascii="Arial" w:cs="Arial" w:eastAsia="Arial" w:hAnsi="Arial"/>
                <w:sz w:val="18"/>
                <w:szCs w:val="18"/>
                <w:color w:val="auto"/>
                <w:w w:val="93"/>
              </w:rPr>
              <w:t>Non-accelerated filer  o</w:t>
            </w:r>
          </w:p>
        </w:tc>
        <w:tc>
          <w:tcPr>
            <w:tcW w:w="2540" w:type="dxa"/>
            <w:vAlign w:val="bottom"/>
            <w:gridSpan w:val="3"/>
          </w:tcPr>
          <w:p>
            <w:pPr>
              <w:ind w:left="200"/>
              <w:spacing w:after="0"/>
              <w:rPr>
                <w:sz w:val="20"/>
                <w:szCs w:val="20"/>
                <w:color w:val="auto"/>
              </w:rPr>
            </w:pPr>
            <w:r>
              <w:rPr>
                <w:rFonts w:ascii="Arial" w:cs="Arial" w:eastAsia="Arial" w:hAnsi="Arial"/>
                <w:sz w:val="18"/>
                <w:szCs w:val="18"/>
                <w:color w:val="auto"/>
              </w:rPr>
              <w:t>Smaller reporting company o</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180" w:type="dxa"/>
            <w:vAlign w:val="bottom"/>
            <w:gridSpan w:val="2"/>
          </w:tcPr>
          <w:p>
            <w:pPr>
              <w:jc w:val="center"/>
              <w:ind w:right="239"/>
              <w:spacing w:after="0"/>
              <w:rPr>
                <w:sz w:val="20"/>
                <w:szCs w:val="20"/>
                <w:color w:val="auto"/>
              </w:rPr>
            </w:pPr>
            <w:r>
              <w:rPr>
                <w:rFonts w:ascii="Arial" w:cs="Arial" w:eastAsia="Arial" w:hAnsi="Arial"/>
                <w:sz w:val="18"/>
                <w:szCs w:val="18"/>
                <w:color w:val="auto"/>
                <w:w w:val="91"/>
              </w:rPr>
              <w:t>(Do not check if a smaller reporting company)</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4"/>
                <w:szCs w:val="24"/>
                <w:color w:val="auto"/>
              </w:rPr>
            </w:pPr>
          </w:p>
        </w:tc>
        <w:tc>
          <w:tcPr>
            <w:tcW w:w="6320" w:type="dxa"/>
            <w:vAlign w:val="bottom"/>
            <w:gridSpan w:val="3"/>
          </w:tcPr>
          <w:p>
            <w:pPr>
              <w:ind w:left="1420"/>
              <w:spacing w:after="0"/>
              <w:rPr>
                <w:sz w:val="20"/>
                <w:szCs w:val="20"/>
                <w:color w:val="auto"/>
              </w:rPr>
            </w:pPr>
            <w:r>
              <w:rPr>
                <w:rFonts w:ascii="Arial" w:cs="Arial" w:eastAsia="Arial" w:hAnsi="Arial"/>
                <w:sz w:val="18"/>
                <w:szCs w:val="18"/>
                <w:b w:val="1"/>
                <w:bCs w:val="1"/>
                <w:color w:val="auto"/>
              </w:rPr>
              <w:t>CALCULATION OF REGISTRATION FEE</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5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1440" w:type="dxa"/>
            <w:vAlign w:val="bottom"/>
            <w:vMerge w:val="restart"/>
          </w:tcPr>
          <w:p>
            <w:pPr>
              <w:jc w:val="center"/>
              <w:ind w:left="339"/>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04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2740" w:type="dxa"/>
            <w:vAlign w:val="bottom"/>
            <w:tcBorders>
              <w:right w:val="single" w:sz="8" w:color="auto"/>
            </w:tcBorders>
          </w:tcPr>
          <w:p>
            <w:pPr>
              <w:spacing w:after="0"/>
              <w:rPr>
                <w:sz w:val="12"/>
                <w:szCs w:val="12"/>
                <w:color w:val="auto"/>
              </w:rPr>
            </w:pPr>
          </w:p>
        </w:tc>
        <w:tc>
          <w:tcPr>
            <w:tcW w:w="1440" w:type="dxa"/>
            <w:vAlign w:val="bottom"/>
            <w:vMerge w:val="continue"/>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1440" w:type="dxa"/>
            <w:vAlign w:val="bottom"/>
          </w:tcPr>
          <w:p>
            <w:pPr>
              <w:jc w:val="center"/>
              <w:ind w:left="339"/>
              <w:spacing w:after="0" w:line="149" w:lineRule="exact"/>
              <w:rPr>
                <w:sz w:val="20"/>
                <w:szCs w:val="20"/>
                <w:color w:val="auto"/>
              </w:rPr>
            </w:pPr>
            <w:r>
              <w:rPr>
                <w:rFonts w:ascii="Arial" w:cs="Arial" w:eastAsia="Arial" w:hAnsi="Arial"/>
                <w:sz w:val="14"/>
                <w:szCs w:val="14"/>
                <w:b w:val="1"/>
                <w:bCs w:val="1"/>
                <w:color w:val="auto"/>
                <w:w w:val="89"/>
              </w:rPr>
              <w:t>to be</w:t>
            </w:r>
          </w:p>
        </w:tc>
        <w:tc>
          <w:tcPr>
            <w:tcW w:w="4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104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3"/>
              </w:rPr>
              <w:t>registration</w:t>
            </w:r>
          </w:p>
        </w:tc>
        <w:tc>
          <w:tcPr>
            <w:tcW w:w="0" w:type="dxa"/>
            <w:vAlign w:val="bottom"/>
          </w:tcPr>
          <w:p>
            <w:pPr>
              <w:spacing w:after="0"/>
              <w:rPr>
                <w:sz w:val="1"/>
                <w:szCs w:val="1"/>
                <w:color w:val="auto"/>
              </w:rPr>
            </w:pPr>
          </w:p>
        </w:tc>
      </w:tr>
      <w:tr>
        <w:trPr>
          <w:trHeight w:val="171"/>
        </w:trPr>
        <w:tc>
          <w:tcPr>
            <w:tcW w:w="25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274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jc w:val="center"/>
              <w:ind w:left="339"/>
              <w:spacing w:after="0"/>
              <w:rPr>
                <w:sz w:val="20"/>
                <w:szCs w:val="20"/>
                <w:color w:val="auto"/>
              </w:rPr>
            </w:pPr>
            <w:r>
              <w:rPr>
                <w:rFonts w:ascii="Arial" w:cs="Arial" w:eastAsia="Arial" w:hAnsi="Arial"/>
                <w:sz w:val="14"/>
                <w:szCs w:val="14"/>
                <w:b w:val="1"/>
                <w:bCs w:val="1"/>
                <w:color w:val="auto"/>
                <w:w w:val="91"/>
              </w:rPr>
              <w:t>registered</w:t>
            </w:r>
          </w:p>
        </w:tc>
        <w:tc>
          <w:tcPr>
            <w:tcW w:w="42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104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88"/>
              </w:rPr>
              <w:t>fee</w:t>
            </w: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Debt securities</w:t>
            </w:r>
          </w:p>
        </w:tc>
        <w:tc>
          <w:tcPr>
            <w:tcW w:w="2140" w:type="dxa"/>
            <w:vAlign w:val="bottom"/>
            <w:tcBorders>
              <w:bottom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jc w:val="center"/>
              <w:ind w:left="339"/>
              <w:spacing w:after="0"/>
              <w:rPr>
                <w:sz w:val="20"/>
                <w:szCs w:val="20"/>
                <w:color w:val="auto"/>
              </w:rPr>
            </w:pPr>
            <w:r>
              <w:rPr>
                <w:rFonts w:ascii="Arial" w:cs="Arial" w:eastAsia="Arial" w:hAnsi="Arial"/>
                <w:sz w:val="18"/>
                <w:szCs w:val="18"/>
                <w:color w:val="auto"/>
                <w:w w:val="95"/>
              </w:rPr>
              <w:t>(1)(2)</w:t>
            </w:r>
          </w:p>
        </w:tc>
        <w:tc>
          <w:tcPr>
            <w:tcW w:w="4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Subsidiary Guarantees</w:t>
            </w:r>
          </w:p>
        </w:tc>
        <w:tc>
          <w:tcPr>
            <w:tcW w:w="2140" w:type="dxa"/>
            <w:vAlign w:val="bottom"/>
            <w:tcBorders>
              <w:bottom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jc w:val="center"/>
              <w:ind w:left="339"/>
              <w:spacing w:after="0"/>
              <w:rPr>
                <w:sz w:val="20"/>
                <w:szCs w:val="20"/>
                <w:color w:val="auto"/>
              </w:rPr>
            </w:pPr>
            <w:r>
              <w:rPr>
                <w:rFonts w:ascii="Arial" w:cs="Arial" w:eastAsia="Arial" w:hAnsi="Arial"/>
                <w:sz w:val="18"/>
                <w:szCs w:val="18"/>
                <w:color w:val="auto"/>
                <w:w w:val="99"/>
              </w:rPr>
              <w:t>(4)</w:t>
            </w:r>
          </w:p>
        </w:tc>
        <w:tc>
          <w:tcPr>
            <w:tcW w:w="4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560" w:type="dxa"/>
            <w:vAlign w:val="bottom"/>
          </w:tcPr>
          <w:p>
            <w:pPr>
              <w:ind w:left="100"/>
              <w:spacing w:after="0" w:line="195" w:lineRule="exact"/>
              <w:rPr>
                <w:sz w:val="20"/>
                <w:szCs w:val="20"/>
                <w:color w:val="auto"/>
              </w:rPr>
            </w:pPr>
            <w:r>
              <w:rPr>
                <w:rFonts w:ascii="Arial" w:cs="Arial" w:eastAsia="Arial" w:hAnsi="Arial"/>
                <w:sz w:val="18"/>
                <w:szCs w:val="18"/>
                <w:color w:val="auto"/>
              </w:rPr>
              <w:t>Class A Nonvoting Common</w:t>
            </w:r>
          </w:p>
        </w:tc>
        <w:tc>
          <w:tcPr>
            <w:tcW w:w="2140" w:type="dxa"/>
            <w:vAlign w:val="bottom"/>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1440" w:type="dxa"/>
            <w:vAlign w:val="bottom"/>
          </w:tcPr>
          <w:p>
            <w:pPr>
              <w:jc w:val="center"/>
              <w:ind w:left="339"/>
              <w:spacing w:after="0" w:line="195" w:lineRule="exact"/>
              <w:rPr>
                <w:sz w:val="20"/>
                <w:szCs w:val="20"/>
                <w:color w:val="auto"/>
              </w:rPr>
            </w:pPr>
            <w:r>
              <w:rPr>
                <w:rFonts w:ascii="Arial" w:cs="Arial" w:eastAsia="Arial" w:hAnsi="Arial"/>
                <w:sz w:val="18"/>
                <w:szCs w:val="18"/>
                <w:color w:val="auto"/>
                <w:w w:val="95"/>
              </w:rPr>
              <w:t>(1)(2)</w:t>
            </w:r>
          </w:p>
        </w:tc>
        <w:tc>
          <w:tcPr>
            <w:tcW w:w="4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7"/>
              </w:rPr>
              <w:t>Stock, par value $.01 per share</w:t>
            </w:r>
          </w:p>
        </w:tc>
        <w:tc>
          <w:tcPr>
            <w:tcW w:w="2140" w:type="dxa"/>
            <w:vAlign w:val="bottom"/>
            <w:tcBorders>
              <w:bottom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tcBorders>
          </w:tcPr>
          <w:p>
            <w:pPr>
              <w:jc w:val="center"/>
              <w:ind w:left="24"/>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right="10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are being registered hereunder such indeterminate number, principal amount or liquidation of debt securities, subsidiary guarantees, and common stock of Brady Corporation, as may from time to time be issued at indeterminate prices. Any securities registered hereunder may be sold separately or as units with other securities registered hereunder.</w:t>
      </w:r>
    </w:p>
    <w:p>
      <w:pPr>
        <w:spacing w:after="0" w:line="86" w:lineRule="exact"/>
        <w:rPr>
          <w:rFonts w:ascii="Arial" w:cs="Arial" w:eastAsia="Arial" w:hAnsi="Arial"/>
          <w:sz w:val="18"/>
          <w:szCs w:val="18"/>
          <w:color w:val="auto"/>
        </w:rPr>
      </w:pPr>
    </w:p>
    <w:p>
      <w:pPr>
        <w:jc w:val="both"/>
        <w:ind w:left="340" w:right="8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Also includes such indeterminate number of debt securities and common stock as may be issued upon conversion or exchange of any debt securities that provide for conversion or exchange into other securities for such securities. No separate consideration will be received for the debt securities or common stock issuable upon conversion of or in exchanges for debt securities.</w:t>
      </w:r>
    </w:p>
    <w:p>
      <w:pPr>
        <w:spacing w:after="0" w:line="86" w:lineRule="exact"/>
        <w:rPr>
          <w:rFonts w:ascii="Arial" w:cs="Arial" w:eastAsia="Arial" w:hAnsi="Arial"/>
          <w:sz w:val="18"/>
          <w:szCs w:val="18"/>
          <w:color w:val="auto"/>
        </w:rPr>
      </w:pPr>
    </w:p>
    <w:p>
      <w:pPr>
        <w:ind w:left="340" w:right="10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Rules 456(b) and 457(c), the Registrant is deferring payment of the registration fee. Pursuant to Rule 457(p) under the Securities Act of 1933, $30,131 of the registration fee for the securities issued under this registration statement will be offset by the registration fees paid in connection with the unsold securities registered by Brady Corporation under Registration Statement No. 333-128023 filed on September 1, 2005 and declared effective on November 10, 2005.</w:t>
      </w:r>
    </w:p>
    <w:p>
      <w:pPr>
        <w:spacing w:after="0" w:line="9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guarantees would not be issued separately, or for separate consideration, apart from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272415</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878840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ADDITIONAL CO-REGISTRANTS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93"/>
              </w:rPr>
              <w:t>State or Other</w:t>
            </w:r>
          </w:p>
        </w:tc>
        <w:tc>
          <w:tcPr>
            <w:tcW w:w="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Primary Standard</w:t>
            </w: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5"/>
              </w:rPr>
              <w:t>Jurisdiction of</w:t>
            </w:r>
          </w:p>
        </w:tc>
        <w:tc>
          <w:tcPr>
            <w:tcW w:w="5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6"/>
              </w:rPr>
              <w:t>Industry</w:t>
            </w:r>
          </w:p>
        </w:tc>
        <w:tc>
          <w:tcPr>
            <w:tcW w:w="5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5"/>
              </w:rPr>
              <w:t>I.R.S. Employer</w:t>
            </w:r>
          </w:p>
        </w:tc>
      </w:tr>
      <w:tr>
        <w:trPr>
          <w:trHeight w:val="149"/>
        </w:trPr>
        <w:tc>
          <w:tcPr>
            <w:tcW w:w="20" w:type="dxa"/>
            <w:vAlign w:val="bottom"/>
          </w:tcPr>
          <w:p>
            <w:pPr>
              <w:spacing w:after="0"/>
              <w:rPr>
                <w:sz w:val="12"/>
                <w:szCs w:val="12"/>
                <w:color w:val="auto"/>
              </w:rPr>
            </w:pPr>
          </w:p>
        </w:tc>
        <w:tc>
          <w:tcPr>
            <w:tcW w:w="5500" w:type="dxa"/>
            <w:vAlign w:val="bottom"/>
          </w:tcPr>
          <w:p>
            <w:pPr>
              <w:ind w:left="2180"/>
              <w:spacing w:after="0" w:line="149" w:lineRule="exact"/>
              <w:rPr>
                <w:sz w:val="20"/>
                <w:szCs w:val="20"/>
                <w:color w:val="auto"/>
              </w:rPr>
            </w:pPr>
            <w:r>
              <w:rPr>
                <w:rFonts w:ascii="Arial" w:cs="Arial" w:eastAsia="Arial" w:hAnsi="Arial"/>
                <w:sz w:val="14"/>
                <w:szCs w:val="14"/>
                <w:color w:val="auto"/>
              </w:rPr>
              <w:t>Name, Address and</w:t>
            </w:r>
          </w:p>
        </w:tc>
        <w:tc>
          <w:tcPr>
            <w:tcW w:w="52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 or</w:t>
            </w:r>
          </w:p>
        </w:tc>
        <w:tc>
          <w:tcPr>
            <w:tcW w:w="5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Classification</w:t>
            </w:r>
          </w:p>
        </w:tc>
        <w:tc>
          <w:tcPr>
            <w:tcW w:w="5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9"/>
              </w:rPr>
              <w:t>Identification</w:t>
            </w:r>
          </w:p>
        </w:tc>
      </w:tr>
      <w:tr>
        <w:trPr>
          <w:trHeight w:val="167"/>
        </w:trPr>
        <w:tc>
          <w:tcPr>
            <w:tcW w:w="20" w:type="dxa"/>
            <w:vAlign w:val="bottom"/>
          </w:tcPr>
          <w:p>
            <w:pPr>
              <w:spacing w:after="0"/>
              <w:rPr>
                <w:sz w:val="14"/>
                <w:szCs w:val="14"/>
                <w:color w:val="auto"/>
              </w:rPr>
            </w:pPr>
          </w:p>
        </w:tc>
        <w:tc>
          <w:tcPr>
            <w:tcW w:w="5500" w:type="dxa"/>
            <w:vAlign w:val="bottom"/>
            <w:tcBorders>
              <w:bottom w:val="single" w:sz="8" w:color="auto"/>
            </w:tcBorders>
          </w:tcPr>
          <w:p>
            <w:pPr>
              <w:ind w:left="2200"/>
              <w:spacing w:after="0"/>
              <w:rPr>
                <w:sz w:val="20"/>
                <w:szCs w:val="20"/>
                <w:color w:val="auto"/>
              </w:rPr>
            </w:pPr>
            <w:r>
              <w:rPr>
                <w:rFonts w:ascii="Arial" w:cs="Arial" w:eastAsia="Arial" w:hAnsi="Arial"/>
                <w:sz w:val="14"/>
                <w:szCs w:val="14"/>
                <w:color w:val="auto"/>
              </w:rPr>
              <w:t>Telephone Number</w:t>
            </w:r>
          </w:p>
        </w:tc>
        <w:tc>
          <w:tcPr>
            <w:tcW w:w="520" w:type="dxa"/>
            <w:vAlign w:val="bottom"/>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Organization</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5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Tricor Direct, Inc. (2)</w:t>
            </w:r>
          </w:p>
        </w:tc>
        <w:tc>
          <w:tcPr>
            <w:tcW w:w="5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15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3993</w:t>
            </w:r>
          </w:p>
        </w:tc>
        <w:tc>
          <w:tcPr>
            <w:tcW w:w="18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52-1234223</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Worldmark of Wisconsin Incorporated (1)</w:t>
            </w:r>
          </w:p>
        </w:tc>
        <w:tc>
          <w:tcPr>
            <w:tcW w:w="5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54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3990</w:t>
            </w:r>
          </w:p>
        </w:tc>
        <w:tc>
          <w:tcPr>
            <w:tcW w:w="186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39-1567748</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Brady Investment Co. (6)</w:t>
            </w:r>
          </w:p>
        </w:tc>
        <w:tc>
          <w:tcPr>
            <w:tcW w:w="5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5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3990</w:t>
            </w:r>
          </w:p>
        </w:tc>
        <w:tc>
          <w:tcPr>
            <w:tcW w:w="18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88-0364993</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Brady International Co. (1)</w:t>
            </w:r>
          </w:p>
        </w:tc>
        <w:tc>
          <w:tcPr>
            <w:tcW w:w="5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Wisconsin</w:t>
            </w:r>
          </w:p>
        </w:tc>
        <w:tc>
          <w:tcPr>
            <w:tcW w:w="154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3990</w:t>
            </w:r>
          </w:p>
        </w:tc>
        <w:tc>
          <w:tcPr>
            <w:tcW w:w="186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39-1713004</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Brady Worldwide, Inc. (1)</w:t>
            </w:r>
          </w:p>
        </w:tc>
        <w:tc>
          <w:tcPr>
            <w:tcW w:w="5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Wisconsin</w:t>
            </w:r>
          </w:p>
        </w:tc>
        <w:tc>
          <w:tcPr>
            <w:tcW w:w="15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3993</w:t>
            </w:r>
          </w:p>
        </w:tc>
        <w:tc>
          <w:tcPr>
            <w:tcW w:w="18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39-1713006</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Stopware, Inc (3)</w:t>
            </w:r>
          </w:p>
        </w:tc>
        <w:tc>
          <w:tcPr>
            <w:tcW w:w="5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7"/>
              </w:rPr>
              <w:t>California</w:t>
            </w:r>
          </w:p>
        </w:tc>
        <w:tc>
          <w:tcPr>
            <w:tcW w:w="154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7372</w:t>
            </w:r>
          </w:p>
        </w:tc>
        <w:tc>
          <w:tcPr>
            <w:tcW w:w="186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77-0489331</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Dual Core, LLC d/b/a Identicard Systems Worldwide, Inc. (4)</w:t>
            </w:r>
          </w:p>
        </w:tc>
        <w:tc>
          <w:tcPr>
            <w:tcW w:w="5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Wisconsin</w:t>
            </w:r>
          </w:p>
        </w:tc>
        <w:tc>
          <w:tcPr>
            <w:tcW w:w="15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3669</w:t>
            </w:r>
          </w:p>
        </w:tc>
        <w:tc>
          <w:tcPr>
            <w:tcW w:w="18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20-4090527</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Permar Systems, Inc. d/b/a Electromark (5)</w:t>
            </w:r>
          </w:p>
        </w:tc>
        <w:tc>
          <w:tcPr>
            <w:tcW w:w="5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154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3993</w:t>
            </w:r>
          </w:p>
        </w:tc>
        <w:tc>
          <w:tcPr>
            <w:tcW w:w="186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16-1205235</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8"/>
              </w:rPr>
              <w:t>Comprehensive Identification Products, Inc. d/b/a Brady People ID (7)</w:t>
            </w:r>
          </w:p>
        </w:tc>
        <w:tc>
          <w:tcPr>
            <w:tcW w:w="5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c>
          <w:tcPr>
            <w:tcW w:w="15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3993</w:t>
            </w:r>
          </w:p>
        </w:tc>
        <w:tc>
          <w:tcPr>
            <w:tcW w:w="18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20-5330362</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Visual Wear, LLC (8)</w:t>
            </w:r>
          </w:p>
        </w:tc>
        <w:tc>
          <w:tcPr>
            <w:tcW w:w="5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c>
          <w:tcPr>
            <w:tcW w:w="154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3993</w:t>
            </w:r>
          </w:p>
        </w:tc>
        <w:tc>
          <w:tcPr>
            <w:tcW w:w="186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26-3614334</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PV Acquisitions, LLC d/b/a Promovision Palomino (9)</w:t>
            </w:r>
          </w:p>
        </w:tc>
        <w:tc>
          <w:tcPr>
            <w:tcW w:w="5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15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3993</w:t>
            </w:r>
          </w:p>
        </w:tc>
        <w:tc>
          <w:tcPr>
            <w:tcW w:w="18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03-0408315</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Brady Precision Converting, LLC d/b/a Brady Medical (10)</w:t>
            </w:r>
          </w:p>
        </w:tc>
        <w:tc>
          <w:tcPr>
            <w:tcW w:w="5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154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3993</w:t>
            </w:r>
          </w:p>
        </w:tc>
        <w:tc>
          <w:tcPr>
            <w:tcW w:w="186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20-5660572</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AIO Acquisition, Inc. d/b/a Personnel Concepts (11)</w:t>
            </w:r>
          </w:p>
        </w:tc>
        <w:tc>
          <w:tcPr>
            <w:tcW w:w="5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California</w:t>
            </w:r>
          </w:p>
        </w:tc>
        <w:tc>
          <w:tcPr>
            <w:tcW w:w="15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3993</w:t>
            </w:r>
          </w:p>
        </w:tc>
        <w:tc>
          <w:tcPr>
            <w:tcW w:w="18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13-4267283</w:t>
            </w: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Clement Communications, Inc. (12)</w:t>
            </w:r>
          </w:p>
        </w:tc>
        <w:tc>
          <w:tcPr>
            <w:tcW w:w="5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Pennsylvania</w:t>
            </w:r>
          </w:p>
        </w:tc>
        <w:tc>
          <w:tcPr>
            <w:tcW w:w="154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3993</w:t>
            </w:r>
          </w:p>
        </w:tc>
        <w:tc>
          <w:tcPr>
            <w:tcW w:w="186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23-0343740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1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these additional registrants is 6555 West Good Hope Road, P.O. Box 571, Milwaukee, Wisconsin 53201-0571. Their telephone number is (414) 358-6600.</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Tricor Direct, Inc. is 20 Thompson Road, Branford, Connecticut 06405 and its telephone number is (203) 488-8059.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STOPware, Inc. is 1710 Zanker Road, Suite 202, San Jose, California 95112 and its telephone number is (408) 376-0220.</w:t>
      </w:r>
    </w:p>
    <w:p>
      <w:pPr>
        <w:spacing w:after="0" w:line="7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Dual Core, LLC d/b/a Identicard Systems Worldwide, Inc. is 40 Citation Lane, Lititz, Pennsylvania 17543 and its telephone number is (717) 569-2390.</w:t>
      </w:r>
    </w:p>
    <w:p>
      <w:pPr>
        <w:spacing w:after="0" w:line="21"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Permar Systems, Inc. d/b/a Electromark is 6188 W. Port Bay Road, Wolcott, New York 14590 and its telephone number is (315) 594-8085.</w:t>
      </w:r>
    </w:p>
    <w:p>
      <w:pPr>
        <w:spacing w:after="0" w:line="21"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Brady Investment Co. is 3993 Howard Hughes Parkway, Suite 100, Las Vegas, Nevada 89109 and its telephone number is (702) 734-1061.</w:t>
      </w:r>
    </w:p>
    <w:p>
      <w:pPr>
        <w:spacing w:after="0" w:line="21" w:lineRule="exact"/>
        <w:rPr>
          <w:rFonts w:ascii="Arial" w:cs="Arial" w:eastAsia="Arial" w:hAnsi="Arial"/>
          <w:sz w:val="18"/>
          <w:szCs w:val="18"/>
          <w:color w:val="auto"/>
        </w:rPr>
      </w:pPr>
    </w:p>
    <w:p>
      <w:pPr>
        <w:ind w:left="460" w:right="5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Comprehensive Identification Products, Inc. d/b/a Brady People ID is 209 Middlesex Turnpike, Burlington, Massachusetts and its telephone number is (781) 993-3350.</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Visual Wear, LLC is 85 Terrance Hall Avenue, Burlington, Massachusetts and its telephone number is (781) 993-3350.</w:t>
      </w:r>
    </w:p>
    <w:p>
      <w:pPr>
        <w:spacing w:after="0" w:line="76"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PV Acquisitions, LLC d/b/a Promovision Palomino is 3665 South Perkins Road, Suite 8, Memphis, Tennessee 38118 and its telephone number is (901) 795-6500.</w:t>
      </w:r>
    </w:p>
    <w:p>
      <w:pPr>
        <w:spacing w:after="0" w:line="21" w:lineRule="exact"/>
        <w:rPr>
          <w:rFonts w:ascii="Arial" w:cs="Arial" w:eastAsia="Arial" w:hAnsi="Arial"/>
          <w:sz w:val="18"/>
          <w:szCs w:val="18"/>
          <w:color w:val="auto"/>
        </w:rPr>
      </w:pPr>
    </w:p>
    <w:p>
      <w:pPr>
        <w:ind w:left="460" w:right="7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Brady Precision Converting, LLC d/b/a Brady Medical is 1801 Big Town Boulevard., Suite 100 Mesquite, Texas 75149 and its telephone number is (214) 275-9595.</w:t>
      </w:r>
    </w:p>
    <w:p>
      <w:pPr>
        <w:spacing w:after="0" w:line="21"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AIO Acquisition, Inc. d/b/a Personnel Concepts is 3200 E. Guasti Road, Suite 300 Ontario, California, 91761 and its telephone number is (909) 392-5655.</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address of Clement Communications, Inc. is P.O. Box 36, Concordville, Pennsylvania 19331 and its telephone number is (610) 459-4582.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Brady Corporation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Debt Securities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Class A Nonvoting Common Stock</w:t>
      </w:r>
    </w:p>
    <w:p>
      <w:pPr>
        <w:spacing w:after="0" w:line="116" w:lineRule="exact"/>
        <w:rPr>
          <w:sz w:val="20"/>
          <w:szCs w:val="20"/>
          <w:color w:val="auto"/>
        </w:rPr>
      </w:pPr>
    </w:p>
    <w:p>
      <w:pPr>
        <w:ind w:firstLine="200"/>
        <w:spacing w:after="0" w:line="278" w:lineRule="auto"/>
        <w:rPr>
          <w:sz w:val="20"/>
          <w:szCs w:val="20"/>
          <w:color w:val="auto"/>
        </w:rPr>
      </w:pPr>
      <w:r>
        <w:rPr>
          <w:rFonts w:ascii="Arial" w:cs="Arial" w:eastAsia="Arial" w:hAnsi="Arial"/>
          <w:sz w:val="16"/>
          <w:szCs w:val="16"/>
          <w:color w:val="auto"/>
        </w:rPr>
        <w:t>When we offer securities, we will provide you with a prospectus supplement describing the terms of the specific issue of securities, including the offering price of the securities. The prospectus supplement may also add, update or change information contained in this prospectus. You should read this prospectus and any supplement carefully before you invest.</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may offer from time to time:</w:t>
      </w:r>
    </w:p>
    <w:p>
      <w:pPr>
        <w:spacing w:after="0" w:line="127"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unsecured debt securities consisting of debentures, notes and/or other evidences of unsecured indebtedness in one or more series;</w:t>
      </w:r>
    </w:p>
    <w:p>
      <w:pPr>
        <w:spacing w:after="0" w:line="140" w:lineRule="exact"/>
        <w:rPr>
          <w:rFonts w:ascii="Arial" w:cs="Arial" w:eastAsia="Arial" w:hAnsi="Arial"/>
          <w:sz w:val="16"/>
          <w:szCs w:val="16"/>
          <w:b w:val="1"/>
          <w:bCs w:val="1"/>
          <w:color w:val="auto"/>
        </w:rPr>
      </w:pPr>
    </w:p>
    <w:p>
      <w:pPr>
        <w:ind w:left="220" w:hanging="212"/>
        <w:spacing w:after="0"/>
        <w:tabs>
          <w:tab w:leader="none" w:pos="2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guarantees of debt securities to be issued by one or more of our subsidiaries to be identified when any guarantees are issued;</w:t>
      </w:r>
    </w:p>
    <w:p>
      <w:pPr>
        <w:spacing w:after="0" w:line="140" w:lineRule="exact"/>
        <w:rPr>
          <w:rFonts w:ascii="Arial" w:cs="Arial" w:eastAsia="Arial" w:hAnsi="Arial"/>
          <w:sz w:val="16"/>
          <w:szCs w:val="16"/>
          <w:b w:val="1"/>
          <w:bCs w:val="1"/>
          <w:color w:val="auto"/>
        </w:rPr>
      </w:pPr>
    </w:p>
    <w:p>
      <w:pPr>
        <w:ind w:left="220" w:hanging="212"/>
        <w:spacing w:after="0"/>
        <w:tabs>
          <w:tab w:leader="none" w:pos="2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Class A Nonvoting Common Stock, $0.01 par value per share; and</w:t>
      </w:r>
    </w:p>
    <w:p>
      <w:pPr>
        <w:spacing w:after="0" w:line="140" w:lineRule="exact"/>
        <w:rPr>
          <w:rFonts w:ascii="Arial" w:cs="Arial" w:eastAsia="Arial" w:hAnsi="Arial"/>
          <w:sz w:val="16"/>
          <w:szCs w:val="16"/>
          <w:b w:val="1"/>
          <w:bCs w:val="1"/>
          <w:color w:val="auto"/>
        </w:rPr>
      </w:pPr>
    </w:p>
    <w:p>
      <w:pPr>
        <w:ind w:left="220" w:right="1300" w:hanging="212"/>
        <w:spacing w:after="0" w:line="402" w:lineRule="auto"/>
        <w:tabs>
          <w:tab w:leader="none" w:pos="234"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any combination of the foregoing at prices and on terms to be determined at or prior to the time of sale in light of market conditions at the time of sale. Our Class A Nonvoting common stock is quoted on the New York Stock Exchange, under the symbol “BRC.”</w:t>
      </w:r>
    </w:p>
    <w:p>
      <w:pPr>
        <w:spacing w:after="0" w:line="1" w:lineRule="exact"/>
        <w:rPr>
          <w:sz w:val="20"/>
          <w:szCs w:val="20"/>
          <w:color w:val="auto"/>
        </w:rPr>
      </w:pPr>
    </w:p>
    <w:p>
      <w:pPr>
        <w:ind w:right="240" w:firstLine="203"/>
        <w:spacing w:after="0" w:line="375" w:lineRule="auto"/>
        <w:rPr>
          <w:sz w:val="20"/>
          <w:szCs w:val="20"/>
          <w:color w:val="auto"/>
        </w:rPr>
      </w:pPr>
      <w:r>
        <w:rPr>
          <w:rFonts w:ascii="Arial" w:cs="Arial" w:eastAsia="Arial" w:hAnsi="Arial"/>
          <w:sz w:val="14"/>
          <w:szCs w:val="14"/>
          <w:b w:val="1"/>
          <w:bCs w:val="1"/>
          <w:color w:val="auto"/>
        </w:rPr>
        <w:t>Investment in our securities involves risks. See “Risk Factors” in our most recent Annual Report on Form 10-K and in any applicable prospectus supplement and/or other offering material for a discussion of certain factors which should be considered in an investment of the securities which may be offered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332740</wp:posOffset>
            </wp:positionV>
            <wp:extent cx="1878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40" w:firstLine="203"/>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and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353060</wp:posOffset>
            </wp:positionV>
            <wp:extent cx="1878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November 24,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700" w:type="dxa"/>
            <w:vAlign w:val="bottom"/>
            <w:gridSpan w:val="2"/>
          </w:tcPr>
          <w:p>
            <w:pPr>
              <w:jc w:val="right"/>
              <w:ind w:right="4659"/>
              <w:spacing w:after="0"/>
              <w:rPr>
                <w:sz w:val="20"/>
                <w:szCs w:val="20"/>
                <w:color w:val="auto"/>
              </w:rPr>
            </w:pPr>
            <w:r>
              <w:rPr>
                <w:rFonts w:ascii="Arial" w:cs="Arial" w:eastAsia="Arial" w:hAnsi="Arial"/>
                <w:sz w:val="18"/>
                <w:szCs w:val="18"/>
                <w:b w:val="1"/>
                <w:bCs w:val="1"/>
                <w:color w:val="auto"/>
                <w:w w:val="99"/>
              </w:rPr>
              <w:t>TABLE OF CONTENTS</w:t>
            </w:r>
          </w:p>
        </w:tc>
        <w:tc>
          <w:tcPr>
            <w:tcW w:w="0" w:type="dxa"/>
            <w:vAlign w:val="bottom"/>
          </w:tcPr>
          <w:p>
            <w:pPr>
              <w:spacing w:after="0"/>
              <w:rPr>
                <w:sz w:val="1"/>
                <w:szCs w:val="1"/>
                <w:color w:val="auto"/>
              </w:rPr>
            </w:pPr>
          </w:p>
        </w:tc>
      </w:tr>
      <w:tr>
        <w:trPr>
          <w:trHeight w:val="365"/>
        </w:trPr>
        <w:tc>
          <w:tcPr>
            <w:tcW w:w="4720" w:type="dxa"/>
            <w:vAlign w:val="bottom"/>
            <w:gridSpan w:val="15"/>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5700" w:type="dxa"/>
            <w:vAlign w:val="bottom"/>
          </w:tcPr>
          <w:p>
            <w:pPr>
              <w:spacing w:after="0"/>
              <w:rPr>
                <w:sz w:val="24"/>
                <w:szCs w:val="24"/>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4720" w:type="dxa"/>
            <w:vAlign w:val="bottom"/>
            <w:gridSpan w:val="15"/>
            <w:vMerge w:val="continue"/>
          </w:tcPr>
          <w:p>
            <w:pPr>
              <w:spacing w:after="0"/>
              <w:rPr>
                <w:sz w:val="14"/>
                <w:szCs w:val="14"/>
                <w:color w:val="auto"/>
              </w:rPr>
            </w:pPr>
          </w:p>
        </w:tc>
        <w:tc>
          <w:tcPr>
            <w:tcW w:w="5700" w:type="dxa"/>
            <w:vAlign w:val="bottom"/>
          </w:tcPr>
          <w:p>
            <w:pPr>
              <w:spacing w:after="0"/>
              <w:rPr>
                <w:sz w:val="14"/>
                <w:szCs w:val="14"/>
                <w:color w:val="auto"/>
              </w:rPr>
            </w:pPr>
          </w:p>
        </w:tc>
        <w:tc>
          <w:tcPr>
            <w:tcW w:w="1000" w:type="dxa"/>
            <w:vAlign w:val="bottom"/>
          </w:tcPr>
          <w:p>
            <w:pPr>
              <w:jc w:val="right"/>
              <w:ind w:right="259"/>
              <w:spacing w:after="0" w:line="17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 and Cautionary Factors</w:t>
              </w:r>
            </w:hyperlink>
          </w:p>
        </w:tc>
        <w:tc>
          <w:tcPr>
            <w:tcW w:w="6700" w:type="dxa"/>
            <w:vAlign w:val="bottom"/>
            <w:gridSpan w:val="2"/>
          </w:tcPr>
          <w:p>
            <w:pPr>
              <w:jc w:val="right"/>
              <w:ind w:right="259"/>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The Company</w:t>
              </w:r>
            </w:hyperlink>
          </w:p>
        </w:tc>
        <w:tc>
          <w:tcPr>
            <w:tcW w:w="2740" w:type="dxa"/>
            <w:vAlign w:val="bottom"/>
            <w:tcBorders>
              <w:top w:val="single" w:sz="8" w:color="0000EE"/>
            </w:tcBorders>
            <w:gridSpan w:val="8"/>
          </w:tcPr>
          <w:p>
            <w:pPr>
              <w:spacing w:after="0"/>
              <w:rPr>
                <w:sz w:val="17"/>
                <w:szCs w:val="17"/>
                <w:color w:val="auto"/>
              </w:rPr>
            </w:pPr>
          </w:p>
        </w:tc>
        <w:tc>
          <w:tcPr>
            <w:tcW w:w="880" w:type="dxa"/>
            <w:vAlign w:val="bottom"/>
          </w:tcPr>
          <w:p>
            <w:pPr>
              <w:spacing w:after="0"/>
              <w:rPr>
                <w:sz w:val="17"/>
                <w:szCs w:val="17"/>
                <w:color w:val="auto"/>
              </w:rPr>
            </w:pPr>
          </w:p>
        </w:tc>
        <w:tc>
          <w:tcPr>
            <w:tcW w:w="6700" w:type="dxa"/>
            <w:vAlign w:val="bottom"/>
            <w:gridSpan w:val="2"/>
          </w:tcPr>
          <w:p>
            <w:pPr>
              <w:jc w:val="right"/>
              <w:ind w:right="259"/>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Where You Can Find More Information</w:t>
              </w:r>
            </w:hyperlink>
          </w:p>
        </w:tc>
        <w:tc>
          <w:tcPr>
            <w:tcW w:w="1840" w:type="dxa"/>
            <w:vAlign w:val="bottom"/>
            <w:gridSpan w:val="2"/>
          </w:tcPr>
          <w:p>
            <w:pPr>
              <w:spacing w:after="0"/>
              <w:rPr>
                <w:sz w:val="17"/>
                <w:szCs w:val="17"/>
                <w:color w:val="auto"/>
              </w:rPr>
            </w:pPr>
          </w:p>
        </w:tc>
        <w:tc>
          <w:tcPr>
            <w:tcW w:w="6700" w:type="dxa"/>
            <w:vAlign w:val="bottom"/>
            <w:gridSpan w:val="2"/>
          </w:tcPr>
          <w:p>
            <w:pPr>
              <w:jc w:val="right"/>
              <w:ind w:right="259"/>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Use of Proceeds</w:t>
              </w:r>
            </w:hyperlink>
          </w:p>
        </w:tc>
        <w:tc>
          <w:tcPr>
            <w:tcW w:w="3540" w:type="dxa"/>
            <w:vAlign w:val="bottom"/>
            <w:gridSpan w:val="8"/>
          </w:tcPr>
          <w:p>
            <w:pPr>
              <w:spacing w:after="0"/>
              <w:rPr>
                <w:sz w:val="17"/>
                <w:szCs w:val="17"/>
                <w:color w:val="auto"/>
              </w:rPr>
            </w:pPr>
          </w:p>
        </w:tc>
        <w:tc>
          <w:tcPr>
            <w:tcW w:w="6700" w:type="dxa"/>
            <w:vAlign w:val="bottom"/>
            <w:gridSpan w:val="2"/>
          </w:tcPr>
          <w:p>
            <w:pPr>
              <w:jc w:val="right"/>
              <w:ind w:right="259"/>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720" w:type="dxa"/>
            <w:vAlign w:val="bottom"/>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 of Earnings to Fixed Charges</w:t>
              </w:r>
            </w:hyperlink>
          </w:p>
        </w:tc>
        <w:tc>
          <w:tcPr>
            <w:tcW w:w="6700" w:type="dxa"/>
            <w:vAlign w:val="bottom"/>
            <w:gridSpan w:val="2"/>
          </w:tcPr>
          <w:p>
            <w:pPr>
              <w:jc w:val="right"/>
              <w:ind w:right="259"/>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Description of Debt Securities</w:t>
              </w:r>
            </w:hyperlink>
          </w:p>
        </w:tc>
        <w:tc>
          <w:tcPr>
            <w:tcW w:w="340" w:type="dxa"/>
            <w:vAlign w:val="bottom"/>
            <w:tcBorders>
              <w:top w:val="single" w:sz="8" w:color="0000EE"/>
            </w:tcBorders>
          </w:tcPr>
          <w:p>
            <w:pPr>
              <w:spacing w:after="0"/>
              <w:rPr>
                <w:sz w:val="17"/>
                <w:szCs w:val="17"/>
                <w:color w:val="auto"/>
              </w:rPr>
            </w:pPr>
          </w:p>
        </w:tc>
        <w:tc>
          <w:tcPr>
            <w:tcW w:w="2180" w:type="dxa"/>
            <w:vAlign w:val="bottom"/>
            <w:gridSpan w:val="3"/>
          </w:tcPr>
          <w:p>
            <w:pPr>
              <w:spacing w:after="0"/>
              <w:rPr>
                <w:sz w:val="17"/>
                <w:szCs w:val="17"/>
                <w:color w:val="auto"/>
              </w:rPr>
            </w:pPr>
          </w:p>
        </w:tc>
        <w:tc>
          <w:tcPr>
            <w:tcW w:w="6700" w:type="dxa"/>
            <w:vAlign w:val="bottom"/>
            <w:gridSpan w:val="2"/>
          </w:tcPr>
          <w:p>
            <w:pPr>
              <w:jc w:val="right"/>
              <w:ind w:right="259"/>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720" w:type="dxa"/>
            <w:vAlign w:val="bottom"/>
            <w:gridSpan w:val="1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Capital Stock</w:t>
              </w:r>
            </w:hyperlink>
          </w:p>
        </w:tc>
        <w:tc>
          <w:tcPr>
            <w:tcW w:w="6700" w:type="dxa"/>
            <w:vAlign w:val="bottom"/>
            <w:gridSpan w:val="2"/>
          </w:tcPr>
          <w:p>
            <w:pPr>
              <w:jc w:val="right"/>
              <w:ind w:right="259"/>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Book-Entry</w:t>
              </w:r>
            </w:hyperlink>
          </w:p>
        </w:tc>
        <w:tc>
          <w:tcPr>
            <w:tcW w:w="1200" w:type="dxa"/>
            <w:vAlign w:val="bottom"/>
            <w:tcBorders>
              <w:top w:val="single" w:sz="8" w:color="0000EE"/>
            </w:tcBorders>
            <w:gridSpan w:val="7"/>
          </w:tcPr>
          <w:p>
            <w:pPr>
              <w:spacing w:after="0"/>
              <w:rPr>
                <w:sz w:val="17"/>
                <w:szCs w:val="17"/>
                <w:color w:val="auto"/>
              </w:rPr>
            </w:pPr>
          </w:p>
        </w:tc>
        <w:tc>
          <w:tcPr>
            <w:tcW w:w="2660" w:type="dxa"/>
            <w:vAlign w:val="bottom"/>
            <w:gridSpan w:val="5"/>
          </w:tcPr>
          <w:p>
            <w:pPr>
              <w:spacing w:after="0"/>
              <w:rPr>
                <w:sz w:val="17"/>
                <w:szCs w:val="17"/>
                <w:color w:val="auto"/>
              </w:rPr>
            </w:pPr>
          </w:p>
        </w:tc>
        <w:tc>
          <w:tcPr>
            <w:tcW w:w="6700" w:type="dxa"/>
            <w:vAlign w:val="bottom"/>
            <w:gridSpan w:val="2"/>
          </w:tcPr>
          <w:p>
            <w:pPr>
              <w:jc w:val="right"/>
              <w:ind w:right="259"/>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Plan of Distribution</w:t>
              </w:r>
            </w:hyperlink>
          </w:p>
        </w:tc>
        <w:tc>
          <w:tcPr>
            <w:tcW w:w="3280" w:type="dxa"/>
            <w:vAlign w:val="bottom"/>
            <w:gridSpan w:val="7"/>
          </w:tcPr>
          <w:p>
            <w:pPr>
              <w:spacing w:after="0"/>
              <w:rPr>
                <w:sz w:val="17"/>
                <w:szCs w:val="17"/>
                <w:color w:val="auto"/>
              </w:rPr>
            </w:pPr>
          </w:p>
        </w:tc>
        <w:tc>
          <w:tcPr>
            <w:tcW w:w="6700" w:type="dxa"/>
            <w:vAlign w:val="bottom"/>
            <w:gridSpan w:val="2"/>
          </w:tcPr>
          <w:p>
            <w:pPr>
              <w:jc w:val="right"/>
              <w:ind w:right="259"/>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Legal Matters</w:t>
              </w:r>
            </w:hyperlink>
          </w:p>
        </w:tc>
        <w:tc>
          <w:tcPr>
            <w:tcW w:w="3700" w:type="dxa"/>
            <w:vAlign w:val="bottom"/>
            <w:gridSpan w:val="10"/>
          </w:tcPr>
          <w:p>
            <w:pPr>
              <w:spacing w:after="0"/>
              <w:rPr>
                <w:sz w:val="17"/>
                <w:szCs w:val="17"/>
                <w:color w:val="auto"/>
              </w:rPr>
            </w:pPr>
          </w:p>
        </w:tc>
        <w:tc>
          <w:tcPr>
            <w:tcW w:w="6700" w:type="dxa"/>
            <w:vAlign w:val="bottom"/>
            <w:gridSpan w:val="2"/>
          </w:tcPr>
          <w:p>
            <w:pPr>
              <w:jc w:val="right"/>
              <w:ind w:right="259"/>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Experts</w:t>
              </w:r>
            </w:hyperlink>
          </w:p>
        </w:tc>
        <w:tc>
          <w:tcPr>
            <w:tcW w:w="4160" w:type="dxa"/>
            <w:vAlign w:val="bottom"/>
            <w:gridSpan w:val="13"/>
          </w:tcPr>
          <w:p>
            <w:pPr>
              <w:spacing w:after="0"/>
              <w:rPr>
                <w:sz w:val="17"/>
                <w:szCs w:val="17"/>
                <w:color w:val="auto"/>
              </w:rPr>
            </w:pPr>
          </w:p>
        </w:tc>
        <w:tc>
          <w:tcPr>
            <w:tcW w:w="6700" w:type="dxa"/>
            <w:vAlign w:val="bottom"/>
            <w:gridSpan w:val="2"/>
          </w:tcPr>
          <w:p>
            <w:pPr>
              <w:jc w:val="right"/>
              <w:ind w:right="259"/>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4720" w:type="dxa"/>
            <w:vAlign w:val="bottom"/>
            <w:gridSpan w:val="15"/>
          </w:tcPr>
          <w:p>
            <w:pPr>
              <w:spacing w:after="0"/>
              <w:rPr>
                <w:sz w:val="20"/>
                <w:szCs w:val="20"/>
                <w:color w:val="auto"/>
              </w:rPr>
            </w:pPr>
            <w:r>
              <w:rPr>
                <w:rFonts w:ascii="Arial" w:cs="Arial" w:eastAsia="Arial" w:hAnsi="Arial"/>
                <w:sz w:val="18"/>
                <w:szCs w:val="18"/>
                <w:color w:val="auto"/>
              </w:rPr>
              <w:t>Opinion of Quarles &amp; Brady LLP</w:t>
            </w:r>
          </w:p>
        </w:tc>
        <w:tc>
          <w:tcPr>
            <w:tcW w:w="6700" w:type="dxa"/>
            <w:vAlign w:val="bottom"/>
            <w:gridSpan w:val="2"/>
          </w:tcPr>
          <w:p>
            <w:pPr>
              <w:jc w:val="right"/>
              <w:ind w:right="259"/>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720" w:type="dxa"/>
            <w:vAlign w:val="bottom"/>
            <w:gridSpan w:val="15"/>
          </w:tcPr>
          <w:p>
            <w:pPr>
              <w:spacing w:after="0"/>
              <w:rPr>
                <w:sz w:val="20"/>
                <w:szCs w:val="20"/>
                <w:color w:val="auto"/>
              </w:rPr>
            </w:pPr>
            <w:r>
              <w:rPr>
                <w:rFonts w:ascii="Arial" w:cs="Arial" w:eastAsia="Arial" w:hAnsi="Arial"/>
                <w:sz w:val="18"/>
                <w:szCs w:val="18"/>
                <w:color w:val="auto"/>
                <w:w w:val="91"/>
              </w:rPr>
              <w:t>Statement of Computation of Ratio of Earnings to Fixed Charges</w:t>
            </w:r>
          </w:p>
        </w:tc>
        <w:tc>
          <w:tcPr>
            <w:tcW w:w="6700" w:type="dxa"/>
            <w:vAlign w:val="bottom"/>
            <w:gridSpan w:val="2"/>
          </w:tcPr>
          <w:p>
            <w:pPr>
              <w:jc w:val="right"/>
              <w:ind w:right="259"/>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2"/>
        </w:trPr>
        <w:tc>
          <w:tcPr>
            <w:tcW w:w="4720" w:type="dxa"/>
            <w:vAlign w:val="bottom"/>
            <w:gridSpan w:val="15"/>
          </w:tcPr>
          <w:p>
            <w:pPr>
              <w:spacing w:after="0"/>
              <w:rPr>
                <w:sz w:val="20"/>
                <w:szCs w:val="20"/>
                <w:color w:val="auto"/>
              </w:rPr>
            </w:pPr>
            <w:r>
              <w:rPr>
                <w:rFonts w:ascii="Arial" w:cs="Arial" w:eastAsia="Arial" w:hAnsi="Arial"/>
                <w:sz w:val="18"/>
                <w:szCs w:val="18"/>
                <w:color w:val="auto"/>
              </w:rPr>
              <w:t>Consent of Deloitte &amp; Touche LLP</w:t>
            </w:r>
          </w:p>
        </w:tc>
        <w:tc>
          <w:tcPr>
            <w:tcW w:w="6700" w:type="dxa"/>
            <w:vAlign w:val="bottom"/>
            <w:gridSpan w:val="2"/>
          </w:tcPr>
          <w:p>
            <w:pPr>
              <w:jc w:val="right"/>
              <w:ind w:right="259"/>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960" w:type="dxa"/>
            <w:vAlign w:val="bottom"/>
            <w:tcBorders>
              <w:bottom w:val="single" w:sz="8" w:color="0000EE"/>
            </w:tcBorders>
            <w:gridSpan w:val="4"/>
          </w:tcPr>
          <w:p>
            <w:pPr>
              <w:spacing w:after="0" w:line="184"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EXHIBIT 5.1</w:t>
              </w:r>
            </w:hyperlink>
          </w:p>
        </w:tc>
        <w:tc>
          <w:tcPr>
            <w:tcW w:w="3700" w:type="dxa"/>
            <w:vAlign w:val="bottom"/>
            <w:gridSpan w:val="10"/>
          </w:tcPr>
          <w:p>
            <w:pPr>
              <w:spacing w:after="0"/>
              <w:rPr>
                <w:sz w:val="15"/>
                <w:szCs w:val="15"/>
                <w:color w:val="auto"/>
              </w:rPr>
            </w:pPr>
          </w:p>
        </w:tc>
        <w:tc>
          <w:tcPr>
            <w:tcW w:w="5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60" w:type="dxa"/>
            <w:vAlign w:val="bottom"/>
            <w:gridSpan w:val="1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Exhibit 12.1</w:t>
              </w:r>
            </w:hyperlink>
          </w:p>
        </w:tc>
        <w:tc>
          <w:tcPr>
            <w:tcW w:w="5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60" w:type="dxa"/>
            <w:vAlign w:val="bottom"/>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EXHIBIT 23.1</w:t>
              </w:r>
            </w:hyperlink>
          </w:p>
        </w:tc>
        <w:tc>
          <w:tcPr>
            <w:tcW w:w="5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No person has been authorized to give any information or to make any representation not contained in, or incorporated by reference into, this prospectus or the accompanying prospectus supplement. You must not rely on any unauthorized information or representation. We do not imply or represent by delivering this prospectus that Brady Corporation, or its business, is unchanged after the date of the prospectus or that the information in this prospectus is correct as of any time after its date.</w:t>
      </w:r>
    </w:p>
    <w:p>
      <w:pPr>
        <w:spacing w:after="0" w:line="79"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information in this prospectus or any prospectus supplement may not contain all of the information that may be important to you. You should read the entire prospectus and any prospectus supplement, as well as the documents incorporated by reference into this prospectus or any accompanying prospectus supplement, before making an investment decision.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utilizing a “shelf” registration process. Using this process, we may, from time to time, offer any combination of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particular offering. The prospectus supplement may also add, update or change information contained in this prospectus. To obtain additional information that may be important to you, you should also read the exhibits to the registration statement. You should read both this prospectus and any applicable prospectus supplement together with additional information described below under the heading “Where You Can Find More Information.”</w:t>
      </w:r>
    </w:p>
    <w:p>
      <w:pPr>
        <w:spacing w:after="0" w:line="8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When used in this prospectus and any prospectus supplement, the terms “Brady,” “we,” “our,” “us” and the “Company” refer to Brady Corporation and its subsidiaries.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CAUTIONARY FACTORS</w:t>
      </w:r>
    </w:p>
    <w:p>
      <w:pPr>
        <w:spacing w:after="0" w:line="121"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All statements other than statements of historical facts included or incorporated by reference into this prospectus, including statements regarding our future financial position, business strategy, budgets, projected costs, and plans and objectives for future operations are “forward-looking statements” within the meaning of the Private Securities Litigation Reform Act of 1995. These statements are subject to risks and uncertainties that could cause actual results to differ materially from those anticipated as of the date of this prospectus. Forward-looking statements generally can be identified by the use of forward-looking words such as “may,” “will,” “expect,” “intend,” “estimate,” “anticipate,” “believe,” or “continue” or words of similar meaning.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Some of the factors that could cause such a variance are disclosed in the section “Risk Factors” in our most recent Annual Report on Form 10-K, any applicable prospectus supplement and elsewhere in this prospectus and documents incorporated by reference into this prospectus, and include the following, among others:</w:t>
      </w:r>
    </w:p>
    <w:p>
      <w:pPr>
        <w:spacing w:after="0" w:line="73" w:lineRule="exact"/>
        <w:rPr>
          <w:sz w:val="20"/>
          <w:szCs w:val="20"/>
          <w:color w:val="auto"/>
        </w:rPr>
      </w:pPr>
    </w:p>
    <w:p>
      <w:pPr>
        <w:ind w:left="660" w:right="10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our products may be susceptible to fluctuations in the economy that may cause volatility in our results of operations, cash flows and liquidity.</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adversely impacted by an inability to identify, complete and integrate acquisitions.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develop new products or our customers do not accept the new products we develop, our business could be adversely affected.</w:t>
      </w:r>
    </w:p>
    <w:p>
      <w:pPr>
        <w:spacing w:after="0" w:line="142" w:lineRule="exact"/>
        <w:rPr>
          <w:rFonts w:ascii="Arial" w:cs="Arial" w:eastAsia="Arial" w:hAnsi="Arial"/>
          <w:sz w:val="17"/>
          <w:szCs w:val="17"/>
          <w:color w:val="auto"/>
        </w:rPr>
      </w:pPr>
    </w:p>
    <w:p>
      <w:pPr>
        <w:ind w:left="660" w:right="18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competitive markets and may be forced to cut our prices or incur additional costs to remain competitive, which may have a negative impact on our profitability.</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fluctuations could adversely affect our sales, profits and net assets.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goodwill or other intangible assets may become impaired, which may negatively impact our results of operations.</w:t>
      </w:r>
    </w:p>
    <w:p>
      <w:pPr>
        <w:spacing w:after="0" w:line="130" w:lineRule="exact"/>
        <w:rPr>
          <w:rFonts w:ascii="Arial" w:cs="Arial" w:eastAsia="Arial" w:hAnsi="Arial"/>
          <w:sz w:val="18"/>
          <w:szCs w:val="18"/>
          <w:color w:val="auto"/>
        </w:rPr>
      </w:pPr>
    </w:p>
    <w:p>
      <w:pPr>
        <w:ind w:left="660" w:right="4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concentration of business with several large key customers and distributors and loss of one or more of these customers could significantly affect our results of operations, cash flows, and liquidity.</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increasingly conduct a sizeable amount of our manufacturing outside of the United States, which may present additional risks to our business.</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key personnel and the loss of these personnel could have an adverse effect on our operations.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successfully implement anticipated changes to our information technology system.</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increase in our level of indebtedness could adversely affect our financial health and make us vulnerable to adverse economic conditions.</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health and safety laws and regulations could adversely affect our business.</w:t>
      </w:r>
    </w:p>
    <w:p>
      <w:pPr>
        <w:spacing w:after="0" w:line="117"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We urge you to consider these factors and to review carefully the section titled “Risk Factors” in our most recent Annual Report on Form 10-K, any applicable prospectus supplement or other offering material and/or any other document that we file with the SEC before investing in our securities. The forward-looking statements included in this document or in the documents incorporated by reference into this document are made only as of the date of this document or the date of the incorporated document, and we undertake no obligation to publicly update these statements to reflect subsequent events or circumstances.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Brady Corporation is an international manufacturer and marketer of identification solutions and specialty products which identify and protect premises, products and people. Brady’s core capabilities in manufacturing, channel management, printing systems, precision engineering and materials expertise make it a leading supplier to customers in general manufacturing, maintenance and safety, process industries, construction, electrical, telecommunications, electronics, laboratory/healthcare, airline/transportation, security/brand education, governmental, public utility, and a variety of other industries. The Company’s ability to provide customers with a broad range of differentiated solutions both through the organic development of its existing business and the acquisition of complementary and adjacent businesses, its commitment to quality and service, its global footprint and its diversified sales channels have made it a world leader in its markets.</w:t>
      </w:r>
    </w:p>
    <w:p>
      <w:pPr>
        <w:spacing w:after="0" w:line="81"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Brady manufactures and markets a wide range of products for use in diverse applications. Major product lines include facility identification; safety and complementary products; wire and cable identification products; sorbent materials; people identification products, regulatory publishing; high-performance identification products for</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product identification, and work-in-process identification; bar code labels and precision die-cut components for mobile telecommunications devices, hard disk drives, medical devices and supplies, automotive electronics and other electronics. Products are marketed through multiple channels, including distributors, resellers, business-to-business direct marketing and a direct sales force.</w:t>
      </w:r>
    </w:p>
    <w:p>
      <w:pPr>
        <w:spacing w:after="0" w:line="73" w:lineRule="exact"/>
        <w:rPr>
          <w:sz w:val="20"/>
          <w:szCs w:val="20"/>
          <w:color w:val="auto"/>
        </w:rPr>
      </w:pPr>
    </w:p>
    <w:p>
      <w:pPr>
        <w:jc w:val="both"/>
        <w:ind w:right="220" w:firstLine="222"/>
        <w:spacing w:after="0" w:line="312" w:lineRule="auto"/>
        <w:rPr>
          <w:sz w:val="20"/>
          <w:szCs w:val="20"/>
          <w:color w:val="auto"/>
        </w:rPr>
      </w:pPr>
      <w:r>
        <w:rPr>
          <w:rFonts w:ascii="Arial" w:cs="Arial" w:eastAsia="Arial" w:hAnsi="Arial"/>
          <w:sz w:val="16"/>
          <w:szCs w:val="16"/>
          <w:color w:val="auto"/>
        </w:rPr>
        <w:t>The need for the Company’s products is driven, in part, by customer specifications, by regulatory compliance requirements imposed by agencies such as the Occupational Safety &amp; Health Administration (“OSHA”) and the Environmental Protection Agency (“EPA”) in the United States and similar regulatory agencies around the world, and by the need to identify and track assets or to identify, direct, warn, inform, train and protect people or products.</w:t>
      </w:r>
    </w:p>
    <w:p>
      <w:pPr>
        <w:spacing w:after="0" w:line="39"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Company, a Wisconsin corporation founded in 1914, currently operates 63 manufacturing or distribution facilities in Australia, Belgium, Brazil, Canada, China, Denmark, France, Germany, India, Italy, Japan, Malaysia, Mexico, the Netherlands, Norway, Poland, Singapore, Slovakia, South Korea, Sweden, Thailand, the United Kingdom and the United States. The Company also sells through subsidiaries or sales offices in these countries, with additional sales through a dedicated team of international sales representatives in Hong Kong, the Philippines, Spain, Taiwan, Turkey and the United Arab Emirates. The Company further markets its products to parts of Eastern Europe, the Middle East, Africa and Russia. The Company’s corporate headquarters are located at 6555 West Good Hope Road, Milwaukee, Wisconsin 53223, and the telephone number is (414) 358-6600.</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Brady Corporation files annual, quarterly and current reports and other information with the Securities and Exchange Commission. We have also filed a registration statement on Form S-3, including exhibits and schedules, under the Securities Act of 1933 with respect to the securities that we may issue from time to time. This prospectus is a part of that registration statement, but does not contain all of the information included in the registration statement or the exhibits and schedules. You may read and copy the registration statement and any reports, statements or other information filed by us with the SEC at the SEC’s public reference facility at: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Room 1580</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Washington, D.C. 20549</w:t>
      </w:r>
    </w:p>
    <w:p>
      <w:pPr>
        <w:spacing w:after="0" w:line="103" w:lineRule="exact"/>
        <w:rPr>
          <w:sz w:val="20"/>
          <w:szCs w:val="20"/>
          <w:color w:val="auto"/>
        </w:rPr>
      </w:pPr>
    </w:p>
    <w:p>
      <w:pPr>
        <w:ind w:right="280" w:firstLine="218"/>
        <w:spacing w:after="0" w:line="308" w:lineRule="auto"/>
        <w:rPr>
          <w:sz w:val="20"/>
          <w:szCs w:val="20"/>
          <w:color w:val="auto"/>
        </w:rPr>
      </w:pPr>
      <w:r>
        <w:rPr>
          <w:rFonts w:ascii="Arial" w:cs="Arial" w:eastAsia="Arial" w:hAnsi="Arial"/>
          <w:sz w:val="17"/>
          <w:szCs w:val="17"/>
          <w:color w:val="auto"/>
        </w:rPr>
        <w:t>You may obtain information on the operation of the public reference room by calling the SEC at 1-800-SEC-0330. The SEC also maintains a website at http://www.sec.gov that contains reports and other information regarding issuers like us that file electronically with the SEC.</w:t>
      </w:r>
    </w:p>
    <w:p>
      <w:pPr>
        <w:spacing w:after="0" w:line="38"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and reports and other information concerning us can be inspected at the New York Stock Exchange located at 20 Broad Street, New York, New York 10005.</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SEC allows us to “incorporate by reference” into this prospectus information that we file with the SEC. This means that:</w:t>
      </w:r>
    </w:p>
    <w:p>
      <w:pPr>
        <w:spacing w:after="0" w:line="117"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can disclose important information to you by referring to other documents that contain that information;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information incorporated by reference is considered to be part of this prospectus; and</w:t>
      </w:r>
    </w:p>
    <w:p>
      <w:pPr>
        <w:spacing w:after="0" w:line="117" w:lineRule="exact"/>
        <w:rPr>
          <w:rFonts w:ascii="Arial" w:cs="Arial" w:eastAsia="Arial" w:hAnsi="Arial"/>
          <w:sz w:val="18"/>
          <w:szCs w:val="18"/>
          <w:b w:val="1"/>
          <w:bCs w:val="1"/>
          <w:color w:val="auto"/>
        </w:rPr>
      </w:pPr>
    </w:p>
    <w:p>
      <w:pPr>
        <w:ind w:left="220" w:right="460" w:hanging="212"/>
        <w:spacing w:after="0" w:line="277"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any information that we file with the SEC in the future is automatically incorporated into this prospectus and updates and supersedes previously filed information, including information contained in this prospectus.</w:t>
      </w:r>
    </w:p>
    <w:p>
      <w:pPr>
        <w:spacing w:after="0" w:line="62"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We incorporate by reference into this prospectus the following documents and any future filings we make with the SEC under Sections 13(a), 13(c), 14 or 15(d) of the Securities Exchange Act of 1934 after the date of this prospectus until we sell all of the securities that we have registered under the registration statement of which this is a part:</w:t>
      </w:r>
    </w:p>
    <w:p>
      <w:pPr>
        <w:spacing w:after="0" w:line="7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for the year ended July 31, 2008;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20" w:right="660" w:hanging="212"/>
        <w:spacing w:after="0" w:line="277"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Current Reports on Form 8-K filed September 19, 2008 (incorporating by reference only the information disclosed pursuant to Item 8.01) and October 1, 2008; and</w:t>
      </w:r>
    </w:p>
    <w:p>
      <w:pPr>
        <w:spacing w:after="0" w:line="62" w:lineRule="exact"/>
        <w:rPr>
          <w:rFonts w:ascii="Arial" w:cs="Arial" w:eastAsia="Arial" w:hAnsi="Arial"/>
          <w:sz w:val="18"/>
          <w:szCs w:val="18"/>
          <w:b w:val="1"/>
          <w:bCs w:val="1"/>
          <w:color w:val="auto"/>
        </w:rPr>
      </w:pPr>
    </w:p>
    <w:p>
      <w:pPr>
        <w:ind w:left="220" w:right="160" w:hanging="212"/>
        <w:spacing w:after="0" w:line="264"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That portion of our Registration Statement on Form 8-A filed April 27, 1999 that describes our Class A Nonvoting Common Stock in Item 1 thereof, which incorporates the description from the description of our capital stock contained in our Registration Statement on Form S-3 (Registration Statement No. 333-04155), filed May 21, 1996, and any further amendment or report updating that description.</w:t>
      </w:r>
    </w:p>
    <w:p>
      <w:pPr>
        <w:spacing w:after="0" w:line="73" w:lineRule="exact"/>
        <w:rPr>
          <w:sz w:val="20"/>
          <w:szCs w:val="20"/>
          <w:color w:val="auto"/>
        </w:rPr>
      </w:pPr>
    </w:p>
    <w:p>
      <w:pPr>
        <w:ind w:right="20" w:firstLine="218"/>
        <w:spacing w:after="0" w:line="286" w:lineRule="auto"/>
        <w:rPr>
          <w:sz w:val="20"/>
          <w:szCs w:val="20"/>
          <w:color w:val="auto"/>
        </w:rPr>
      </w:pPr>
      <w:r>
        <w:rPr>
          <w:rFonts w:ascii="Arial" w:cs="Arial" w:eastAsia="Arial" w:hAnsi="Arial"/>
          <w:sz w:val="17"/>
          <w:szCs w:val="17"/>
          <w:color w:val="auto"/>
        </w:rPr>
        <w:t xml:space="preserve">You may request a copy of any of these filings, at no cost, by writing to Investor Relations, Brady Corporation, P.O. Box 571, Milwaukee, WI 53201-0571, or e-mail at investor@bradycorp.com, or by calling Investor Relations at (414) 438-6918. You may obtain copies of these materials through our website, </w:t>
      </w:r>
      <w:r>
        <w:rPr>
          <w:rFonts w:ascii="Arial" w:cs="Arial" w:eastAsia="Arial" w:hAnsi="Arial"/>
          <w:sz w:val="17"/>
          <w:szCs w:val="17"/>
          <w:u w:val="single" w:color="auto"/>
          <w:color w:val="auto"/>
        </w:rPr>
        <w:t>www.bradycorp.com</w:t>
      </w:r>
      <w:r>
        <w:rPr>
          <w:rFonts w:ascii="Arial" w:cs="Arial" w:eastAsia="Arial" w:hAnsi="Arial"/>
          <w:sz w:val="17"/>
          <w:szCs w:val="17"/>
          <w:color w:val="auto"/>
        </w:rPr>
        <w:t>. However, we are not incorporating the information contained on our website other than these filings into this prospectus.</w:t>
      </w:r>
    </w:p>
    <w:p>
      <w:pPr>
        <w:spacing w:after="0" w:line="5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If we have incorporated by reference any statement or information into this prospectus and we subsequently modify that statement or information, the statement or information incorporated into this prospectus is also modified or superseded in the same manner. This prospectus incorporates by reference any subsequently filed document.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Except as otherwise described in an applicable prospectus supplement, we intend to use the net proceeds from the sale of the securities for one or more of the following purposes:</w:t>
      </w:r>
    </w:p>
    <w:p>
      <w:pPr>
        <w:spacing w:after="0" w:line="143"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refinance, in part, existing indebtedness;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finance, in part, the cost of acquisitions;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finance capital expenditures and capacity expansion; and/or</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general corporate purposes and working capital.</w:t>
      </w:r>
    </w:p>
    <w:p>
      <w:pPr>
        <w:spacing w:after="0" w:line="11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Funds which are not required immediately for these purposes may be invested temporarily in short-term marketable securities.</w:t>
      </w:r>
    </w:p>
    <w:p>
      <w:pPr>
        <w:spacing w:after="0" w:line="32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sets forth our ratio of earnings to fixed charges for each of the five years ended July 31, 2008, 2007, 2006, 2005 and 2004.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Years Ended July 31,</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8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2008</w:t>
            </w:r>
          </w:p>
        </w:tc>
        <w:tc>
          <w:tcPr>
            <w:tcW w:w="138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2007</w:t>
            </w:r>
          </w:p>
        </w:tc>
        <w:tc>
          <w:tcPr>
            <w:tcW w:w="148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98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2005</w:t>
            </w:r>
          </w:p>
        </w:tc>
        <w:tc>
          <w:tcPr>
            <w:tcW w:w="150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860" w:type="dxa"/>
            <w:vAlign w:val="bottom"/>
            <w:tcBorders>
              <w:top w:val="single" w:sz="8" w:color="auto"/>
            </w:tcBorders>
          </w:tcPr>
          <w:p>
            <w:pPr>
              <w:jc w:val="right"/>
              <w:ind w:right="239"/>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9"/>
                <w:szCs w:val="19"/>
                <w:color w:val="auto"/>
              </w:rPr>
            </w:pPr>
          </w:p>
        </w:tc>
        <w:tc>
          <w:tcPr>
            <w:tcW w:w="8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19"/>
                <w:szCs w:val="19"/>
                <w:color w:val="auto"/>
              </w:rPr>
            </w:pPr>
          </w:p>
        </w:tc>
        <w:tc>
          <w:tcPr>
            <w:tcW w:w="9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19"/>
                <w:szCs w:val="19"/>
                <w:color w:val="auto"/>
              </w:rPr>
            </w:pPr>
          </w:p>
        </w:tc>
        <w:tc>
          <w:tcPr>
            <w:tcW w:w="980" w:type="dxa"/>
            <w:vAlign w:val="bottom"/>
            <w:tcBorders>
              <w:top w:val="single" w:sz="8" w:color="auto"/>
            </w:tcBorders>
          </w:tcPr>
          <w:p>
            <w:pPr>
              <w:jc w:val="right"/>
              <w:ind w:right="239"/>
              <w:spacing w:after="0"/>
              <w:rPr>
                <w:sz w:val="20"/>
                <w:szCs w:val="20"/>
                <w:color w:val="auto"/>
              </w:rPr>
            </w:pPr>
            <w:r>
              <w:rPr>
                <w:rFonts w:ascii="Arial" w:cs="Arial" w:eastAsia="Arial" w:hAnsi="Arial"/>
                <w:sz w:val="18"/>
                <w:szCs w:val="18"/>
                <w:color w:val="auto"/>
              </w:rPr>
              <w:t>12.7</w:t>
            </w:r>
          </w:p>
        </w:tc>
        <w:tc>
          <w:tcPr>
            <w:tcW w:w="520" w:type="dxa"/>
            <w:vAlign w:val="bottom"/>
          </w:tcPr>
          <w:p>
            <w:pPr>
              <w:spacing w:after="0"/>
              <w:rPr>
                <w:sz w:val="19"/>
                <w:szCs w:val="19"/>
                <w:color w:val="auto"/>
              </w:rPr>
            </w:pPr>
          </w:p>
        </w:tc>
        <w:tc>
          <w:tcPr>
            <w:tcW w:w="9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For the purposes of computing the ratio of earnings to fixed charges, earnings consist of income before income taxes plus fixed charges, less interest capitalized, preferred stock dividends and premium on redemption of preferred stock. Fixed charges consist of interest expensed and capitalized, amortization of debt expenses, 8.5% of rent expenses, which is deemed representative of an interest factor, preferred stock dividends and premium on redemption of preferred stock.</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We may issue debt securities in one or more series under an Indenture (the “Indenture”) between us and a qualified trustee named in the Indenture, as trustee. The Indenture will be subject to, and governed by, the Trust Indenture Act of 1939.</w:t>
      </w:r>
    </w:p>
    <w:p>
      <w:pPr>
        <w:spacing w:after="0" w:line="62"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following summary of certain provisions of the Indenture does not purport to be complete and is qualified in its entirety by express reference to the Indenture and the Securities Resolution which establishes a series of debt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securities (“Securities Resolution”) or the supplemental indenture authorizing a series. Copies of these documents will be filed with the SEC. Capitalized terms used in this section without definition have the meanings to be given such terms in the Indenture.</w:t>
      </w:r>
    </w:p>
    <w:p>
      <w:pPr>
        <w:spacing w:after="0" w:line="62"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particular terms of the debt securities offered by a prospectus supplement will be described in that supplement, along with any applicable modifications of or additions to the general terms of the debt securities as described herein and in the Indenture. Accordingly, for a description of the terms of any series of debt securities, reference must be made to both the description of the debt securities in this prospectus and the prospectus supplement.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Indenture does not limit the amount of debt securities that can be issued or our ability or that of our subsidiaries to incur, assure or guarantee debt. Also, the Indenture does not restrict our ability or that of our subsidiaries to create or permit liens. It provides that the debt securities may be issued from time to time in one or more series pursuant to the terms of one or more Securities Resolutions or supplemental indentures creating the series.</w:t>
      </w:r>
    </w:p>
    <w:p>
      <w:pPr>
        <w:spacing w:after="0" w:line="39"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As of the date of this prospectus, there were no debt securities outstanding under the Indenture. The ranking of a series of debt securities with respect to all our indebtedness will be established by a Securities Resolution or supplemental indenture creating the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If we offer debt securities pursuant to this prospectus, the accompanying prospectus supplement will describe the following terms, if applicable, of those debt securities:</w:t>
      </w:r>
    </w:p>
    <w:p>
      <w:pPr>
        <w:spacing w:after="0" w:line="62"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designation, denominations, aggregate principal amount, currency or composite currency in which principal or interest may be paid;</w:t>
      </w:r>
    </w:p>
    <w:p>
      <w:pPr>
        <w:spacing w:after="0" w:line="117" w:lineRule="exact"/>
        <w:rPr>
          <w:rFonts w:ascii="Arial" w:cs="Arial" w:eastAsia="Arial" w:hAnsi="Arial"/>
          <w:sz w:val="18"/>
          <w:szCs w:val="18"/>
          <w:b w:val="1"/>
          <w:bCs w:val="1"/>
          <w:color w:val="auto"/>
        </w:rPr>
      </w:pPr>
    </w:p>
    <w:p>
      <w:pPr>
        <w:ind w:left="220" w:right="20" w:hanging="212"/>
        <w:spacing w:after="0" w:line="277"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price at which those debt securities will be issued and, if an index formula or other method is used, the method for determining amounts of principal or interest;</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maturity date and other dates, if any, on which principal will be payable;</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interest rate or rates, if any, or method of calculating the interest rate or rates;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date or dates from which interest will accrue and on which interest will be payable, and the record dates for the payment of interest;</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manner of paying principal and interest;</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place or places where principal and interest will be payable;</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provisions relating to subsidiary guarantees, if any;</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terms of any mandatory or optional redemption by us including any sinking fund;</w:t>
      </w:r>
    </w:p>
    <w:p>
      <w:pPr>
        <w:spacing w:after="0" w:line="117" w:lineRule="exact"/>
        <w:rPr>
          <w:rFonts w:ascii="Arial" w:cs="Arial" w:eastAsia="Arial" w:hAnsi="Arial"/>
          <w:sz w:val="18"/>
          <w:szCs w:val="18"/>
          <w:b w:val="1"/>
          <w:bCs w:val="1"/>
          <w:color w:val="auto"/>
        </w:rPr>
      </w:pPr>
    </w:p>
    <w:p>
      <w:pPr>
        <w:ind w:left="220" w:right="260" w:hanging="212"/>
        <w:spacing w:after="0" w:line="277"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whether the debt securities may be converted into or exchanged for common stock or any other securities, and the terms of any conversion or exchange right;</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terms of any redemption at the option of holders;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any tax indemnity provisions;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20" w:right="20" w:hanging="212"/>
        <w:spacing w:after="0" w:line="277" w:lineRule="auto"/>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if the debt securities provide that payments of principal or interest may be made in a currency other than that in which debt securities are denominated, the manner for determining those payments;</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portion of principal payable upon acceleration of a discounted debt security (as defined below);</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whether and upon what terms debt securities may be defeased;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whether any events of default or covenants in addition to or in lieu of those set forth in the Indenture apply;</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provisions for electronic issuance of debt securities or for debt securities in uncertificated form;</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ranking of the debt securities;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any other terms not inconsistent with the provisions of the Indenture, including any covenants or other terms that may be required or advisable.</w:t>
      </w:r>
    </w:p>
    <w:p>
      <w:pPr>
        <w:spacing w:after="0" w:line="12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may issue debt securities as registered debt securities, bearer debt securities or uncertificated debt securities, and in any denominations specified in the terms of the series.</w:t>
      </w:r>
    </w:p>
    <w:p>
      <w:pPr>
        <w:spacing w:after="0" w:line="62"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In connection with its original issuance, no bearer debt security will be offered, sold or delivered to any location in the United States, and a bearer debt security in definitive form may be delivered in connection with its original issuance only upon presentation of a certificate in a form prescribed by us to comply with United States laws and regulations.</w:t>
      </w:r>
    </w:p>
    <w:p>
      <w:pPr>
        <w:spacing w:after="0" w:line="73"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Registration of transfer of registered debt securities may be requested upon surrender thereof at any office or agency we maintain for that purpose and upon fulfillment of all other requirements of the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jc w:val="both"/>
        <w:ind w:right="60" w:firstLine="222"/>
        <w:spacing w:after="0" w:line="286" w:lineRule="auto"/>
        <w:rPr>
          <w:sz w:val="20"/>
          <w:szCs w:val="20"/>
          <w:color w:val="auto"/>
        </w:rPr>
      </w:pPr>
      <w:r>
        <w:rPr>
          <w:rFonts w:ascii="Arial" w:cs="Arial" w:eastAsia="Arial" w:hAnsi="Arial"/>
          <w:sz w:val="17"/>
          <w:szCs w:val="17"/>
          <w:color w:val="auto"/>
        </w:rPr>
        <w:t>The terms, if any, on which debt securities of any series will be convertible into or exchangeable for our common stock or other equity or debt securities, property, cash or obligations, or a combination of any of the foregoing, will be summarized in a prospectus supplement relating to that series. The terms may include provisions for conversion or exchange, either on a mandatory basis, at the option of the holder or at our option.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covenants that may apply to a particular series of debt securities will be described in the prospectus supplement relating to that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of Debt Securities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Unless we otherwise state in a prospectus supplement, the debt securities will be unsecured and will rank equally and ratably with our other unsecured and unsubordinated debt. The Indenture does not limit the ability of any of our subsidiaries (including any guarantor) to issue, assume or guarantee debt, and the debt securities will be effectively subordinated to all existing and future indebtedness and other liabilities and commitments of our non-guarantor subsidiaries and to any existing and future secured indebtedness of any guarantor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Successor Obligor</w:t>
      </w:r>
    </w:p>
    <w:p>
      <w:pPr>
        <w:spacing w:after="0" w:line="121"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Indenture provides that, unless otherwise specified in the securities resolution which establishes a series of debt securities, we shall not consolidate with or merge into, or transfer all or substantially all of our assets to, any person in any transaction in which we are not the survivor, unless:</w:t>
      </w:r>
    </w:p>
    <w:p>
      <w:pPr>
        <w:spacing w:after="0" w:line="16" w:lineRule="exact"/>
        <w:rPr>
          <w:sz w:val="20"/>
          <w:szCs w:val="20"/>
          <w:color w:val="auto"/>
        </w:rPr>
      </w:pPr>
    </w:p>
    <w:p>
      <w:pPr>
        <w:ind w:left="220" w:right="280" w:hanging="212"/>
        <w:spacing w:after="0" w:line="277" w:lineRule="auto"/>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person is organized under the laws of the United States or a state thereof or is organized under the laws of a foreign jurisdiction and consents to the jurisdiction of the courts of the United States or a state thereof;</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person assumes by supplemental indenture all of our obligations under the Indenture, the debt securities and any coupons;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all required approvals of any regulatory body having jurisdiction over the transaction shall have been obtained;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immediately after the transaction no default, as defined below, exists.</w:t>
      </w:r>
    </w:p>
    <w:p>
      <w:pPr>
        <w:spacing w:after="0" w:line="117"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6"/>
          <w:szCs w:val="16"/>
          <w:color w:val="auto"/>
        </w:rPr>
        <w:t>The successor shall be substituted for us, and thereafter all of our obligations under the Indenture, the debt securities and any coupons shall terminate.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and Remedies</w:t>
      </w:r>
    </w:p>
    <w:p>
      <w:pPr>
        <w:spacing w:after="0" w:line="121"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Unless the Securities Resolution establishing the series otherwise provides (in which event the prospectus supplement will so state), an “event of default” with respect to a series of debt securities will occur if:</w:t>
      </w:r>
    </w:p>
    <w:p>
      <w:pPr>
        <w:spacing w:after="0" w:line="62" w:lineRule="exact"/>
        <w:rPr>
          <w:sz w:val="20"/>
          <w:szCs w:val="20"/>
          <w:color w:val="auto"/>
        </w:rPr>
      </w:pPr>
    </w:p>
    <w:p>
      <w:pPr>
        <w:ind w:left="220" w:hanging="212"/>
        <w:spacing w:after="0" w:line="277" w:lineRule="auto"/>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we default in any payment of interest on any debt securities of that series when the same becomes due and payable and the default continues for the period of time set forth in the indenture;</w:t>
      </w:r>
    </w:p>
    <w:p>
      <w:pPr>
        <w:spacing w:after="0" w:line="62" w:lineRule="exact"/>
        <w:rPr>
          <w:rFonts w:ascii="Arial" w:cs="Arial" w:eastAsia="Arial" w:hAnsi="Arial"/>
          <w:sz w:val="18"/>
          <w:szCs w:val="18"/>
          <w:b w:val="1"/>
          <w:bCs w:val="1"/>
          <w:color w:val="auto"/>
        </w:rPr>
      </w:pPr>
    </w:p>
    <w:p>
      <w:pPr>
        <w:ind w:left="220" w:right="60" w:hanging="212"/>
        <w:spacing w:after="0" w:line="277" w:lineRule="auto"/>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we default in the payment of the principal and premium, if any, of any debt securities of the series when the same becomes due and payable at maturity or upon redemption, acceleration or otherwise;</w:t>
      </w:r>
    </w:p>
    <w:p>
      <w:pPr>
        <w:spacing w:after="0" w:line="62" w:lineRule="exact"/>
        <w:rPr>
          <w:rFonts w:ascii="Arial" w:cs="Arial" w:eastAsia="Arial" w:hAnsi="Arial"/>
          <w:sz w:val="18"/>
          <w:szCs w:val="18"/>
          <w:b w:val="1"/>
          <w:bCs w:val="1"/>
          <w:color w:val="auto"/>
        </w:rPr>
      </w:pPr>
    </w:p>
    <w:p>
      <w:pPr>
        <w:ind w:left="220" w:right="500" w:hanging="212"/>
        <w:spacing w:after="0" w:line="277" w:lineRule="auto"/>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we default in the performance of any of our other agreements applicable to the series and the default continues for the period of time set forth in the indenture after the notice specified below;</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pursuant to or within the meaning of any Bankruptcy Law, as defined below, we: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commence a voluntary case;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consent to the entry of an order for relief against us in an involuntary case;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consent to the appointment of a custodian for us or for all or substantially all of our property;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make a general assignment for the benefit of our creditors;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a court of competent jurisdiction enters an order or decree under any Bankruptcy Law that: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is for relief against us in an involuntary case;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appoints a custodian for us or for all or substantially all of our property;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13"/>
        </w:numPr>
        <w:rPr>
          <w:rFonts w:ascii="Arial" w:cs="Arial" w:eastAsia="Arial" w:hAnsi="Arial"/>
          <w:sz w:val="17"/>
          <w:szCs w:val="17"/>
          <w:b w:val="1"/>
          <w:bCs w:val="1"/>
          <w:color w:val="auto"/>
        </w:rPr>
      </w:pPr>
      <w:r>
        <w:rPr>
          <w:rFonts w:ascii="Arial" w:cs="Arial" w:eastAsia="Arial" w:hAnsi="Arial"/>
          <w:sz w:val="17"/>
          <w:szCs w:val="17"/>
          <w:color w:val="auto"/>
        </w:rPr>
        <w:t>orders our liquidation, (and in each case the order or decree remains unstayed and in effect for the period of time set forth in the Indenture); or</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there occurs any other event of default provided for in such series.</w:t>
      </w:r>
    </w:p>
    <w:p>
      <w:pPr>
        <w:spacing w:after="0" w:line="117"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a similar official under any Bankruptcy Law.</w:t>
      </w:r>
    </w:p>
    <w:p>
      <w:pPr>
        <w:spacing w:after="0" w:line="62"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term “default” means any event which is, or after notice or passage of time would be, an event of default. A default is not an event of default until the trustee or the holders of at least 25% in principal amount of the series notify us of the default and we do not cure the default within the time specified after receipt of the notice. If an event of default occurs and is continuing on a series, the trustee by notice to us, or the holders of at least 25% in principal amount of the series, may declare the principal of and accrued interest on all the debt securities of the series to be due and payable immediately. The holders of a majority in principal amount of the series, by notice to the trustee,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may rescind an acceleration and its consequences if the rescission would not conflict with any judgment or decree and if all existing events of default on the series have been cured or waived except nonpayment of principal or interest that has become due solely because of the acceleration. If an event of default occurs and is continuing on a series, the trustee may pursue any available remedy to collect principal or interest then due on the series, to enforce the performance of any provision applicable to the series, or otherwise to protect the rights of the trustee and holders of the series.</w:t>
      </w:r>
    </w:p>
    <w:p>
      <w:pPr>
        <w:spacing w:after="0" w:line="63" w:lineRule="exact"/>
        <w:rPr>
          <w:sz w:val="20"/>
          <w:szCs w:val="20"/>
          <w:color w:val="auto"/>
        </w:rPr>
      </w:pPr>
    </w:p>
    <w:p>
      <w:pPr>
        <w:ind w:right="320" w:firstLine="222"/>
        <w:spacing w:after="0" w:line="257" w:lineRule="auto"/>
        <w:rPr>
          <w:sz w:val="20"/>
          <w:szCs w:val="20"/>
          <w:color w:val="auto"/>
        </w:rPr>
      </w:pPr>
      <w:r>
        <w:rPr>
          <w:rFonts w:ascii="Arial" w:cs="Arial" w:eastAsia="Arial" w:hAnsi="Arial"/>
          <w:sz w:val="18"/>
          <w:szCs w:val="18"/>
          <w:color w:val="auto"/>
        </w:rPr>
        <w:t>The trustee may require indemnity satisfactory to it before it enforces the Indenture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holders of that series notice of any continuing default if it determines that withholding the notice is in the interest of holders of the series. We are required to furnish the trustee annually a brief certificate as to our compliance with all conditions and covenants under the Indenture.</w:t>
      </w:r>
    </w:p>
    <w:p>
      <w:pPr>
        <w:spacing w:after="0" w:line="80" w:lineRule="exact"/>
        <w:rPr>
          <w:sz w:val="20"/>
          <w:szCs w:val="20"/>
          <w:color w:val="auto"/>
        </w:rPr>
      </w:pPr>
    </w:p>
    <w:p>
      <w:pPr>
        <w:jc w:val="both"/>
        <w:ind w:right="140" w:firstLine="222"/>
        <w:spacing w:after="0" w:line="264" w:lineRule="auto"/>
        <w:rPr>
          <w:sz w:val="20"/>
          <w:szCs w:val="20"/>
          <w:color w:val="auto"/>
        </w:rPr>
      </w:pPr>
      <w:r>
        <w:rPr>
          <w:rFonts w:ascii="Arial" w:cs="Arial" w:eastAsia="Arial" w:hAnsi="Arial"/>
          <w:sz w:val="18"/>
          <w:szCs w:val="18"/>
          <w:color w:val="auto"/>
        </w:rPr>
        <w:t>The Indenture does not have a cross-default provision. Thus, a default by us, or any guarantor subsidiary, on any other debt, including any other series of debt securities, would not constitute an event of default. A Securities Resolution which establishes a series of debt securities may provide for a cross-default provision, in which case the prospectus supplement will describe the terms of that provision.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Waivers</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Indenture and the debt securities may be amended, and any default may be waived as follows: Unless a Securities Resolution otherwise provides (in which event the prospectus supplement will state that), we and the trustee may amend the debt securities, the Indenture and any coupons with the written consent of the holders of a majority in principal amount of the debt securities of all series affected voting as one class. Unless the Securities Resolution otherwise provides (in which event the prospectus supplement will state that), a default on a particular series may be waived with the consent of the holders of a majority in principal amount of the debt securities of the series. However, without the consent of each debt security holder affected, no amendment or waiver may:</w:t>
      </w:r>
    </w:p>
    <w:p>
      <w:pPr>
        <w:spacing w:after="0" w:line="85"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reduce the amount of debt securities whose holders must consent to an amendment or waiver;</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reduce the rate of or change or have the effect of changing the time for payment of interest, including defaulted interest, on any debt securities;</w:t>
      </w:r>
    </w:p>
    <w:p>
      <w:pPr>
        <w:spacing w:after="0" w:line="128" w:lineRule="exact"/>
        <w:rPr>
          <w:rFonts w:ascii="Arial" w:cs="Arial" w:eastAsia="Arial" w:hAnsi="Arial"/>
          <w:sz w:val="17"/>
          <w:szCs w:val="17"/>
          <w:b w:val="1"/>
          <w:bCs w:val="1"/>
          <w:color w:val="auto"/>
        </w:rPr>
      </w:pPr>
    </w:p>
    <w:p>
      <w:pPr>
        <w:ind w:left="220" w:right="200" w:hanging="212"/>
        <w:spacing w:after="0" w:line="277" w:lineRule="auto"/>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reduce the principal of or change or have the effect of changing the fixed maturity of any debt securities, or change the date on which any debt securities may be subject to redemption or reduce the redemption price therefor;</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make any debt securities payable in money other than that stated in the debt securities;</w:t>
      </w:r>
    </w:p>
    <w:p>
      <w:pPr>
        <w:spacing w:after="0" w:line="117" w:lineRule="exact"/>
        <w:rPr>
          <w:rFonts w:ascii="Arial" w:cs="Arial" w:eastAsia="Arial" w:hAnsi="Arial"/>
          <w:sz w:val="18"/>
          <w:szCs w:val="18"/>
          <w:b w:val="1"/>
          <w:bCs w:val="1"/>
          <w:color w:val="auto"/>
        </w:rPr>
      </w:pPr>
    </w:p>
    <w:p>
      <w:pPr>
        <w:ind w:left="220" w:right="80" w:hanging="212"/>
        <w:spacing w:after="0" w:line="264" w:lineRule="auto"/>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make any change in provisions of the Indenture protecting the right of each holder to receive payment of principal of and interest on the debt securities on or after the due date thereof or to bring suit to enforce such payment, or permitting holders of a majority in principal amount of debt securities to waive defaults or events of default; or</w:t>
      </w:r>
    </w:p>
    <w:p>
      <w:pPr>
        <w:spacing w:after="0" w:line="73" w:lineRule="exact"/>
        <w:rPr>
          <w:rFonts w:ascii="Arial" w:cs="Arial" w:eastAsia="Arial" w:hAnsi="Arial"/>
          <w:sz w:val="18"/>
          <w:szCs w:val="18"/>
          <w:b w:val="1"/>
          <w:bCs w:val="1"/>
          <w:color w:val="auto"/>
        </w:rPr>
      </w:pPr>
    </w:p>
    <w:p>
      <w:pPr>
        <w:ind w:left="220" w:hanging="212"/>
        <w:spacing w:after="0"/>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make any change that materially adversely affects the right to convert or exchange any debt security.</w:t>
      </w:r>
    </w:p>
    <w:p>
      <w:pPr>
        <w:spacing w:after="0" w:line="117"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Without the consent of any debt security holder, we and the trustee may amend the Indenture, the debt securities or any coupons to:</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cure any ambiguity, defect, or inconsistency;</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provide for uncertificated debt securities in addition to or in place of certificated debt securities;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comply with the Indenture’s provisions relating to corporate successors or rules relating to the conduct of meetings;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20" w:right="220" w:hanging="212"/>
        <w:spacing w:after="0" w:line="277" w:lineRule="auto"/>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make any change that would provide any additional rights or interests under the holders of debt securities or that does not materially adversely affect the rights or interests under the Indenture of any such holder;</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create a series and establish its terms;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comply with requirements of the SEC in order to effect or maintain qualification of the Indenture under the Trust Indenture Act;</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provide that specific provisions of the Indenture shall not apply to a series not previously issued; or</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provide for a separate trustee for one or more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Debt securities of a series may be defeased in accordance with their terms and, unless the Securities Resolution establishing the terms of the series otherwise provides, as set forth in the Indenture and described briefly below. We, at any time, may terminate as to a series all of our obligations (except certain obligations, including obligations with respect to the defeasance trust and obligations to register the transfer or exchange of a Security, to replace destroyed, lost or stolen debt securities and coupons, and to maintain paying agencies in respect of the debt securities) with respect to the debt securities of the series and any related coupons and the Indenture (“legal defeasance”). We, at any time, may terminate as to a series our obligations, if any, with respect to the debt securities and coupons of the series under any restrictive covenants which may be applicable to a particular series (“covenant defeasance”).</w:t>
      </w:r>
    </w:p>
    <w:p>
      <w:pPr>
        <w:spacing w:after="0" w:line="5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restrictive covenants which may be applicable to the particular series.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exercise either defeasance option as to a series, we must:</w:t>
      </w:r>
    </w:p>
    <w:p>
      <w:pPr>
        <w:spacing w:after="0" w:line="117"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irrevocably deposit in trust (the “defeasance trust”) with the trustee or another trustee money or U.S. government obligations;</w:t>
      </w:r>
    </w:p>
    <w:p>
      <w:pPr>
        <w:spacing w:after="0" w:line="117" w:lineRule="exact"/>
        <w:rPr>
          <w:rFonts w:ascii="Arial" w:cs="Arial" w:eastAsia="Arial" w:hAnsi="Arial"/>
          <w:sz w:val="18"/>
          <w:szCs w:val="18"/>
          <w:b w:val="1"/>
          <w:bCs w:val="1"/>
          <w:color w:val="auto"/>
        </w:rPr>
      </w:pPr>
    </w:p>
    <w:p>
      <w:pPr>
        <w:ind w:left="220" w:right="20" w:hanging="212"/>
        <w:spacing w:after="0" w:line="259" w:lineRule="auto"/>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the series to maturity or redemption, as the case may be; and</w:t>
      </w:r>
    </w:p>
    <w:p>
      <w:pPr>
        <w:spacing w:after="0" w:line="78" w:lineRule="exact"/>
        <w:rPr>
          <w:rFonts w:ascii="Arial" w:cs="Arial" w:eastAsia="Arial" w:hAnsi="Arial"/>
          <w:sz w:val="18"/>
          <w:szCs w:val="18"/>
          <w:b w:val="1"/>
          <w:bCs w:val="1"/>
          <w:color w:val="auto"/>
        </w:rPr>
      </w:pPr>
    </w:p>
    <w:p>
      <w:pPr>
        <w:ind w:left="220" w:hanging="212"/>
        <w:spacing w:after="0" w:line="277" w:lineRule="auto"/>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comply with other specified conditions; in particular, we must obtain an opinion of tax counsel that the defeasance will not result in recognition of any gain or loss to holders for federal income tax purposes.</w:t>
      </w:r>
    </w:p>
    <w:p>
      <w:pPr>
        <w:spacing w:after="0" w:line="62"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term “government obligations” means direct obligations of, or obligations guaranteed by, the United States and for payment of which the United States pledges its full faith and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200" w:firstLine="215"/>
        <w:spacing w:after="0" w:line="312" w:lineRule="auto"/>
        <w:rPr>
          <w:sz w:val="20"/>
          <w:szCs w:val="20"/>
          <w:color w:val="auto"/>
        </w:rPr>
      </w:pPr>
      <w:r>
        <w:rPr>
          <w:rFonts w:ascii="Arial" w:cs="Arial" w:eastAsia="Arial" w:hAnsi="Arial"/>
          <w:sz w:val="16"/>
          <w:szCs w:val="16"/>
          <w:color w:val="auto"/>
        </w:rPr>
        <w:t>A series of debt securities may be guaranteed by some of our subsidiary corporations, if those guarantees are provided for in the Securities Resolution or the supplemental indenture relating to that series of debt securities. If guarantees are issued in connection with any debt securities, the terms of those guarantees and the names of our subsidiaries which are providing the guarantees will be identified in the applicable prospectus supplement.</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Regarding the Trustee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prospectus supplement relating to any debt securities will identify the trustee and registrar for those debt securities. Unless otherwise indicated in a prospectus supplement, the trustee will also act as transfer agent and paying agent with respect to the debt securities. We may remove the trustee with or without cause if we so notify the trustee three months in advance and if we are not in default during the three-month period. The trustee, in its individual or any other capacity, may make loans to, accept deposits from, and perform services for us or our affiliates, and may otherwise deal with us or our affiliates, as if it were not trustee.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Under Brady’s Restated Articles of Incorporation, the authorized capital stock of Brady consists of 100 million shares of Class A Nonvoting Common Stock, $.01 par value; 10 million shares of Class B Voting Common Stock, $.01 par value; 45,000 shares of Cumulative Preferred Stock, $100 par value; and 5 million shares of Preferred Stock, $.01 par value, issuable in series. The Cumulative Preferred Stock is divided into series as follows: 5,000 shares of 6.0% Cumulative Preferred Stock (entitled to a $6.00 per annum cumulative dividend, payable quarterly), 10,000 shares of Cumulative Preferred Stock, 1972 Series (also entitled to cumulative dividends at $6.00 per annum, payable quarterly) and 30,000 shares of Cumulative Preferred Stock, 1979 Series (entitled to cumulative dividends of $10.00 per annum, payable quarterly). No shares of Cumulative Preferred Stock or Preferred Stock are issued and outstanding at this time. As of September 22, 2008, there were 49,855,020 shares of Class A Nonvoting Common Stock issued and outstanding and 3,538,628 shares of Class B Nonvoting Common Stock issued and outstanding. No Brady shareholder has cumulative voting rights or preemptive or other rights to subscribe for additional Brady shares. All of the outstanding shares are fully paid and non-assessable.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following is a brief description of Brady’s Common Stock. The rights of holders of the Common Stock are subject to the rights of holders of Brady’s Cumulative Preferred Stock and Preferred Stock.</w:t>
      </w:r>
    </w:p>
    <w:p>
      <w:pPr>
        <w:spacing w:after="0" w:line="62"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Holders of the Class A Nonvoting Common Stock are not entitled to vote on any corporate matters, except as may be required by law, unless, in each of the three preceding fiscal years, the $0.01665 preferential dividend described below has not been paid in full. Holders of the Class A Nonvoting Common Stock are entitled to one vote per share for the election of directors and for all other purposes for the entire fiscal year immediately following the third consecutive fiscal year in which the preferential dividend is not paid in full. Holders of Class B Voting Common Stock are entitled to one vote per share for the election of directors and for all other purposes.</w:t>
      </w:r>
    </w:p>
    <w:p>
      <w:pPr>
        <w:spacing w:after="0" w:line="80"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color w:val="auto"/>
        </w:rPr>
        <w:t>Before any dividend may be paid on the Class B Voting Common Stock, holders of the Class A Nonvoting Common Stock are entitled to receive an annual, non-cumulative cash dividend of $0.01665 per share (subject to adjustment in the event of stock splits, stock dividends or similar events involving shares of Class A Nonvoting Common Stock). Thereafter, any further dividend in that fiscal year must be paid on all shares of Common Stock on an equal basis.</w:t>
      </w:r>
    </w:p>
    <w:p>
      <w:pPr>
        <w:spacing w:after="0" w:line="79" w:lineRule="exact"/>
        <w:rPr>
          <w:sz w:val="20"/>
          <w:szCs w:val="20"/>
          <w:color w:val="auto"/>
        </w:rPr>
      </w:pPr>
    </w:p>
    <w:p>
      <w:pPr>
        <w:ind w:right="60" w:firstLine="225"/>
        <w:spacing w:after="0" w:line="253" w:lineRule="auto"/>
        <w:rPr>
          <w:sz w:val="20"/>
          <w:szCs w:val="20"/>
          <w:color w:val="auto"/>
        </w:rPr>
      </w:pPr>
      <w:r>
        <w:rPr>
          <w:rFonts w:ascii="Arial" w:cs="Arial" w:eastAsia="Arial" w:hAnsi="Arial"/>
          <w:sz w:val="18"/>
          <w:szCs w:val="18"/>
          <w:color w:val="auto"/>
        </w:rPr>
        <w:t>Subject to the prior rights of any shares of Cumulative Preferred Stock and/or Preferred Stock, upon liquidation, dissolution, or winding up of Brady, holders of the Class A Nonvoting Common Stock are entitled to receive the sum of $0.8333 per share (subject to adjustment in the event of stock splits, stock dividends or similar events involving shares of Class A Nonvoting Common Stock) before any payment or distribution to holders of the Class B Voting Common Stock. Holders of the Class B Voting Common Stock are then entitled to receive a payment or distribution of $0.8333 per share (subject to adjustment for stock splits, stock dividends or similar transactions involving shares of the Class B Voting Common Stock). Thereafter, holders of the Common Stock share on a pro rata basis all payments or distributions upon liquidation, dissolution or winding up of Brady. The preferences in dividends and liquidation rights of the Class A Nonvoting Common Stock over the Class B Voting Common Stock will terminate at any time that the voting rights of Class A Nonvoting Common Stock and Class B Voting Common Stock become equal, other than as required by law or upon nonpayment of dividends as described above.</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for the Class A Nonvoting Common Stock is Wells Fargo Bank Minnesota, N.A., St. Paul, Minnesota.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Preferred Stock</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following is a brief description of Brady’s Cumulative Preferred Stock. Our Restated Articles of Incorporation authorize our Board of Directors to issue from time to time, without shareholder approval, the shares of Cumulative Preferred Stock. No Cumulative Preferred Stock is issued and outstanding at this time.</w:t>
      </w:r>
    </w:p>
    <w:p>
      <w:pPr>
        <w:spacing w:after="0" w:line="73"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No dividends may be paid and no distributions may be made on the Common Stock (except dividends payable in Common Stock) and no shares of Common Stock may be purchased or acquired for value by Brady (except shares acquired in exchange for, or through application of the proceeds or sale of, shares of Common Stock), unless (a) all accrued dividends on all classes of the Cumulative Preferred Stock have been paid and (b) the net assets of Brady which would remain after the dividend, distribution or acquisition relating to the Common Stock would be at least twice the amount payable to holders of the Cumulative Preferred Stock in the event of voluntary liquidation, or unless authorized by the affirmative vote or written consent of the holders of at least two-thirds of the outstanding shares of the Cumulative Preferred Stock.</w:t>
      </w:r>
    </w:p>
    <w:p>
      <w:pPr>
        <w:spacing w:after="0" w:line="7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the event of dissolution, liquidation or winding up of our affairs and after payment of all our debts, the Cumulative Preferred Stock must be redeemed at par value plus accrued but unpaid dividends, if any, before any payment may be made on account of the Common Stock, and, in the case of a voluntary dissolution, a premium of $6.00 per share must also be paid on each share of Cumulative Preferred Stock before any payment may be made on account of the Common Stock. The Cumulative Preferred Stock is subject to redemption at our option on any quarterly dividend paying date at par plus all accrued and unpaid dividends plus a premium of $6.00 per share.</w:t>
      </w:r>
    </w:p>
    <w:p>
      <w:pPr>
        <w:spacing w:after="0" w:line="80"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Cumulative Preferred Stock has no voting power except as otherwise provided by law, unless four quarterly dividends are unpaid in whole or in part. Whenever four quarterly dividend payments, whether consecutive or not, are unpaid in whole or in part, the holders of all series of Cumulative Preferred Stock, voting separately as one class, are entitled to elect and maintain in office such number of the directors as constitutes a maximum minority of the entire board of directors of Brady (i.e., one less than half of the then current number of directors) until all accrued and unpaid dividends have been paid. The affirmative vote of the holders of at least two-thirds of the outstanding shares of Cumulative Preferred Stock, voting as a class, is also required to make certain amendments to the Articles of Incorporation affecting the rights of the Cumulative Preferred Stock and to allow any merger or consolidation of Brady, and any sale, lease, exchange or other disposition of all or substantially all of our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Our Restated Articles of Incorporation authorize our Board of Directors to issue from time to time Preferred Stock in series and to fix the powers, preferences, rights, qualifications, limitations or restrictions of any series with respect to the rate of dividend, price and terms of redemption, the amounts payable in the event of voluntary or involuntary liquidation, any sinking fund provisions for redemption or repurchase, the terms and conditions of conversion into any other class or series of our stock and voting rights, if any. No series of Preferred Stock is issued and outstanding at this time.</w:t>
      </w:r>
    </w:p>
    <w:p>
      <w:pPr>
        <w:spacing w:after="0" w:line="63"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Our Board of Directors, without shareholder approval, could issue Preferred Stock with voting and conversion rights which could adversely affect the voting power and liquidation rights of the holders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and Certain Statutory Provisions</w:t>
      </w:r>
    </w:p>
    <w:p>
      <w:pPr>
        <w:spacing w:after="0" w:line="121"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The provisions of our Restated Articles of Incorporation and our By-Laws may delay or make more difficult acquisitions or changes of control of Brady not approved by our Board of Directors. Such provisions could have the effect of discouraging third parties from making proposals involving an acquisition or change of control of us, although such proposals, if made, might be considered desirable by a majority of our shareholders. Such provisions may also have the effect of making it more difficult for third parties to cause the replacement of our current management without the concurrence of the Board of Directors.</w:t>
      </w:r>
    </w:p>
    <w:p>
      <w:pPr>
        <w:spacing w:after="0" w:line="46"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Voting control of Brady is vested in the holders of Class B Voting Common Stock. As a result, the holders of the Class B Voting Common Stock will be able to elect or remove all of our Board of Directors and, except as otherwise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required by applicable law or the Restated Articles of Incorporation, will be able to determine the outcome of all matters submitted for shareholder consideration. Such control may have the effect of discouraging certain types of transactions involving an actual or potential change of control of Brady, including transactions in which the holders of Class A Nonvoting Common Stock might otherwise receive a premium for their shares over then-current market prices.</w:t>
      </w:r>
    </w:p>
    <w:p>
      <w:pPr>
        <w:spacing w:after="0" w:line="79"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Because Brady’s Class B Voting Common Stock, the only class of Brady’s capital stock generally entitled to vote on the election of directors, is not registered or traded on a national securities exchange or registered under Section 12(g) of the Securities Exchange Act of 1934, and Brady has not elected in its Restated Articles of Incorporation to adopt the various anti-takeover provisions of the Wisconsin Business Corporation Law, such anti-takeover provisions do not currently apply to Brady.</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BOOK-ENTRY</w:t>
      </w:r>
    </w:p>
    <w:p>
      <w:pPr>
        <w:spacing w:after="0" w:line="121" w:lineRule="exact"/>
        <w:rPr>
          <w:sz w:val="20"/>
          <w:szCs w:val="20"/>
          <w:color w:val="auto"/>
        </w:rPr>
      </w:pPr>
    </w:p>
    <w:p>
      <w:pPr>
        <w:ind w:right="160" w:firstLine="447"/>
        <w:spacing w:after="0" w:line="259" w:lineRule="auto"/>
        <w:rPr>
          <w:sz w:val="20"/>
          <w:szCs w:val="20"/>
          <w:color w:val="auto"/>
        </w:rPr>
      </w:pPr>
      <w:r>
        <w:rPr>
          <w:rFonts w:ascii="Arial" w:cs="Arial" w:eastAsia="Arial" w:hAnsi="Arial"/>
          <w:sz w:val="18"/>
          <w:szCs w:val="18"/>
          <w:color w:val="auto"/>
        </w:rPr>
        <w:t>The Depository Trust Company (“DTC”), New York, NY, may act as securities depository for the securities, in which case the applicable prospectus supplement will so provide. The securities will be issued as fully registered securities registered in the name of Cede &amp; Co. (DTC’s partnership nominee) or such other name as may be requested by an authorized representative of DTC. One fully registered security certificate will be issued for the securities, in the aggregate principal amount of such issue, and will be deposited with DTC.</w:t>
      </w:r>
    </w:p>
    <w:p>
      <w:pPr>
        <w:spacing w:after="0" w:line="79"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and provides asset servicing for over 3.5 million issues of U.S. and non-U.S. equity,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and together with the Direct Participants, the “Participants”). DTC has Standard &amp; Poor’s highest rating: AAA. The DTC rules applicable to its Participants are on file with the Securities and Exchange Commission.</w:t>
      </w:r>
    </w:p>
    <w:p>
      <w:pPr>
        <w:spacing w:after="0" w:line="77"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each actual purchaser of each security (a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securities are to be accomplished by entries made on the books of Direct and Indirect Participants acting on behalf of beneficial owners. Beneficial owners will not receive certificates representing their ownership interests in Securities, except in the event that use of the book-entry system for the debt securities is discontinued.</w:t>
      </w:r>
    </w:p>
    <w:p>
      <w:pPr>
        <w:spacing w:after="0" w:line="70" w:lineRule="exact"/>
        <w:rPr>
          <w:sz w:val="20"/>
          <w:szCs w:val="20"/>
          <w:color w:val="auto"/>
        </w:rPr>
      </w:pPr>
    </w:p>
    <w:p>
      <w:pPr>
        <w:ind w:right="40" w:firstLine="447"/>
        <w:spacing w:after="0" w:line="279" w:lineRule="auto"/>
        <w:rPr>
          <w:sz w:val="20"/>
          <w:szCs w:val="20"/>
          <w:color w:val="auto"/>
        </w:rPr>
      </w:pPr>
      <w:r>
        <w:rPr>
          <w:rFonts w:ascii="Arial" w:cs="Arial" w:eastAsia="Arial" w:hAnsi="Arial"/>
          <w:sz w:val="17"/>
          <w:szCs w:val="17"/>
          <w:color w:val="auto"/>
        </w:rPr>
        <w:t>To facilitate subsequent transfers, all securities deposited by Direct Participants with DTC are registered in the name of DTC’s partnership nominee, Cede &amp; Co., or such other name as may be requested by an authorized representative of DTC. The deposit of Securities with DTC and their registration in the name of Cede &amp; Co. or such other nominee do not effect any change in beneficial ownership. DTC has no knowledge of the actual beneficial owners of the securities; DTC’s records reflect only the identity of the Direct Participants to whose accounts such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securities are credited, which may or may not be the beneficial owners. The Participants will remain responsible for keeping account of their holdings on behalf of their customers.</w:t>
      </w:r>
    </w:p>
    <w:p>
      <w:pPr>
        <w:spacing w:after="0" w:line="62"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73" w:lineRule="exact"/>
        <w:rPr>
          <w:sz w:val="20"/>
          <w:szCs w:val="20"/>
          <w:color w:val="auto"/>
        </w:rPr>
      </w:pPr>
    </w:p>
    <w:p>
      <w:pPr>
        <w:jc w:val="both"/>
        <w:ind w:right="80" w:firstLine="450"/>
        <w:spacing w:after="0" w:line="277" w:lineRule="auto"/>
        <w:rPr>
          <w:sz w:val="20"/>
          <w:szCs w:val="20"/>
          <w:color w:val="auto"/>
        </w:rPr>
      </w:pPr>
      <w:r>
        <w:rPr>
          <w:rFonts w:ascii="Arial" w:cs="Arial" w:eastAsia="Arial" w:hAnsi="Arial"/>
          <w:sz w:val="18"/>
          <w:szCs w:val="18"/>
          <w:color w:val="auto"/>
        </w:rPr>
        <w:t>Redemption notices shall be sent to DTC. If less than all of the securities within an issue are being redeemed, DTC’s practice is to determine by lot the amount of the interest of each Direct Participant in such issue to be redeemed.</w:t>
      </w:r>
    </w:p>
    <w:p>
      <w:pPr>
        <w:spacing w:after="0" w:line="62" w:lineRule="exact"/>
        <w:rPr>
          <w:sz w:val="20"/>
          <w:szCs w:val="20"/>
          <w:color w:val="auto"/>
        </w:rPr>
      </w:pPr>
    </w:p>
    <w:p>
      <w:pPr>
        <w:jc w:val="both"/>
        <w:ind w:right="80" w:firstLine="450"/>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securities unless authorized by a Direct Participant in accordance with DTC’s procedures. Under its usual procedures, DTC mails an omnibus proxy to the Participants as soon as possible after the record date. The omnibus proxy assigns Cede &amp; Co.’s consenting or voting rights to those Direct Participants to whose accounts the securities are credited on the record date (identified in a listing attached to the omnibus proxy).</w:t>
      </w:r>
    </w:p>
    <w:p>
      <w:pPr>
        <w:spacing w:after="0" w:line="79"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Redemption proceeds, distributions, and dividend payments on debt Securities will be made to Cede &amp; Co., or such other nominee as may be requested by an authorized representative of DTC. DTC’s practice is to credit Direct Participants’ accounts, upon DTC’s receipt of funds and corresponding detail information from Issuer or Agent on the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Brady, or any agent of either of them, subject to any statutory or regulatory requirements as may be in effect from time to time. Payment of redemption proceeds, distributions, and dividend payments to Cede &amp; Co. (or such other nominee as may be requested by an authorized representative of DTC) is the responsibility of Brady or the trustee, disbursement of such payments to Direct Participants will be the responsibility of DTC, and disbursement of such payments to the beneficial owners will be the responsibility of Direct and Indirect Participants.</w:t>
      </w:r>
    </w:p>
    <w:p>
      <w:pPr>
        <w:spacing w:after="0" w:line="74" w:lineRule="exact"/>
        <w:rPr>
          <w:sz w:val="20"/>
          <w:szCs w:val="20"/>
          <w:color w:val="auto"/>
        </w:rPr>
      </w:pPr>
    </w:p>
    <w:p>
      <w:pPr>
        <w:jc w:val="both"/>
        <w:ind w:right="200" w:firstLine="450"/>
        <w:spacing w:after="0" w:line="264" w:lineRule="auto"/>
        <w:rPr>
          <w:sz w:val="20"/>
          <w:szCs w:val="20"/>
          <w:color w:val="auto"/>
        </w:rPr>
      </w:pPr>
      <w:r>
        <w:rPr>
          <w:rFonts w:ascii="Arial" w:cs="Arial" w:eastAsia="Arial" w:hAnsi="Arial"/>
          <w:sz w:val="18"/>
          <w:szCs w:val="18"/>
          <w:color w:val="auto"/>
        </w:rPr>
        <w:t>DTC may discontinue providing its services as securities depository with respect to the securities at any time by giving reasonable notice to Brady or the trustee. Under such circumstances, in the event that a successor securities depository is not obtained, security certificates are required to be printed and delivered.</w:t>
      </w:r>
    </w:p>
    <w:p>
      <w:pPr>
        <w:spacing w:after="0" w:line="73" w:lineRule="exact"/>
        <w:rPr>
          <w:sz w:val="20"/>
          <w:szCs w:val="20"/>
          <w:color w:val="auto"/>
        </w:rPr>
      </w:pPr>
    </w:p>
    <w:p>
      <w:pPr>
        <w:ind w:right="340" w:firstLine="447"/>
        <w:spacing w:after="0" w:line="277" w:lineRule="auto"/>
        <w:rPr>
          <w:sz w:val="20"/>
          <w:szCs w:val="20"/>
          <w:color w:val="auto"/>
        </w:rPr>
      </w:pPr>
      <w:r>
        <w:rPr>
          <w:rFonts w:ascii="Arial" w:cs="Arial" w:eastAsia="Arial" w:hAnsi="Arial"/>
          <w:sz w:val="18"/>
          <w:szCs w:val="18"/>
          <w:color w:val="auto"/>
        </w:rPr>
        <w:t>We may also decide to discontinue use of the system of book-entry-only transfers through DTC (or a successor securities depository). In that event, security certificates will be printed and delivered.</w:t>
      </w:r>
    </w:p>
    <w:p>
      <w:pPr>
        <w:spacing w:after="0" w:line="62" w:lineRule="exact"/>
        <w:rPr>
          <w:sz w:val="20"/>
          <w:szCs w:val="20"/>
          <w:color w:val="auto"/>
        </w:rPr>
      </w:pPr>
    </w:p>
    <w:p>
      <w:pPr>
        <w:jc w:val="both"/>
        <w:ind w:right="300" w:firstLine="447"/>
        <w:spacing w:after="0" w:line="264" w:lineRule="auto"/>
        <w:rPr>
          <w:sz w:val="20"/>
          <w:szCs w:val="20"/>
          <w:color w:val="auto"/>
        </w:rPr>
      </w:pPr>
      <w:r>
        <w:rPr>
          <w:rFonts w:ascii="Arial" w:cs="Arial" w:eastAsia="Arial" w:hAnsi="Arial"/>
          <w:sz w:val="18"/>
          <w:szCs w:val="18"/>
          <w:color w:val="auto"/>
        </w:rPr>
        <w:t>We will not have any responsibility or obligation to Participants or to the persons for whom they act as nominees with respect to the accuracy of the records of DTC, its nominees or any Direct or Indirect Participants with respect to any ownership interest in the securities, or with respect to payments or providing of notice to the Direct Participants, the Indirect Participants, or the beneficial owners.</w:t>
      </w:r>
    </w:p>
    <w:p>
      <w:pPr>
        <w:spacing w:after="0" w:line="73" w:lineRule="exact"/>
        <w:rPr>
          <w:sz w:val="20"/>
          <w:szCs w:val="20"/>
          <w:color w:val="auto"/>
        </w:rPr>
      </w:pPr>
    </w:p>
    <w:p>
      <w:pPr>
        <w:jc w:val="both"/>
        <w:ind w:right="220" w:firstLine="447"/>
        <w:spacing w:after="0" w:line="264"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 We have no responsibility for the performance of DTC or its Participants of their obligations as described in this prospectus or under the rules and procedures governing their respective obligations.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We may sell the securities offered under this prospectus to or through underwriting syndicates represented by managing underwriters, through one or more underwriters without a syndicate for them to offer and sell to the public, agents or dealers or to investors directly in negotiated sales or in competitively bid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286" w:lineRule="auto"/>
        <w:rPr>
          <w:sz w:val="20"/>
          <w:szCs w:val="20"/>
          <w:color w:val="auto"/>
        </w:rPr>
      </w:pPr>
      <w:r>
        <w:rPr>
          <w:rFonts w:ascii="Arial" w:cs="Arial" w:eastAsia="Arial" w:hAnsi="Arial"/>
          <w:sz w:val="17"/>
          <w:szCs w:val="17"/>
          <w:color w:val="auto"/>
        </w:rPr>
        <w:t>The relevant prospectus supplement will identify any agents or underwriters and describe their compensation, including underwriting discount. The prospectus supplement will also describe other terms of the offering, including any discounts or concessions allowed or reallowed or paid to dealers and any securities exchanges or automated quotation systems on which any offered debt securities may be listed.</w:t>
      </w:r>
    </w:p>
    <w:p>
      <w:pPr>
        <w:spacing w:after="0" w:line="57" w:lineRule="exact"/>
        <w:rPr>
          <w:sz w:val="20"/>
          <w:szCs w:val="20"/>
          <w:color w:val="auto"/>
        </w:rPr>
      </w:pPr>
    </w:p>
    <w:p>
      <w:pPr>
        <w:ind w:right="540" w:firstLine="222"/>
        <w:spacing w:after="0" w:line="308" w:lineRule="auto"/>
        <w:rPr>
          <w:sz w:val="20"/>
          <w:szCs w:val="20"/>
          <w:color w:val="auto"/>
        </w:rPr>
      </w:pPr>
      <w:r>
        <w:rPr>
          <w:rFonts w:ascii="Arial" w:cs="Arial" w:eastAsia="Arial" w:hAnsi="Arial"/>
          <w:sz w:val="17"/>
          <w:szCs w:val="17"/>
          <w:color w:val="auto"/>
        </w:rPr>
        <w:t>The distribution of securities under this prospectus may occur from time to time in one or more transactions at a fixed price or prices, which may be changed, at market prices prevailing at the time of sale, at prices related to those prevailing market prices or at negotiated prices.</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Agents and Direct Sales</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If the applicable prospectus supplement indicates, we will authorize dealers or our agents to solicit offers by various institutions to purchase offered securities from us pursuant to contracts that provide for payment and delivery on a future date. We must approve all institutions, but they may include, among others:</w:t>
      </w:r>
    </w:p>
    <w:p>
      <w:pPr>
        <w:spacing w:after="0" w:line="73"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commercial and savings banks;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pension funds;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investment companies;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educational and charitable institutions.</w:t>
      </w:r>
    </w:p>
    <w:p>
      <w:pPr>
        <w:spacing w:after="0" w:line="11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institutional purchaser’s obligations will be subject only to the condition that the purchase of the securities is permitted at the time of delivery. The dealers and our agents will not be responsible for the validity or performance of the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Underwriters, dealers and agents participating in a sale of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the agents, underwriters and dealers to indemnify them against various civil liabilities, including liabilities under the Securities Act, or to contribute to payments that the agents, underwriters or dealers may be required to make as a result of those civil liabilities.</w:t>
      </w:r>
    </w:p>
    <w:p>
      <w:pPr>
        <w:spacing w:after="0" w:line="80" w:lineRule="exact"/>
        <w:rPr>
          <w:sz w:val="20"/>
          <w:szCs w:val="20"/>
          <w:color w:val="auto"/>
        </w:rPr>
      </w:pPr>
    </w:p>
    <w:p>
      <w:pPr>
        <w:jc w:val="both"/>
        <w:ind w:right="20" w:firstLine="225"/>
        <w:spacing w:after="0" w:line="257" w:lineRule="auto"/>
        <w:rPr>
          <w:sz w:val="20"/>
          <w:szCs w:val="20"/>
          <w:color w:val="auto"/>
        </w:rPr>
      </w:pPr>
      <w:r>
        <w:rPr>
          <w:rFonts w:ascii="Arial" w:cs="Arial" w:eastAsia="Arial" w:hAnsi="Arial"/>
          <w:sz w:val="18"/>
          <w:szCs w:val="18"/>
          <w:color w:val="auto"/>
        </w:rPr>
        <w:t>Our Class A Nonvoting Common Stock is quoted on the New York Stock Exchange under the symbol “BRC.” However, unless we indicate differently in a prospectus supplement, we will not list the debt securities on any securities exchange or seek to have them included on the New York Stock Exchange or any other automated quotation system. If we sell a security offered under this prospectus to an underwriter for public offering and sale, the underwriter may make a market for that security, but is not obligated to do so. Therefore, we cannot give any assurances to you concerning the liquidity of any security offered under this prospectus.</w:t>
      </w:r>
    </w:p>
    <w:p>
      <w:pPr>
        <w:spacing w:after="0" w:line="80" w:lineRule="exact"/>
        <w:rPr>
          <w:sz w:val="20"/>
          <w:szCs w:val="20"/>
          <w:color w:val="auto"/>
        </w:rPr>
      </w:pPr>
    </w:p>
    <w:p>
      <w:pPr>
        <w:jc w:val="both"/>
        <w:ind w:firstLine="215"/>
        <w:spacing w:after="0" w:line="277" w:lineRule="auto"/>
        <w:rPr>
          <w:sz w:val="20"/>
          <w:szCs w:val="20"/>
          <w:color w:val="auto"/>
        </w:rPr>
      </w:pPr>
      <w:r>
        <w:rPr>
          <w:rFonts w:ascii="Arial" w:cs="Arial" w:eastAsia="Arial" w:hAnsi="Arial"/>
          <w:sz w:val="18"/>
          <w:szCs w:val="18"/>
          <w:color w:val="auto"/>
        </w:rPr>
        <w:t>Agents and underwriters and their affiliates may be customers of, engage in transactions with, or perform services for us or our subsidiary companies in the ordinary course of business.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validity of the securities to be sold pursuant to this prospectus will be passed upon for us by Quarles &amp; Brady LLP, Milwaukee, Wisconsin counsel to the Company. The Company’s Secretary, Hoyt R. Stastney, is a Partner of Quarles &amp; Brady LLP. Legal matters will be passed upon for the underwriters, dealers or agents by counsel we will name in the applicable prospectus supplement.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47"/>
        <w:spacing w:after="0" w:line="279" w:lineRule="auto"/>
        <w:rPr>
          <w:sz w:val="20"/>
          <w:szCs w:val="20"/>
          <w:color w:val="auto"/>
        </w:rPr>
      </w:pPr>
      <w:r>
        <w:rPr>
          <w:rFonts w:ascii="Arial" w:cs="Arial" w:eastAsia="Arial" w:hAnsi="Arial"/>
          <w:sz w:val="17"/>
          <w:szCs w:val="17"/>
          <w:color w:val="auto"/>
        </w:rPr>
        <w:t>The consolidated financial statements, the related financial statement schedule, incorporated in this prospectus by reference from the Company’s Annual Report on Form 10-K, and the effectiveness of Brady Corporation’s internal control over financial reporting have been audited by Deloitte &amp; Touche LLP, an independent registered public accounting firm, as stated in their reports, which are incorporated herein by reference. Such reports have been so incorporated in reliance upon the reports of such firm given upon their authority as experts in accounting and auditing.</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right="280" w:firstLine="447"/>
        <w:spacing w:after="0" w:line="264" w:lineRule="auto"/>
        <w:rPr>
          <w:sz w:val="20"/>
          <w:szCs w:val="20"/>
          <w:color w:val="auto"/>
        </w:rPr>
      </w:pPr>
      <w:r>
        <w:rPr>
          <w:rFonts w:ascii="Arial" w:cs="Arial" w:eastAsia="Arial" w:hAnsi="Arial"/>
          <w:sz w:val="18"/>
          <w:szCs w:val="18"/>
          <w:color w:val="auto"/>
        </w:rPr>
        <w:t>The aggregate estimated expenses, other than underwriting discounts and commissions, in connection with the issuance and distribution of the securities covered by this Registration Statement are currently anticipated to be as follows (all amounts are estimated). All expenses of the offering will be paid by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 (actual)</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962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96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w w:val="99"/>
              </w:rPr>
              <w:t>Miscellaneous (including any applicable listing fees, rating agency fees, Trustee and transfer agent’s fees and expenses)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Deferred in accordance with Rules 456(b) and 457(r) under the Securities Act of 1933.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securities and number of offerings are indeterminable, and the expenses cannot be estimated at this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right="20" w:firstLine="447"/>
        <w:spacing w:after="0" w:line="287" w:lineRule="auto"/>
        <w:rPr>
          <w:sz w:val="20"/>
          <w:szCs w:val="20"/>
          <w:color w:val="auto"/>
        </w:rPr>
      </w:pPr>
      <w:r>
        <w:rPr>
          <w:rFonts w:ascii="Arial" w:cs="Arial" w:eastAsia="Arial" w:hAnsi="Arial"/>
          <w:sz w:val="16"/>
          <w:szCs w:val="16"/>
          <w:color w:val="auto"/>
        </w:rPr>
        <w:t>The Registrant is incorporated under the Wisconsin Business Corporation Law (“WBCL”). Under Section 180.0851(1) of the WBCL, the Registrant is required to indemnify a director or officer, to the extent such person is successful on the merits or otherwise in the defense of a proceeding, for all reasonable expenses incurred in the proceeding if such person was a party because he or she was a director or officer of the Registrant. In all other cases, the Registrant is required by Section 180.0851(2) of the WBCL to indemnify a director or officer against liability incurred in a proceeding to which such person was a party because he or she was an officer or director of the Registrant, unless it is determined that he or she breached or failed to perform a duty owed to the Registrant and the breach or failure to perform constitutes: (i) a willful failure to deal fairly with the Registrant or its shareholders in connection with a matter in which the director or officer has a material conflict of interest; (ii) a violation of criminal law, unless the director or officer had reasonable cause to believe his or her conduct was lawful or no reasonable cause to believe his or her conduct was unlawful; (iii) a transaction from which the director or officer derived an improper personal profit; or (iv) willful misconduct. Section 180.0858(1) of the WBCL provides that, subject to certain limitations, the mandatory indemnification provisions do not preclude any additional right to indemnification or allowance of expenses that a director or officer may have under the Registrant’s articles of incorporation, bylaws, a written agreement or a resolution of the board of directors or shareholders.</w:t>
      </w:r>
    </w:p>
    <w:p>
      <w:pPr>
        <w:spacing w:after="0" w:line="65" w:lineRule="exact"/>
        <w:rPr>
          <w:sz w:val="20"/>
          <w:szCs w:val="20"/>
          <w:color w:val="auto"/>
        </w:rPr>
      </w:pPr>
    </w:p>
    <w:p>
      <w:pPr>
        <w:ind w:right="140" w:firstLine="450"/>
        <w:spacing w:after="0" w:line="286" w:lineRule="auto"/>
        <w:rPr>
          <w:sz w:val="20"/>
          <w:szCs w:val="20"/>
          <w:color w:val="auto"/>
        </w:rPr>
      </w:pPr>
      <w:r>
        <w:rPr>
          <w:rFonts w:ascii="Arial" w:cs="Arial" w:eastAsia="Arial" w:hAnsi="Arial"/>
          <w:sz w:val="17"/>
          <w:szCs w:val="17"/>
          <w:color w:val="auto"/>
        </w:rPr>
        <w:t>Section 180.0859 of the WBCL provides that it is the public policy of the State of Wisconsin to require or permit indemnification, allowance of expenses and insurance to the extent required or permitted under Sections 180.0850 to 180.0858 of the WBCL for any liability incurred in connection with a proceeding involving a federal or state statute, rule or regulation regulating the offer, sale or purchase of securities.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Section 180.0828 of the WBCL provides that, with certain exceptions, a director is not liable to a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 any of the four exceptions to mandatory indemnification under Section 180.0851(2) referred to above.</w:t>
      </w:r>
    </w:p>
    <w:p>
      <w:pPr>
        <w:spacing w:after="0" w:line="6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Under Section 180.0833 of the WBCL, directors of the Registrant against whom claims are asserted with respect to the declaration of an improper dividend or other distribution to shareholders to which the directors assented are entitled to contribution from other directors who assented to such distribution and from shareholders who knowingly accepted the improper distribution, as provided therein.</w:t>
      </w:r>
    </w:p>
    <w:p>
      <w:pPr>
        <w:spacing w:after="0" w:line="73" w:lineRule="exact"/>
        <w:rPr>
          <w:sz w:val="20"/>
          <w:szCs w:val="20"/>
          <w:color w:val="auto"/>
        </w:rPr>
      </w:pPr>
    </w:p>
    <w:p>
      <w:pPr>
        <w:jc w:val="both"/>
        <w:ind w:right="180" w:firstLine="222"/>
        <w:spacing w:after="0" w:line="259" w:lineRule="auto"/>
        <w:rPr>
          <w:sz w:val="20"/>
          <w:szCs w:val="20"/>
          <w:color w:val="auto"/>
        </w:rPr>
      </w:pPr>
      <w:r>
        <w:rPr>
          <w:rFonts w:ascii="Arial" w:cs="Arial" w:eastAsia="Arial" w:hAnsi="Arial"/>
          <w:sz w:val="18"/>
          <w:szCs w:val="18"/>
          <w:color w:val="auto"/>
        </w:rPr>
        <w:t>The Registrant’s Bylaws contain provisions that generally parallel the indemnification provisions of the WBCL and cover certain procedural matters not dealt with in the WBCL. Directors and officers of the Registrant are also covered by directors’ and officers’ liability insurance under which they are insured (subject to certain exceptions and limitations specified in the policy) against expenses and liabilities arising out of proceedings to which they are parties by reason of being or having been directors or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the Exhibit Index following the Signatures page in this Registration Statement, which Exhibit Index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360" w:right="20" w:hanging="447"/>
        <w:spacing w:after="0" w:line="272" w:lineRule="auto"/>
        <w:tabs>
          <w:tab w:leader="none" w:pos="1360" w:val="left"/>
        </w:tabs>
        <w:numPr>
          <w:ilvl w:val="2"/>
          <w:numId w:val="1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1360" w:right="280" w:hanging="447"/>
        <w:spacing w:after="0" w:line="277" w:lineRule="auto"/>
        <w:tabs>
          <w:tab w:leader="none" w:pos="13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section do not apply if the information required to be included in a post-effective amendment by those paragraphs is contained in periodic reports filed with or furnished to the SEC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8"/>
        <w:spacing w:after="0" w:line="264" w:lineRule="auto"/>
        <w:tabs>
          <w:tab w:leader="none" w:pos="70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right="140" w:firstLine="458"/>
        <w:spacing w:after="0" w:line="277" w:lineRule="auto"/>
        <w:tabs>
          <w:tab w:leader="none" w:pos="70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to any purchaser:</w:t>
      </w:r>
    </w:p>
    <w:p>
      <w:pPr>
        <w:spacing w:after="0" w:line="117" w:lineRule="exact"/>
        <w:rPr>
          <w:rFonts w:ascii="Arial" w:cs="Arial" w:eastAsia="Arial" w:hAnsi="Arial"/>
          <w:sz w:val="18"/>
          <w:szCs w:val="18"/>
          <w:color w:val="auto"/>
        </w:rPr>
      </w:pPr>
    </w:p>
    <w:p>
      <w:pPr>
        <w:ind w:left="240" w:right="140" w:firstLine="446"/>
        <w:spacing w:after="0" w:line="277" w:lineRule="auto"/>
        <w:tabs>
          <w:tab w:leader="none" w:pos="905" w:val="left"/>
        </w:tabs>
        <w:numPr>
          <w:ilvl w:val="2"/>
          <w:numId w:val="2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240" w:right="40" w:firstLine="446"/>
        <w:spacing w:after="0" w:line="269" w:lineRule="auto"/>
        <w:tabs>
          <w:tab w:leader="none" w:pos="955" w:val="left"/>
        </w:tabs>
        <w:numPr>
          <w:ilvl w:val="2"/>
          <w:numId w:val="2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415(a)(1)(i),(vii), or (x) for the purpose of providing the information required by section 10(a) of the Securities Act of 1933 shall be deemed to be a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4" w:lineRule="exact"/>
        <w:rPr>
          <w:rFonts w:ascii="Arial" w:cs="Arial" w:eastAsia="Arial" w:hAnsi="Arial"/>
          <w:sz w:val="17"/>
          <w:szCs w:val="17"/>
          <w:color w:val="auto"/>
        </w:rPr>
      </w:pPr>
    </w:p>
    <w:p>
      <w:pPr>
        <w:ind w:left="240" w:firstLine="221"/>
        <w:spacing w:after="0" w:line="257"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Arial" w:cs="Arial" w:eastAsia="Arial" w:hAnsi="Arial"/>
          <w:sz w:val="18"/>
          <w:szCs w:val="18"/>
          <w:color w:val="auto"/>
        </w:rPr>
      </w:pPr>
    </w:p>
    <w:p>
      <w:pPr>
        <w:ind w:left="900" w:hanging="214"/>
        <w:spacing w:after="0"/>
        <w:tabs>
          <w:tab w:leader="none" w:pos="900" w:val="left"/>
        </w:tabs>
        <w:numPr>
          <w:ilvl w:val="2"/>
          <w:numId w:val="20"/>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240" w:right="800" w:firstLine="446"/>
        <w:spacing w:after="0" w:line="277" w:lineRule="auto"/>
        <w:tabs>
          <w:tab w:leader="none" w:pos="955"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240" w:right="240" w:firstLine="446"/>
        <w:spacing w:after="0" w:line="277" w:lineRule="auto"/>
        <w:tabs>
          <w:tab w:leader="none" w:pos="1005"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 securities provided by or on behalf of the undersigned registrant; and</w:t>
      </w:r>
    </w:p>
    <w:p>
      <w:pPr>
        <w:spacing w:after="0" w:line="62" w:lineRule="exact"/>
        <w:rPr>
          <w:rFonts w:ascii="Arial" w:cs="Arial" w:eastAsia="Arial" w:hAnsi="Arial"/>
          <w:sz w:val="18"/>
          <w:szCs w:val="18"/>
          <w:color w:val="auto"/>
        </w:rPr>
      </w:pPr>
    </w:p>
    <w:p>
      <w:pPr>
        <w:ind w:left="1000" w:hanging="314"/>
        <w:spacing w:after="0"/>
        <w:tabs>
          <w:tab w:leader="none" w:pos="10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right="200" w:firstLine="233"/>
        <w:spacing w:after="0" w:line="286" w:lineRule="auto"/>
        <w:tabs>
          <w:tab w:leader="none" w:pos="47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15(d) of the Securities Act of 1934 (and, where applicable, each filing of an employee benefits plan’s annual report pursuant to Section 15(d) of the Securities Exchange Act of 1934) that is incorporated by reference in the registration statement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shall be deemed to be a new registration statement relating to the securities offered therein, and the offering of such securities at that time shall be deemed to be the initial bona fide offering thereof.</w:t>
      </w:r>
    </w:p>
    <w:p>
      <w:pPr>
        <w:spacing w:after="0" w:line="62" w:lineRule="exact"/>
        <w:rPr>
          <w:sz w:val="20"/>
          <w:szCs w:val="20"/>
          <w:color w:val="auto"/>
        </w:rPr>
      </w:pPr>
    </w:p>
    <w:p>
      <w:pPr>
        <w:ind w:firstLine="233"/>
        <w:spacing w:after="0" w:line="291" w:lineRule="auto"/>
        <w:tabs>
          <w:tab w:leader="none" w:pos="47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59" w:lineRule="exact"/>
        <w:rPr>
          <w:rFonts w:ascii="Arial" w:cs="Arial" w:eastAsia="Arial" w:hAnsi="Arial"/>
          <w:sz w:val="16"/>
          <w:szCs w:val="16"/>
          <w:color w:val="auto"/>
        </w:rPr>
      </w:pPr>
    </w:p>
    <w:p>
      <w:pPr>
        <w:ind w:left="480" w:hanging="247"/>
        <w:spacing w:after="0"/>
        <w:tabs>
          <w:tab w:leader="none" w:pos="4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undersigned Registrants hereby undertake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right="100" w:firstLine="8"/>
        <w:spacing w:after="0" w:line="261"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Section 310 of the Trust Indenture Act in accordance with the rules and regulations prescribed by the Commission under Section 305(b)(2) of the Trust Indenture Act.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BRADY CORPORATION (Registrant)</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THOMAS J. FELMER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Frank M. Jaehnert, Thomas J. Felmer and Hoyt R. Stastney,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74"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ind w:left="2240"/>
              <w:spacing w:after="0"/>
              <w:rPr>
                <w:sz w:val="20"/>
                <w:szCs w:val="20"/>
                <w:color w:val="auto"/>
              </w:rPr>
            </w:pPr>
            <w:r>
              <w:rPr>
                <w:rFonts w:ascii="Arial" w:cs="Arial" w:eastAsia="Arial" w:hAnsi="Arial"/>
                <w:sz w:val="14"/>
                <w:szCs w:val="14"/>
                <w:b w:val="1"/>
                <w:bCs w:val="1"/>
                <w:color w:val="auto"/>
              </w:rPr>
              <w:t>Signature</w:t>
            </w:r>
          </w:p>
        </w:tc>
        <w:tc>
          <w:tcPr>
            <w:tcW w:w="6340" w:type="dxa"/>
            <w:vAlign w:val="bottom"/>
          </w:tcPr>
          <w:p>
            <w:pPr>
              <w:ind w:left="3340"/>
              <w:spacing w:after="0"/>
              <w:rPr>
                <w:sz w:val="20"/>
                <w:szCs w:val="20"/>
                <w:color w:val="auto"/>
              </w:rPr>
            </w:pPr>
            <w:r>
              <w:rPr>
                <w:rFonts w:ascii="Arial" w:cs="Arial" w:eastAsia="Arial" w:hAnsi="Arial"/>
                <w:sz w:val="14"/>
                <w:szCs w:val="14"/>
                <w:b w:val="1"/>
                <w:bCs w:val="1"/>
                <w:color w:val="auto"/>
              </w:rPr>
              <w:t>Title</w:t>
            </w:r>
          </w:p>
        </w:tc>
      </w:tr>
      <w:tr>
        <w:trPr>
          <w:trHeight w:val="230"/>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6340" w:type="dxa"/>
            <w:vAlign w:val="bottom"/>
          </w:tcPr>
          <w:p>
            <w:pPr>
              <w:ind w:left="620"/>
              <w:spacing w:after="0"/>
              <w:rPr>
                <w:sz w:val="20"/>
                <w:szCs w:val="20"/>
                <w:color w:val="auto"/>
              </w:rPr>
            </w:pPr>
            <w:r>
              <w:rPr>
                <w:rFonts w:ascii="Arial" w:cs="Arial" w:eastAsia="Arial" w:hAnsi="Arial"/>
                <w:sz w:val="18"/>
                <w:szCs w:val="18"/>
                <w:color w:val="auto"/>
              </w:rPr>
              <w:t>President and Chief Executive Officer</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Frank M. Jaehnert</w:t>
            </w:r>
          </w:p>
        </w:tc>
        <w:tc>
          <w:tcPr>
            <w:tcW w:w="6340" w:type="dxa"/>
            <w:vAlign w:val="bottom"/>
          </w:tcPr>
          <w:p>
            <w:pPr>
              <w:ind w:left="660"/>
              <w:spacing w:after="0"/>
              <w:rPr>
                <w:sz w:val="20"/>
                <w:szCs w:val="20"/>
                <w:color w:val="auto"/>
              </w:rPr>
            </w:pPr>
            <w:r>
              <w:rPr>
                <w:rFonts w:ascii="Arial" w:cs="Arial" w:eastAsia="Arial" w:hAnsi="Arial"/>
                <w:sz w:val="18"/>
                <w:szCs w:val="18"/>
                <w:color w:val="auto"/>
              </w:rPr>
              <w:t>(Principal Executive Officer); Director</w:t>
            </w: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6340" w:type="dxa"/>
            <w:vAlign w:val="bottom"/>
          </w:tcPr>
          <w:p>
            <w:pPr>
              <w:ind w:left="620"/>
              <w:spacing w:after="0"/>
              <w:rPr>
                <w:sz w:val="20"/>
                <w:szCs w:val="20"/>
                <w:color w:val="auto"/>
              </w:rPr>
            </w:pPr>
            <w:r>
              <w:rPr>
                <w:rFonts w:ascii="Arial" w:cs="Arial" w:eastAsia="Arial" w:hAnsi="Arial"/>
                <w:sz w:val="18"/>
                <w:szCs w:val="18"/>
                <w:color w:val="auto"/>
              </w:rPr>
              <w:t>Senior Vice President and Chief Financial Officer</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Thomas J. Felmer</w:t>
            </w:r>
          </w:p>
        </w:tc>
        <w:tc>
          <w:tcPr>
            <w:tcW w:w="6340" w:type="dxa"/>
            <w:vAlign w:val="bottom"/>
          </w:tcPr>
          <w:p>
            <w:pPr>
              <w:ind w:left="620"/>
              <w:spacing w:after="0"/>
              <w:rPr>
                <w:sz w:val="20"/>
                <w:szCs w:val="20"/>
                <w:color w:val="auto"/>
              </w:rPr>
            </w:pPr>
            <w:r>
              <w:rPr>
                <w:rFonts w:ascii="Arial" w:cs="Arial" w:eastAsia="Arial" w:hAnsi="Arial"/>
                <w:sz w:val="18"/>
                <w:szCs w:val="18"/>
                <w:color w:val="auto"/>
              </w:rPr>
              <w:t>(Principal Financial Officer)</w:t>
            </w: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BEMIS</w:t>
            </w:r>
          </w:p>
        </w:tc>
        <w:tc>
          <w:tcPr>
            <w:tcW w:w="634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Richard A. Bemis</w:t>
            </w:r>
          </w:p>
        </w:tc>
        <w:tc>
          <w:tcPr>
            <w:tcW w:w="63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C. BUCHANAN</w:t>
            </w:r>
          </w:p>
        </w:tc>
        <w:tc>
          <w:tcPr>
            <w:tcW w:w="634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Robert C. Buchanan</w:t>
            </w:r>
          </w:p>
        </w:tc>
        <w:tc>
          <w:tcPr>
            <w:tcW w:w="63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C. RICHARDSON</w:t>
            </w:r>
          </w:p>
        </w:tc>
        <w:tc>
          <w:tcPr>
            <w:tcW w:w="634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Bradley C. Richardson</w:t>
            </w:r>
          </w:p>
        </w:tc>
        <w:tc>
          <w:tcPr>
            <w:tcW w:w="63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W. HARRIS</w:t>
            </w:r>
          </w:p>
        </w:tc>
        <w:tc>
          <w:tcPr>
            <w:tcW w:w="634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Frank W. Harris</w:t>
            </w:r>
          </w:p>
        </w:tc>
        <w:tc>
          <w:tcPr>
            <w:tcW w:w="63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R. JARC</w:t>
            </w:r>
          </w:p>
        </w:tc>
        <w:tc>
          <w:tcPr>
            <w:tcW w:w="634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Frank R. Jarc</w:t>
            </w:r>
          </w:p>
        </w:tc>
        <w:tc>
          <w:tcPr>
            <w:tcW w:w="63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CHAN W. GALBATO</w:t>
            </w:r>
          </w:p>
        </w:tc>
        <w:tc>
          <w:tcPr>
            <w:tcW w:w="634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Chan W. Galbato</w:t>
            </w:r>
          </w:p>
        </w:tc>
        <w:tc>
          <w:tcPr>
            <w:tcW w:w="63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E. NEI</w:t>
            </w:r>
          </w:p>
        </w:tc>
        <w:tc>
          <w:tcPr>
            <w:tcW w:w="634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Gary E. Nei</w:t>
            </w:r>
          </w:p>
        </w:tc>
        <w:tc>
          <w:tcPr>
            <w:tcW w:w="6340" w:type="dxa"/>
            <w:vAlign w:val="bottom"/>
          </w:tcPr>
          <w:p>
            <w:pPr>
              <w:spacing w:after="0"/>
              <w:rPr>
                <w:sz w:val="19"/>
                <w:szCs w:val="19"/>
                <w:color w:val="auto"/>
              </w:rPr>
            </w:pPr>
          </w:p>
        </w:tc>
      </w:tr>
      <w:tr>
        <w:trPr>
          <w:trHeight w:val="404"/>
        </w:trPr>
        <w:tc>
          <w:tcPr>
            <w:tcW w:w="5080" w:type="dxa"/>
            <w:vAlign w:val="bottom"/>
          </w:tcPr>
          <w:p>
            <w:pPr>
              <w:spacing w:after="0"/>
              <w:rPr>
                <w:sz w:val="24"/>
                <w:szCs w:val="24"/>
                <w:color w:val="auto"/>
              </w:rPr>
            </w:pPr>
          </w:p>
        </w:tc>
        <w:tc>
          <w:tcPr>
            <w:tcW w:w="6340" w:type="dxa"/>
            <w:vAlign w:val="bottom"/>
          </w:tcPr>
          <w:p>
            <w:pPr>
              <w:ind w:left="500"/>
              <w:spacing w:after="0"/>
              <w:rPr>
                <w:sz w:val="20"/>
                <w:szCs w:val="20"/>
                <w:color w:val="auto"/>
              </w:rPr>
            </w:pPr>
            <w:r>
              <w:rPr>
                <w:rFonts w:ascii="Arial" w:cs="Arial" w:eastAsia="Arial" w:hAnsi="Arial"/>
                <w:sz w:val="18"/>
                <w:szCs w:val="18"/>
                <w:color w:val="auto"/>
              </w:rPr>
              <w:t>S-1</w:t>
            </w:r>
          </w:p>
        </w:tc>
      </w:tr>
      <w:tr>
        <w:trPr>
          <w:trHeight w:val="226"/>
        </w:trPr>
        <w:tc>
          <w:tcPr>
            <w:tcW w:w="5080" w:type="dxa"/>
            <w:vAlign w:val="bottom"/>
            <w:tcBorders>
              <w:bottom w:val="single" w:sz="8" w:color="808080"/>
            </w:tcBorders>
          </w:tcPr>
          <w:p>
            <w:pPr>
              <w:spacing w:after="0"/>
              <w:rPr>
                <w:sz w:val="19"/>
                <w:szCs w:val="19"/>
                <w:color w:val="auto"/>
              </w:rPr>
            </w:pPr>
          </w:p>
        </w:tc>
        <w:tc>
          <w:tcPr>
            <w:tcW w:w="6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3320" w:type="dxa"/>
            <w:vAlign w:val="bottom"/>
            <w:gridSpan w:val="2"/>
          </w:tcPr>
          <w:p>
            <w:pPr>
              <w:ind w:left="180"/>
              <w:spacing w:after="0"/>
              <w:rPr>
                <w:sz w:val="20"/>
                <w:szCs w:val="20"/>
                <w:color w:val="auto"/>
              </w:rPr>
            </w:pPr>
            <w:r>
              <w:rPr>
                <w:rFonts w:ascii="Arial" w:cs="Arial" w:eastAsia="Arial" w:hAnsi="Arial"/>
                <w:sz w:val="14"/>
                <w:szCs w:val="14"/>
                <w:b w:val="1"/>
                <w:bCs w:val="1"/>
                <w:color w:val="auto"/>
              </w:rPr>
              <w:t>Signature</w:t>
            </w:r>
          </w:p>
        </w:tc>
        <w:tc>
          <w:tcPr>
            <w:tcW w:w="6040" w:type="dxa"/>
            <w:vAlign w:val="bottom"/>
          </w:tcPr>
          <w:p>
            <w:pPr>
              <w:ind w:left="3040"/>
              <w:spacing w:after="0"/>
              <w:rPr>
                <w:sz w:val="20"/>
                <w:szCs w:val="20"/>
                <w:color w:val="auto"/>
              </w:rPr>
            </w:pPr>
            <w:r>
              <w:rPr>
                <w:rFonts w:ascii="Arial" w:cs="Arial" w:eastAsia="Arial" w:hAnsi="Arial"/>
                <w:sz w:val="14"/>
                <w:szCs w:val="14"/>
                <w:b w:val="1"/>
                <w:bCs w:val="1"/>
                <w:color w:val="auto"/>
              </w:rPr>
              <w:t>Title</w:t>
            </w:r>
          </w:p>
        </w:tc>
      </w:t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/s/ CONRAD G. GOODKIND</w:t>
            </w:r>
          </w:p>
        </w:tc>
        <w:tc>
          <w:tcPr>
            <w:tcW w:w="604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Conrad G. Goodkind</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431"/>
        </w:trPr>
        <w:tc>
          <w:tcPr>
            <w:tcW w:w="5380" w:type="dxa"/>
            <w:vAlign w:val="bottom"/>
            <w:gridSpan w:val="3"/>
          </w:tcPr>
          <w:p>
            <w:pPr>
              <w:spacing w:after="0"/>
              <w:rPr>
                <w:sz w:val="20"/>
                <w:szCs w:val="20"/>
                <w:color w:val="auto"/>
              </w:rPr>
            </w:pPr>
            <w:r>
              <w:rPr>
                <w:rFonts w:ascii="Arial" w:cs="Arial" w:eastAsia="Arial" w:hAnsi="Arial"/>
                <w:sz w:val="18"/>
                <w:szCs w:val="18"/>
                <w:color w:val="auto"/>
              </w:rPr>
              <w:t>/s/ ELIZABETH P. PUNGELLO</w:t>
            </w:r>
          </w:p>
        </w:tc>
        <w:tc>
          <w:tcPr>
            <w:tcW w:w="604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Elizabeth P. Pungello</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431"/>
        </w:trPr>
        <w:tc>
          <w:tcPr>
            <w:tcW w:w="5380" w:type="dxa"/>
            <w:vAlign w:val="bottom"/>
            <w:gridSpan w:val="3"/>
          </w:tcPr>
          <w:p>
            <w:pPr>
              <w:spacing w:after="0"/>
              <w:rPr>
                <w:sz w:val="20"/>
                <w:szCs w:val="20"/>
                <w:color w:val="auto"/>
              </w:rPr>
            </w:pPr>
            <w:r>
              <w:rPr>
                <w:rFonts w:ascii="Arial" w:cs="Arial" w:eastAsia="Arial" w:hAnsi="Arial"/>
                <w:sz w:val="18"/>
                <w:szCs w:val="18"/>
                <w:color w:val="auto"/>
              </w:rPr>
              <w:t>/s/ PATRICK W. ALLENDER</w:t>
            </w:r>
          </w:p>
        </w:tc>
        <w:tc>
          <w:tcPr>
            <w:tcW w:w="604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Patrick W. Allender</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296"/>
        </w:trPr>
        <w:tc>
          <w:tcPr>
            <w:tcW w:w="2060" w:type="dxa"/>
            <w:vAlign w:val="bottom"/>
            <w:tcBorders>
              <w:bottom w:val="single" w:sz="8" w:color="auto"/>
            </w:tcBorders>
          </w:tcPr>
          <w:p>
            <w:pPr>
              <w:spacing w:after="0"/>
              <w:rPr>
                <w:sz w:val="24"/>
                <w:szCs w:val="24"/>
                <w:color w:val="auto"/>
              </w:rPr>
            </w:pPr>
          </w:p>
        </w:tc>
        <w:tc>
          <w:tcPr>
            <w:tcW w:w="3320" w:type="dxa"/>
            <w:vAlign w:val="bottom"/>
            <w:gridSpan w:val="2"/>
          </w:tcPr>
          <w:p>
            <w:pPr>
              <w:spacing w:after="0"/>
              <w:rPr>
                <w:sz w:val="24"/>
                <w:szCs w:val="24"/>
                <w:color w:val="auto"/>
              </w:rPr>
            </w:pPr>
          </w:p>
        </w:tc>
        <w:tc>
          <w:tcPr>
            <w:tcW w:w="6040" w:type="dxa"/>
            <w:vAlign w:val="bottom"/>
          </w:tcPr>
          <w:p>
            <w:pPr>
              <w:spacing w:after="0"/>
              <w:rPr>
                <w:sz w:val="24"/>
                <w:szCs w:val="24"/>
                <w:color w:val="auto"/>
              </w:rPr>
            </w:pPr>
          </w:p>
        </w:tc>
      </w:tr>
      <w:tr>
        <w:trPr>
          <w:trHeight w:val="277"/>
        </w:trPr>
        <w:tc>
          <w:tcPr>
            <w:tcW w:w="5380" w:type="dxa"/>
            <w:vAlign w:val="bottom"/>
            <w:gridSpan w:val="3"/>
          </w:tcPr>
          <w:p>
            <w:pPr>
              <w:spacing w:after="0"/>
              <w:rPr>
                <w:sz w:val="20"/>
                <w:szCs w:val="20"/>
                <w:color w:val="auto"/>
              </w:rPr>
            </w:pPr>
            <w:r>
              <w:rPr>
                <w:rFonts w:ascii="Arial" w:cs="Arial" w:eastAsia="Arial" w:hAnsi="Arial"/>
                <w:sz w:val="18"/>
                <w:szCs w:val="18"/>
                <w:color w:val="auto"/>
                <w:w w:val="90"/>
              </w:rPr>
              <w:t>*Each of the above signatures is affixed as of November 24, 2008.</w:t>
            </w:r>
          </w:p>
        </w:tc>
        <w:tc>
          <w:tcPr>
            <w:tcW w:w="6040" w:type="dxa"/>
            <w:vAlign w:val="bottom"/>
          </w:tcPr>
          <w:p>
            <w:pPr>
              <w:spacing w:after="0"/>
              <w:rPr>
                <w:sz w:val="24"/>
                <w:szCs w:val="24"/>
                <w:color w:val="auto"/>
              </w:rPr>
            </w:pPr>
          </w:p>
        </w:tc>
      </w:tr>
      <w:tr>
        <w:trPr>
          <w:trHeight w:val="392"/>
        </w:trPr>
        <w:tc>
          <w:tcPr>
            <w:tcW w:w="2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S-2</w:t>
            </w:r>
          </w:p>
        </w:tc>
      </w:tr>
      <w:tr>
        <w:trPr>
          <w:trHeight w:val="226"/>
        </w:trPr>
        <w:tc>
          <w:tcPr>
            <w:tcW w:w="206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20" w:type="dxa"/>
            <w:vAlign w:val="bottom"/>
          </w:tcPr>
          <w:p>
            <w:pPr>
              <w:ind w:left="180"/>
              <w:spacing w:after="0"/>
              <w:rPr>
                <w:sz w:val="20"/>
                <w:szCs w:val="20"/>
                <w:color w:val="auto"/>
              </w:rPr>
            </w:pPr>
            <w:r>
              <w:rPr>
                <w:rFonts w:ascii="Arial" w:cs="Arial" w:eastAsia="Arial" w:hAnsi="Arial"/>
                <w:sz w:val="14"/>
                <w:szCs w:val="14"/>
                <w:b w:val="1"/>
                <w:bCs w:val="1"/>
                <w:color w:val="auto"/>
              </w:rPr>
              <w:t>Signature</w:t>
            </w:r>
          </w:p>
        </w:tc>
        <w:tc>
          <w:tcPr>
            <w:tcW w:w="6340" w:type="dxa"/>
            <w:vAlign w:val="bottom"/>
          </w:tcPr>
          <w:p>
            <w:pPr>
              <w:ind w:left="3340"/>
              <w:spacing w:after="0"/>
              <w:rPr>
                <w:sz w:val="20"/>
                <w:szCs w:val="20"/>
                <w:color w:val="auto"/>
              </w:rPr>
            </w:pPr>
            <w:r>
              <w:rPr>
                <w:rFonts w:ascii="Arial" w:cs="Arial" w:eastAsia="Arial" w:hAnsi="Arial"/>
                <w:sz w:val="14"/>
                <w:szCs w:val="14"/>
                <w:b w:val="1"/>
                <w:bCs w:val="1"/>
                <w:color w:val="auto"/>
              </w:rPr>
              <w:t>Title</w:t>
            </w:r>
          </w:p>
        </w:tc>
      </w:tr>
      <w:tr>
        <w:trPr>
          <w:trHeight w:val="230"/>
        </w:trPr>
        <w:tc>
          <w:tcPr>
            <w:tcW w:w="5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KATHLEEN M. JOHNSON</w:t>
            </w:r>
          </w:p>
        </w:tc>
        <w:tc>
          <w:tcPr>
            <w:tcW w:w="6340" w:type="dxa"/>
            <w:vAlign w:val="bottom"/>
          </w:tcPr>
          <w:p>
            <w:pPr>
              <w:ind w:left="620"/>
              <w:spacing w:after="0"/>
              <w:rPr>
                <w:sz w:val="20"/>
                <w:szCs w:val="20"/>
                <w:color w:val="auto"/>
              </w:rPr>
            </w:pPr>
            <w:r>
              <w:rPr>
                <w:rFonts w:ascii="Arial" w:cs="Arial" w:eastAsia="Arial" w:hAnsi="Arial"/>
                <w:sz w:val="18"/>
                <w:szCs w:val="18"/>
                <w:color w:val="auto"/>
              </w:rPr>
              <w:t>Chief Accounting Officer</w:t>
            </w:r>
          </w:p>
        </w:tc>
      </w:tr>
      <w:tr>
        <w:trPr>
          <w:trHeight w:val="224"/>
        </w:trPr>
        <w:tc>
          <w:tcPr>
            <w:tcW w:w="5080" w:type="dxa"/>
            <w:vAlign w:val="bottom"/>
            <w:gridSpan w:val="3"/>
          </w:tcPr>
          <w:p>
            <w:pPr>
              <w:spacing w:after="0"/>
              <w:rPr>
                <w:sz w:val="20"/>
                <w:szCs w:val="20"/>
                <w:color w:val="auto"/>
              </w:rPr>
            </w:pPr>
            <w:r>
              <w:rPr>
                <w:rFonts w:ascii="Arial" w:cs="Arial" w:eastAsia="Arial" w:hAnsi="Arial"/>
                <w:sz w:val="18"/>
                <w:szCs w:val="18"/>
                <w:color w:val="auto"/>
              </w:rPr>
              <w:t>Kathleen M. Johnson</w:t>
            </w:r>
          </w:p>
        </w:tc>
        <w:tc>
          <w:tcPr>
            <w:tcW w:w="6340" w:type="dxa"/>
            <w:vAlign w:val="bottom"/>
          </w:tcPr>
          <w:p>
            <w:pPr>
              <w:spacing w:after="0"/>
              <w:rPr>
                <w:sz w:val="19"/>
                <w:szCs w:val="19"/>
                <w:color w:val="auto"/>
              </w:rPr>
            </w:pPr>
          </w:p>
        </w:tc>
      </w:tr>
      <w:tr>
        <w:trPr>
          <w:trHeight w:val="296"/>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180"/>
              <w:spacing w:after="0"/>
              <w:rPr>
                <w:sz w:val="20"/>
                <w:szCs w:val="20"/>
                <w:color w:val="auto"/>
              </w:rPr>
            </w:pPr>
            <w:r>
              <w:rPr>
                <w:rFonts w:ascii="Arial" w:cs="Arial" w:eastAsia="Arial" w:hAnsi="Arial"/>
                <w:sz w:val="18"/>
                <w:szCs w:val="18"/>
                <w:color w:val="auto"/>
              </w:rPr>
              <w:t>The above signature is affixed as of November 24, 2008.</w:t>
            </w:r>
          </w:p>
        </w:tc>
        <w:tc>
          <w:tcPr>
            <w:tcW w:w="63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340" w:type="dxa"/>
            <w:vAlign w:val="bottom"/>
          </w:tcPr>
          <w:p>
            <w:pPr>
              <w:ind w:left="500"/>
              <w:spacing w:after="0"/>
              <w:rPr>
                <w:sz w:val="20"/>
                <w:szCs w:val="20"/>
                <w:color w:val="auto"/>
              </w:rPr>
            </w:pPr>
            <w:r>
              <w:rPr>
                <w:rFonts w:ascii="Arial" w:cs="Arial" w:eastAsia="Arial" w:hAnsi="Arial"/>
                <w:sz w:val="18"/>
                <w:szCs w:val="18"/>
                <w:color w:val="auto"/>
              </w:rPr>
              <w:t>S-3</w:t>
            </w: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6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TRICOR DIRECT, INC.</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-130810</wp:posOffset>
            </wp:positionV>
            <wp:extent cx="26498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jc w:val="center"/>
        <w:ind w:left="46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320" w:type="dxa"/>
            <w:vAlign w:val="bottom"/>
            <w:gridSpan w:val="2"/>
          </w:tcPr>
          <w:p>
            <w:pPr>
              <w:ind w:left="180"/>
              <w:spacing w:after="0"/>
              <w:rPr>
                <w:sz w:val="20"/>
                <w:szCs w:val="20"/>
                <w:color w:val="auto"/>
              </w:rPr>
            </w:pPr>
            <w:r>
              <w:rPr>
                <w:rFonts w:ascii="Arial" w:cs="Arial" w:eastAsia="Arial" w:hAnsi="Arial"/>
                <w:sz w:val="14"/>
                <w:szCs w:val="14"/>
                <w:b w:val="1"/>
                <w:bCs w:val="1"/>
                <w:color w:val="auto"/>
              </w:rPr>
              <w:t>Signature</w:t>
            </w:r>
          </w:p>
        </w:tc>
        <w:tc>
          <w:tcPr>
            <w:tcW w:w="6040" w:type="dxa"/>
            <w:vAlign w:val="bottom"/>
          </w:tcPr>
          <w:p>
            <w:pPr>
              <w:ind w:left="3040"/>
              <w:spacing w:after="0"/>
              <w:rPr>
                <w:sz w:val="20"/>
                <w:szCs w:val="20"/>
                <w:color w:val="auto"/>
              </w:rPr>
            </w:pPr>
            <w:r>
              <w:rPr>
                <w:rFonts w:ascii="Arial" w:cs="Arial" w:eastAsia="Arial" w:hAnsi="Arial"/>
                <w:sz w:val="14"/>
                <w:szCs w:val="14"/>
                <w:b w:val="1"/>
                <w:bCs w:val="1"/>
                <w:color w:val="auto"/>
              </w:rPr>
              <w:t>Title</w:t>
            </w:r>
          </w:p>
        </w:tc>
      </w:tr>
      <w:tr>
        <w:trPr>
          <w:trHeight w:val="417"/>
        </w:trPr>
        <w:tc>
          <w:tcPr>
            <w:tcW w:w="5380" w:type="dxa"/>
            <w:vAlign w:val="bottom"/>
            <w:gridSpan w:val="4"/>
          </w:tcPr>
          <w:p>
            <w:pPr>
              <w:spacing w:after="0"/>
              <w:rPr>
                <w:sz w:val="20"/>
                <w:szCs w:val="20"/>
                <w:color w:val="auto"/>
              </w:rPr>
            </w:pPr>
            <w:r>
              <w:rPr>
                <w:rFonts w:ascii="Arial" w:cs="Arial" w:eastAsia="Arial" w:hAnsi="Arial"/>
                <w:sz w:val="18"/>
                <w:szCs w:val="18"/>
                <w:color w:val="auto"/>
              </w:rPr>
              <w:t>/s/ FRANK M. JAEHNERT</w:t>
            </w:r>
          </w:p>
        </w:tc>
        <w:tc>
          <w:tcPr>
            <w:tcW w:w="6040" w:type="dxa"/>
            <w:vAlign w:val="bottom"/>
          </w:tcPr>
          <w:p>
            <w:pPr>
              <w:ind w:left="32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Frank M. Jaehnert</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431"/>
        </w:trPr>
        <w:tc>
          <w:tcPr>
            <w:tcW w:w="5380" w:type="dxa"/>
            <w:vAlign w:val="bottom"/>
            <w:gridSpan w:val="4"/>
          </w:tcPr>
          <w:p>
            <w:pPr>
              <w:spacing w:after="0"/>
              <w:rPr>
                <w:sz w:val="20"/>
                <w:szCs w:val="20"/>
                <w:color w:val="auto"/>
              </w:rPr>
            </w:pPr>
            <w:r>
              <w:rPr>
                <w:rFonts w:ascii="Arial" w:cs="Arial" w:eastAsia="Arial" w:hAnsi="Arial"/>
                <w:sz w:val="18"/>
                <w:szCs w:val="18"/>
                <w:color w:val="auto"/>
              </w:rPr>
              <w:t>/s/ THOMAS J. FELMER</w:t>
            </w:r>
          </w:p>
        </w:tc>
        <w:tc>
          <w:tcPr>
            <w:tcW w:w="6040" w:type="dxa"/>
            <w:vAlign w:val="bottom"/>
          </w:tcPr>
          <w:p>
            <w:pPr>
              <w:ind w:left="320"/>
              <w:spacing w:after="0"/>
              <w:rPr>
                <w:sz w:val="20"/>
                <w:szCs w:val="20"/>
                <w:color w:val="auto"/>
              </w:rPr>
            </w:pPr>
            <w:r>
              <w:rPr>
                <w:rFonts w:ascii="Arial" w:cs="Arial" w:eastAsia="Arial" w:hAnsi="Arial"/>
                <w:sz w:val="18"/>
                <w:szCs w:val="18"/>
                <w:color w:val="auto"/>
              </w:rPr>
              <w:t>Senior Vice President (Principal Financial Officer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Thomas J. Felmer</w:t>
            </w:r>
          </w:p>
        </w:tc>
        <w:tc>
          <w:tcPr>
            <w:tcW w:w="300" w:type="dxa"/>
            <w:vAlign w:val="bottom"/>
          </w:tcPr>
          <w:p>
            <w:pPr>
              <w:spacing w:after="0"/>
              <w:rPr>
                <w:sz w:val="19"/>
                <w:szCs w:val="19"/>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and Principal Accounting Officer) and Director</w:t>
            </w:r>
          </w:p>
        </w:tc>
      </w:tr>
      <w:tr>
        <w:trPr>
          <w:trHeight w:val="431"/>
        </w:trPr>
        <w:tc>
          <w:tcPr>
            <w:tcW w:w="5380" w:type="dxa"/>
            <w:vAlign w:val="bottom"/>
            <w:gridSpan w:val="4"/>
          </w:tcPr>
          <w:p>
            <w:pPr>
              <w:spacing w:after="0"/>
              <w:rPr>
                <w:sz w:val="20"/>
                <w:szCs w:val="20"/>
                <w:color w:val="auto"/>
              </w:rPr>
            </w:pPr>
            <w:r>
              <w:rPr>
                <w:rFonts w:ascii="Arial" w:cs="Arial" w:eastAsia="Arial" w:hAnsi="Arial"/>
                <w:sz w:val="18"/>
                <w:szCs w:val="18"/>
                <w:color w:val="auto"/>
              </w:rPr>
              <w:t>/s/ HOYT R. STASTNEY</w:t>
            </w:r>
          </w:p>
        </w:tc>
        <w:tc>
          <w:tcPr>
            <w:tcW w:w="604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Hoyt R. Stastney</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296"/>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320" w:type="dxa"/>
            <w:vAlign w:val="bottom"/>
            <w:gridSpan w:val="2"/>
          </w:tcPr>
          <w:p>
            <w:pPr>
              <w:spacing w:after="0"/>
              <w:rPr>
                <w:sz w:val="24"/>
                <w:szCs w:val="24"/>
                <w:color w:val="auto"/>
              </w:rPr>
            </w:pPr>
          </w:p>
        </w:tc>
        <w:tc>
          <w:tcPr>
            <w:tcW w:w="604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w w:val="93"/>
              </w:rPr>
              <w:t>Each of the above signatures is affixed as of November 24, 2008.</w:t>
            </w:r>
          </w:p>
        </w:tc>
        <w:tc>
          <w:tcPr>
            <w:tcW w:w="60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S-4</w:t>
            </w: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WORLDMARK OF WISCONSIN INCORPORATED</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320" w:type="dxa"/>
            <w:vAlign w:val="bottom"/>
            <w:gridSpan w:val="2"/>
          </w:tcPr>
          <w:p>
            <w:pPr>
              <w:ind w:left="180"/>
              <w:spacing w:after="0"/>
              <w:rPr>
                <w:sz w:val="20"/>
                <w:szCs w:val="20"/>
                <w:color w:val="auto"/>
              </w:rPr>
            </w:pPr>
            <w:r>
              <w:rPr>
                <w:rFonts w:ascii="Arial" w:cs="Arial" w:eastAsia="Arial" w:hAnsi="Arial"/>
                <w:sz w:val="14"/>
                <w:szCs w:val="14"/>
                <w:b w:val="1"/>
                <w:bCs w:val="1"/>
                <w:color w:val="auto"/>
              </w:rPr>
              <w:t>Signature</w:t>
            </w:r>
          </w:p>
        </w:tc>
        <w:tc>
          <w:tcPr>
            <w:tcW w:w="6040" w:type="dxa"/>
            <w:vAlign w:val="bottom"/>
          </w:tcPr>
          <w:p>
            <w:pPr>
              <w:ind w:left="3040"/>
              <w:spacing w:after="0"/>
              <w:rPr>
                <w:sz w:val="20"/>
                <w:szCs w:val="20"/>
                <w:color w:val="auto"/>
              </w:rPr>
            </w:pPr>
            <w:r>
              <w:rPr>
                <w:rFonts w:ascii="Arial" w:cs="Arial" w:eastAsia="Arial" w:hAnsi="Arial"/>
                <w:sz w:val="14"/>
                <w:szCs w:val="14"/>
                <w:b w:val="1"/>
                <w:bCs w:val="1"/>
                <w:color w:val="auto"/>
              </w:rPr>
              <w:t>Title</w:t>
            </w:r>
          </w:p>
        </w:tc>
      </w:tr>
      <w:tr>
        <w:trPr>
          <w:trHeight w:val="417"/>
        </w:trPr>
        <w:tc>
          <w:tcPr>
            <w:tcW w:w="5380" w:type="dxa"/>
            <w:vAlign w:val="bottom"/>
            <w:gridSpan w:val="4"/>
          </w:tcPr>
          <w:p>
            <w:pPr>
              <w:spacing w:after="0"/>
              <w:rPr>
                <w:sz w:val="20"/>
                <w:szCs w:val="20"/>
                <w:color w:val="auto"/>
              </w:rPr>
            </w:pPr>
            <w:r>
              <w:rPr>
                <w:rFonts w:ascii="Arial" w:cs="Arial" w:eastAsia="Arial" w:hAnsi="Arial"/>
                <w:sz w:val="18"/>
                <w:szCs w:val="18"/>
                <w:color w:val="auto"/>
              </w:rPr>
              <w:t>/s/ FRANK M. JAEHNERT</w:t>
            </w:r>
          </w:p>
        </w:tc>
        <w:tc>
          <w:tcPr>
            <w:tcW w:w="6040" w:type="dxa"/>
            <w:vAlign w:val="bottom"/>
          </w:tcPr>
          <w:p>
            <w:pPr>
              <w:ind w:left="32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Frank M. Jaehnert</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431"/>
        </w:trPr>
        <w:tc>
          <w:tcPr>
            <w:tcW w:w="5380" w:type="dxa"/>
            <w:vAlign w:val="bottom"/>
            <w:gridSpan w:val="4"/>
          </w:tcPr>
          <w:p>
            <w:pPr>
              <w:spacing w:after="0"/>
              <w:rPr>
                <w:sz w:val="20"/>
                <w:szCs w:val="20"/>
                <w:color w:val="auto"/>
              </w:rPr>
            </w:pPr>
            <w:r>
              <w:rPr>
                <w:rFonts w:ascii="Arial" w:cs="Arial" w:eastAsia="Arial" w:hAnsi="Arial"/>
                <w:sz w:val="18"/>
                <w:szCs w:val="18"/>
                <w:color w:val="auto"/>
              </w:rPr>
              <w:t>/s/ THOMAS J. FELMER</w:t>
            </w:r>
          </w:p>
        </w:tc>
        <w:tc>
          <w:tcPr>
            <w:tcW w:w="6040" w:type="dxa"/>
            <w:vAlign w:val="bottom"/>
          </w:tcPr>
          <w:p>
            <w:pPr>
              <w:ind w:left="320"/>
              <w:spacing w:after="0"/>
              <w:rPr>
                <w:sz w:val="20"/>
                <w:szCs w:val="20"/>
                <w:color w:val="auto"/>
              </w:rPr>
            </w:pPr>
            <w:r>
              <w:rPr>
                <w:rFonts w:ascii="Arial" w:cs="Arial" w:eastAsia="Arial" w:hAnsi="Arial"/>
                <w:sz w:val="18"/>
                <w:szCs w:val="18"/>
                <w:color w:val="auto"/>
              </w:rPr>
              <w:t>Senior Vice President (Principal Financial and</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Thomas J. Felmer</w:t>
            </w:r>
          </w:p>
        </w:tc>
        <w:tc>
          <w:tcPr>
            <w:tcW w:w="300" w:type="dxa"/>
            <w:vAlign w:val="bottom"/>
          </w:tcPr>
          <w:p>
            <w:pPr>
              <w:spacing w:after="0"/>
              <w:rPr>
                <w:sz w:val="19"/>
                <w:szCs w:val="19"/>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Accounting Officer) and Director</w:t>
            </w:r>
          </w:p>
        </w:tc>
      </w:tr>
      <w:tr>
        <w:trPr>
          <w:trHeight w:val="431"/>
        </w:trPr>
        <w:tc>
          <w:tcPr>
            <w:tcW w:w="5380" w:type="dxa"/>
            <w:vAlign w:val="bottom"/>
            <w:gridSpan w:val="4"/>
          </w:tcPr>
          <w:p>
            <w:pPr>
              <w:spacing w:after="0"/>
              <w:rPr>
                <w:sz w:val="20"/>
                <w:szCs w:val="20"/>
                <w:color w:val="auto"/>
              </w:rPr>
            </w:pPr>
            <w:r>
              <w:rPr>
                <w:rFonts w:ascii="Arial" w:cs="Arial" w:eastAsia="Arial" w:hAnsi="Arial"/>
                <w:sz w:val="18"/>
                <w:szCs w:val="18"/>
                <w:color w:val="auto"/>
              </w:rPr>
              <w:t>/s/ HOYT R. STASTNEY</w:t>
            </w:r>
          </w:p>
        </w:tc>
        <w:tc>
          <w:tcPr>
            <w:tcW w:w="604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Hoyt R. Stastney</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296"/>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320" w:type="dxa"/>
            <w:vAlign w:val="bottom"/>
            <w:gridSpan w:val="2"/>
          </w:tcPr>
          <w:p>
            <w:pPr>
              <w:spacing w:after="0"/>
              <w:rPr>
                <w:sz w:val="24"/>
                <w:szCs w:val="24"/>
                <w:color w:val="auto"/>
              </w:rPr>
            </w:pPr>
          </w:p>
        </w:tc>
        <w:tc>
          <w:tcPr>
            <w:tcW w:w="604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w w:val="93"/>
              </w:rPr>
              <w:t>Each of the above signatures is affixed as of November 24, 2008.</w:t>
            </w:r>
          </w:p>
        </w:tc>
        <w:tc>
          <w:tcPr>
            <w:tcW w:w="60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S-5</w:t>
            </w: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November 24, 2008.</w:t>
      </w:r>
    </w:p>
    <w:p>
      <w:pPr>
        <w:spacing w:after="0" w:line="200" w:lineRule="exact"/>
        <w:rPr>
          <w:sz w:val="20"/>
          <w:szCs w:val="20"/>
          <w:color w:val="auto"/>
        </w:rPr>
      </w:pPr>
    </w:p>
    <w:p>
      <w:pPr>
        <w:spacing w:after="0" w:line="30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BRADY INVESTMENT CO.</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IVAN FARRIS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Ivan Farris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 Treasurer and Secretary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320" w:type="dxa"/>
            <w:vAlign w:val="bottom"/>
            <w:gridSpan w:val="2"/>
          </w:tcPr>
          <w:p>
            <w:pPr>
              <w:ind w:left="180"/>
              <w:spacing w:after="0"/>
              <w:rPr>
                <w:sz w:val="20"/>
                <w:szCs w:val="20"/>
                <w:color w:val="auto"/>
              </w:rPr>
            </w:pPr>
            <w:r>
              <w:rPr>
                <w:rFonts w:ascii="Arial" w:cs="Arial" w:eastAsia="Arial" w:hAnsi="Arial"/>
                <w:sz w:val="14"/>
                <w:szCs w:val="14"/>
                <w:b w:val="1"/>
                <w:bCs w:val="1"/>
                <w:color w:val="auto"/>
              </w:rPr>
              <w:t>Signature</w:t>
            </w:r>
          </w:p>
        </w:tc>
        <w:tc>
          <w:tcPr>
            <w:tcW w:w="6040" w:type="dxa"/>
            <w:vAlign w:val="bottom"/>
          </w:tcPr>
          <w:p>
            <w:pPr>
              <w:ind w:left="3040"/>
              <w:spacing w:after="0"/>
              <w:rPr>
                <w:sz w:val="20"/>
                <w:szCs w:val="20"/>
                <w:color w:val="auto"/>
              </w:rPr>
            </w:pPr>
            <w:r>
              <w:rPr>
                <w:rFonts w:ascii="Arial" w:cs="Arial" w:eastAsia="Arial" w:hAnsi="Arial"/>
                <w:sz w:val="14"/>
                <w:szCs w:val="14"/>
                <w:b w:val="1"/>
                <w:bCs w:val="1"/>
                <w:color w:val="auto"/>
              </w:rPr>
              <w:t>Title</w:t>
            </w:r>
          </w:p>
        </w:tc>
      </w:tr>
      <w:tr>
        <w:trPr>
          <w:trHeight w:val="417"/>
        </w:trPr>
        <w:tc>
          <w:tcPr>
            <w:tcW w:w="5380" w:type="dxa"/>
            <w:vAlign w:val="bottom"/>
            <w:gridSpan w:val="4"/>
          </w:tcPr>
          <w:p>
            <w:pPr>
              <w:spacing w:after="0"/>
              <w:rPr>
                <w:sz w:val="20"/>
                <w:szCs w:val="20"/>
                <w:color w:val="auto"/>
              </w:rPr>
            </w:pPr>
            <w:r>
              <w:rPr>
                <w:rFonts w:ascii="Arial" w:cs="Arial" w:eastAsia="Arial" w:hAnsi="Arial"/>
                <w:sz w:val="18"/>
                <w:szCs w:val="18"/>
                <w:color w:val="auto"/>
              </w:rPr>
              <w:t>/s/ IVAN FARRIS</w:t>
            </w:r>
          </w:p>
        </w:tc>
        <w:tc>
          <w:tcPr>
            <w:tcW w:w="6040" w:type="dxa"/>
            <w:vAlign w:val="bottom"/>
          </w:tcPr>
          <w:p>
            <w:pPr>
              <w:ind w:left="320"/>
              <w:spacing w:after="0"/>
              <w:rPr>
                <w:sz w:val="20"/>
                <w:szCs w:val="20"/>
                <w:color w:val="auto"/>
              </w:rPr>
            </w:pPr>
            <w:r>
              <w:rPr>
                <w:rFonts w:ascii="Arial" w:cs="Arial" w:eastAsia="Arial" w:hAnsi="Arial"/>
                <w:sz w:val="18"/>
                <w:szCs w:val="18"/>
                <w:color w:val="auto"/>
                <w:w w:val="98"/>
              </w:rPr>
              <w:t>President, Treasurer and Secretary (Principal Executive Officer; Principal</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Ivan Farris</w:t>
            </w:r>
          </w:p>
        </w:tc>
        <w:tc>
          <w:tcPr>
            <w:tcW w:w="300" w:type="dxa"/>
            <w:vAlign w:val="bottom"/>
          </w:tcPr>
          <w:p>
            <w:pPr>
              <w:spacing w:after="0"/>
              <w:rPr>
                <w:sz w:val="19"/>
                <w:szCs w:val="19"/>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Financial Officer and Principal Accounting Officer); Director</w:t>
            </w:r>
          </w:p>
        </w:tc>
      </w:tr>
      <w:tr>
        <w:trPr>
          <w:trHeight w:val="431"/>
        </w:trPr>
        <w:tc>
          <w:tcPr>
            <w:tcW w:w="5380" w:type="dxa"/>
            <w:vAlign w:val="bottom"/>
            <w:gridSpan w:val="4"/>
          </w:tcPr>
          <w:p>
            <w:pPr>
              <w:spacing w:after="0"/>
              <w:rPr>
                <w:sz w:val="20"/>
                <w:szCs w:val="20"/>
                <w:color w:val="auto"/>
              </w:rPr>
            </w:pPr>
            <w:r>
              <w:rPr>
                <w:rFonts w:ascii="Arial" w:cs="Arial" w:eastAsia="Arial" w:hAnsi="Arial"/>
                <w:sz w:val="18"/>
                <w:szCs w:val="18"/>
                <w:color w:val="auto"/>
              </w:rPr>
              <w:t>/s/ FRANK M. JAEHNERT</w:t>
            </w:r>
          </w:p>
        </w:tc>
        <w:tc>
          <w:tcPr>
            <w:tcW w:w="604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Frank M. Jaehnert</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431"/>
        </w:trPr>
        <w:tc>
          <w:tcPr>
            <w:tcW w:w="5380" w:type="dxa"/>
            <w:vAlign w:val="bottom"/>
            <w:gridSpan w:val="4"/>
          </w:tcPr>
          <w:p>
            <w:pPr>
              <w:spacing w:after="0"/>
              <w:rPr>
                <w:sz w:val="20"/>
                <w:szCs w:val="20"/>
                <w:color w:val="auto"/>
              </w:rPr>
            </w:pPr>
            <w:r>
              <w:rPr>
                <w:rFonts w:ascii="Arial" w:cs="Arial" w:eastAsia="Arial" w:hAnsi="Arial"/>
                <w:sz w:val="18"/>
                <w:szCs w:val="18"/>
                <w:color w:val="auto"/>
              </w:rPr>
              <w:t>/s/ BARBARA G. BOLENS</w:t>
            </w:r>
          </w:p>
        </w:tc>
        <w:tc>
          <w:tcPr>
            <w:tcW w:w="604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Barbara G. Bolens</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431"/>
        </w:trPr>
        <w:tc>
          <w:tcPr>
            <w:tcW w:w="5380" w:type="dxa"/>
            <w:vAlign w:val="bottom"/>
            <w:gridSpan w:val="4"/>
          </w:tcPr>
          <w:p>
            <w:pPr>
              <w:spacing w:after="0"/>
              <w:rPr>
                <w:sz w:val="20"/>
                <w:szCs w:val="20"/>
                <w:color w:val="auto"/>
              </w:rPr>
            </w:pPr>
            <w:r>
              <w:rPr>
                <w:rFonts w:ascii="Arial" w:cs="Arial" w:eastAsia="Arial" w:hAnsi="Arial"/>
                <w:sz w:val="18"/>
                <w:szCs w:val="18"/>
                <w:color w:val="auto"/>
              </w:rPr>
              <w:t>/s/ THOMAS J. FELMER</w:t>
            </w:r>
          </w:p>
        </w:tc>
        <w:tc>
          <w:tcPr>
            <w:tcW w:w="604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Thomas J. Felmer</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296"/>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320" w:type="dxa"/>
            <w:vAlign w:val="bottom"/>
            <w:gridSpan w:val="2"/>
          </w:tcPr>
          <w:p>
            <w:pPr>
              <w:spacing w:after="0"/>
              <w:rPr>
                <w:sz w:val="24"/>
                <w:szCs w:val="24"/>
                <w:color w:val="auto"/>
              </w:rPr>
            </w:pPr>
          </w:p>
        </w:tc>
        <w:tc>
          <w:tcPr>
            <w:tcW w:w="604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w w:val="93"/>
              </w:rPr>
              <w:t>Each of the above signatures is affixed as of November 24, 2008.</w:t>
            </w:r>
          </w:p>
        </w:tc>
        <w:tc>
          <w:tcPr>
            <w:tcW w:w="60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S-6</w:t>
            </w: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BRADY INTERNATIONAL CO.</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320" w:type="dxa"/>
            <w:vAlign w:val="bottom"/>
            <w:gridSpan w:val="2"/>
          </w:tcPr>
          <w:p>
            <w:pPr>
              <w:ind w:left="180"/>
              <w:spacing w:after="0"/>
              <w:rPr>
                <w:sz w:val="20"/>
                <w:szCs w:val="20"/>
                <w:color w:val="auto"/>
              </w:rPr>
            </w:pPr>
            <w:r>
              <w:rPr>
                <w:rFonts w:ascii="Arial" w:cs="Arial" w:eastAsia="Arial" w:hAnsi="Arial"/>
                <w:sz w:val="14"/>
                <w:szCs w:val="14"/>
                <w:b w:val="1"/>
                <w:bCs w:val="1"/>
                <w:color w:val="auto"/>
              </w:rPr>
              <w:t>Signature</w:t>
            </w:r>
          </w:p>
        </w:tc>
        <w:tc>
          <w:tcPr>
            <w:tcW w:w="6040" w:type="dxa"/>
            <w:vAlign w:val="bottom"/>
          </w:tcPr>
          <w:p>
            <w:pPr>
              <w:ind w:left="3040"/>
              <w:spacing w:after="0"/>
              <w:rPr>
                <w:sz w:val="20"/>
                <w:szCs w:val="20"/>
                <w:color w:val="auto"/>
              </w:rPr>
            </w:pPr>
            <w:r>
              <w:rPr>
                <w:rFonts w:ascii="Arial" w:cs="Arial" w:eastAsia="Arial" w:hAnsi="Arial"/>
                <w:sz w:val="14"/>
                <w:szCs w:val="14"/>
                <w:b w:val="1"/>
                <w:bCs w:val="1"/>
                <w:color w:val="auto"/>
              </w:rPr>
              <w:t>Title</w:t>
            </w:r>
          </w:p>
        </w:tc>
      </w:tr>
      <w:tr>
        <w:trPr>
          <w:trHeight w:val="417"/>
        </w:trPr>
        <w:tc>
          <w:tcPr>
            <w:tcW w:w="5380" w:type="dxa"/>
            <w:vAlign w:val="bottom"/>
            <w:gridSpan w:val="4"/>
          </w:tcPr>
          <w:p>
            <w:pPr>
              <w:spacing w:after="0"/>
              <w:rPr>
                <w:sz w:val="20"/>
                <w:szCs w:val="20"/>
                <w:color w:val="auto"/>
              </w:rPr>
            </w:pPr>
            <w:r>
              <w:rPr>
                <w:rFonts w:ascii="Arial" w:cs="Arial" w:eastAsia="Arial" w:hAnsi="Arial"/>
                <w:sz w:val="18"/>
                <w:szCs w:val="18"/>
                <w:color w:val="auto"/>
              </w:rPr>
              <w:t>/s/ FRANK M. JAEHNERT</w:t>
            </w:r>
          </w:p>
        </w:tc>
        <w:tc>
          <w:tcPr>
            <w:tcW w:w="6040" w:type="dxa"/>
            <w:vAlign w:val="bottom"/>
          </w:tcPr>
          <w:p>
            <w:pPr>
              <w:ind w:left="32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Frank M Jaehnert</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431"/>
        </w:trPr>
        <w:tc>
          <w:tcPr>
            <w:tcW w:w="5380" w:type="dxa"/>
            <w:vAlign w:val="bottom"/>
            <w:gridSpan w:val="4"/>
          </w:tcPr>
          <w:p>
            <w:pPr>
              <w:spacing w:after="0"/>
              <w:rPr>
                <w:sz w:val="20"/>
                <w:szCs w:val="20"/>
                <w:color w:val="auto"/>
              </w:rPr>
            </w:pPr>
            <w:r>
              <w:rPr>
                <w:rFonts w:ascii="Arial" w:cs="Arial" w:eastAsia="Arial" w:hAnsi="Arial"/>
                <w:sz w:val="18"/>
                <w:szCs w:val="18"/>
                <w:color w:val="auto"/>
              </w:rPr>
              <w:t>/s/ THOMAS J. FELMER</w:t>
            </w:r>
          </w:p>
        </w:tc>
        <w:tc>
          <w:tcPr>
            <w:tcW w:w="6040" w:type="dxa"/>
            <w:vAlign w:val="bottom"/>
          </w:tcPr>
          <w:p>
            <w:pPr>
              <w:ind w:left="320"/>
              <w:spacing w:after="0"/>
              <w:rPr>
                <w:sz w:val="20"/>
                <w:szCs w:val="20"/>
                <w:color w:val="auto"/>
              </w:rPr>
            </w:pPr>
            <w:r>
              <w:rPr>
                <w:rFonts w:ascii="Arial" w:cs="Arial" w:eastAsia="Arial" w:hAnsi="Arial"/>
                <w:sz w:val="18"/>
                <w:szCs w:val="18"/>
                <w:color w:val="auto"/>
              </w:rPr>
              <w:t>Senior Vice President and 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Thomas J. Felmer</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431"/>
        </w:trPr>
        <w:tc>
          <w:tcPr>
            <w:tcW w:w="5380" w:type="dxa"/>
            <w:vAlign w:val="bottom"/>
            <w:gridSpan w:val="4"/>
          </w:tcPr>
          <w:p>
            <w:pPr>
              <w:spacing w:after="0"/>
              <w:rPr>
                <w:sz w:val="20"/>
                <w:szCs w:val="20"/>
                <w:color w:val="auto"/>
              </w:rPr>
            </w:pPr>
            <w:r>
              <w:rPr>
                <w:rFonts w:ascii="Arial" w:cs="Arial" w:eastAsia="Arial" w:hAnsi="Arial"/>
                <w:sz w:val="18"/>
                <w:szCs w:val="18"/>
                <w:color w:val="auto"/>
              </w:rPr>
              <w:t>/s/ HOYT R. STASTNEY</w:t>
            </w:r>
          </w:p>
        </w:tc>
        <w:tc>
          <w:tcPr>
            <w:tcW w:w="604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Hoyt R. Stastney</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296"/>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320" w:type="dxa"/>
            <w:vAlign w:val="bottom"/>
            <w:gridSpan w:val="2"/>
          </w:tcPr>
          <w:p>
            <w:pPr>
              <w:spacing w:after="0"/>
              <w:rPr>
                <w:sz w:val="24"/>
                <w:szCs w:val="24"/>
                <w:color w:val="auto"/>
              </w:rPr>
            </w:pPr>
          </w:p>
        </w:tc>
        <w:tc>
          <w:tcPr>
            <w:tcW w:w="604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w w:val="93"/>
              </w:rPr>
              <w:t>Each of the above signatures is affixed as of November 24, 2008.</w:t>
            </w:r>
          </w:p>
        </w:tc>
        <w:tc>
          <w:tcPr>
            <w:tcW w:w="60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S-7</w:t>
            </w: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BRADY WORLDWIDE, INC.</w:t>
      </w:r>
    </w:p>
    <w:p>
      <w:pPr>
        <w:spacing w:after="0" w:line="225" w:lineRule="exact"/>
        <w:rPr>
          <w:sz w:val="20"/>
          <w:szCs w:val="20"/>
          <w:color w:val="auto"/>
        </w:rPr>
      </w:pPr>
    </w:p>
    <w:p>
      <w:pPr>
        <w:ind w:left="53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FRANK M. JAEHNERT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320" w:type="dxa"/>
            <w:vAlign w:val="bottom"/>
            <w:gridSpan w:val="2"/>
          </w:tcPr>
          <w:p>
            <w:pPr>
              <w:ind w:left="180"/>
              <w:spacing w:after="0"/>
              <w:rPr>
                <w:sz w:val="20"/>
                <w:szCs w:val="20"/>
                <w:color w:val="auto"/>
              </w:rPr>
            </w:pPr>
            <w:r>
              <w:rPr>
                <w:rFonts w:ascii="Arial" w:cs="Arial" w:eastAsia="Arial" w:hAnsi="Arial"/>
                <w:sz w:val="14"/>
                <w:szCs w:val="14"/>
                <w:b w:val="1"/>
                <w:bCs w:val="1"/>
                <w:color w:val="auto"/>
              </w:rPr>
              <w:t>Signature</w:t>
            </w:r>
          </w:p>
        </w:tc>
        <w:tc>
          <w:tcPr>
            <w:tcW w:w="6040" w:type="dxa"/>
            <w:vAlign w:val="bottom"/>
          </w:tcPr>
          <w:p>
            <w:pPr>
              <w:ind w:left="3040"/>
              <w:spacing w:after="0"/>
              <w:rPr>
                <w:sz w:val="20"/>
                <w:szCs w:val="20"/>
                <w:color w:val="auto"/>
              </w:rPr>
            </w:pPr>
            <w:r>
              <w:rPr>
                <w:rFonts w:ascii="Arial" w:cs="Arial" w:eastAsia="Arial" w:hAnsi="Arial"/>
                <w:sz w:val="14"/>
                <w:szCs w:val="14"/>
                <w:b w:val="1"/>
                <w:bCs w:val="1"/>
                <w:color w:val="auto"/>
              </w:rPr>
              <w:t>Title</w:t>
            </w:r>
          </w:p>
        </w:tc>
      </w:tr>
      <w:tr>
        <w:trPr>
          <w:trHeight w:val="417"/>
        </w:trPr>
        <w:tc>
          <w:tcPr>
            <w:tcW w:w="5380" w:type="dxa"/>
            <w:vAlign w:val="bottom"/>
            <w:gridSpan w:val="4"/>
          </w:tcPr>
          <w:p>
            <w:pPr>
              <w:spacing w:after="0"/>
              <w:rPr>
                <w:sz w:val="20"/>
                <w:szCs w:val="20"/>
                <w:color w:val="auto"/>
              </w:rPr>
            </w:pPr>
            <w:r>
              <w:rPr>
                <w:rFonts w:ascii="Arial" w:cs="Arial" w:eastAsia="Arial" w:hAnsi="Arial"/>
                <w:sz w:val="18"/>
                <w:szCs w:val="18"/>
                <w:color w:val="auto"/>
              </w:rPr>
              <w:t>/s/ FRANK M. JAEHNERT</w:t>
            </w:r>
          </w:p>
        </w:tc>
        <w:tc>
          <w:tcPr>
            <w:tcW w:w="6040" w:type="dxa"/>
            <w:vAlign w:val="bottom"/>
          </w:tcPr>
          <w:p>
            <w:pPr>
              <w:ind w:left="32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Frank M. Jaehnert</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431"/>
        </w:trPr>
        <w:tc>
          <w:tcPr>
            <w:tcW w:w="5380" w:type="dxa"/>
            <w:vAlign w:val="bottom"/>
            <w:gridSpan w:val="4"/>
          </w:tcPr>
          <w:p>
            <w:pPr>
              <w:spacing w:after="0"/>
              <w:rPr>
                <w:sz w:val="20"/>
                <w:szCs w:val="20"/>
                <w:color w:val="auto"/>
              </w:rPr>
            </w:pPr>
            <w:r>
              <w:rPr>
                <w:rFonts w:ascii="Arial" w:cs="Arial" w:eastAsia="Arial" w:hAnsi="Arial"/>
                <w:sz w:val="18"/>
                <w:szCs w:val="18"/>
                <w:color w:val="auto"/>
              </w:rPr>
              <w:t>/s/ THOMAS J. FELMER</w:t>
            </w:r>
          </w:p>
        </w:tc>
        <w:tc>
          <w:tcPr>
            <w:tcW w:w="6040" w:type="dxa"/>
            <w:vAlign w:val="bottom"/>
          </w:tcPr>
          <w:p>
            <w:pPr>
              <w:ind w:left="320"/>
              <w:spacing w:after="0"/>
              <w:rPr>
                <w:sz w:val="20"/>
                <w:szCs w:val="20"/>
                <w:color w:val="auto"/>
              </w:rPr>
            </w:pPr>
            <w:r>
              <w:rPr>
                <w:rFonts w:ascii="Arial" w:cs="Arial" w:eastAsia="Arial" w:hAnsi="Arial"/>
                <w:sz w:val="18"/>
                <w:szCs w:val="18"/>
                <w:color w:val="auto"/>
              </w:rPr>
              <w:t>Vice President (Principal Financial and Accounting Officer); 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Thomas J. Felmer</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431"/>
        </w:trPr>
        <w:tc>
          <w:tcPr>
            <w:tcW w:w="5380" w:type="dxa"/>
            <w:vAlign w:val="bottom"/>
            <w:gridSpan w:val="4"/>
          </w:tcPr>
          <w:p>
            <w:pPr>
              <w:spacing w:after="0"/>
              <w:rPr>
                <w:sz w:val="20"/>
                <w:szCs w:val="20"/>
                <w:color w:val="auto"/>
              </w:rPr>
            </w:pPr>
            <w:r>
              <w:rPr>
                <w:rFonts w:ascii="Arial" w:cs="Arial" w:eastAsia="Arial" w:hAnsi="Arial"/>
                <w:sz w:val="18"/>
                <w:szCs w:val="18"/>
                <w:color w:val="auto"/>
              </w:rPr>
              <w:t>/s/ HOYT R. STASTNEY</w:t>
            </w:r>
          </w:p>
        </w:tc>
        <w:tc>
          <w:tcPr>
            <w:tcW w:w="604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5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Hoyt R. Stastney</w:t>
            </w:r>
          </w:p>
        </w:tc>
        <w:tc>
          <w:tcPr>
            <w:tcW w:w="3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296"/>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320" w:type="dxa"/>
            <w:vAlign w:val="bottom"/>
            <w:gridSpan w:val="2"/>
          </w:tcPr>
          <w:p>
            <w:pPr>
              <w:spacing w:after="0"/>
              <w:rPr>
                <w:sz w:val="24"/>
                <w:szCs w:val="24"/>
                <w:color w:val="auto"/>
              </w:rPr>
            </w:pPr>
          </w:p>
        </w:tc>
        <w:tc>
          <w:tcPr>
            <w:tcW w:w="604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w w:val="93"/>
              </w:rPr>
              <w:t>Each of the above signatures is affixed as of November 24, 2008.</w:t>
            </w:r>
          </w:p>
        </w:tc>
        <w:tc>
          <w:tcPr>
            <w:tcW w:w="60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S-8</w:t>
            </w: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DUAL CORE, LLC d/b/a Identicard Systems Worldwide, Inc.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ind w:left="1420"/>
              <w:spacing w:after="0"/>
              <w:rPr>
                <w:sz w:val="20"/>
                <w:szCs w:val="20"/>
                <w:color w:val="auto"/>
              </w:rPr>
            </w:pPr>
            <w:r>
              <w:rPr>
                <w:rFonts w:ascii="Arial" w:cs="Arial" w:eastAsia="Arial" w:hAnsi="Arial"/>
                <w:sz w:val="14"/>
                <w:szCs w:val="14"/>
                <w:b w:val="1"/>
                <w:bCs w:val="1"/>
                <w:color w:val="auto"/>
              </w:rPr>
              <w:t>Signature</w:t>
            </w:r>
          </w:p>
        </w:tc>
        <w:tc>
          <w:tcPr>
            <w:tcW w:w="4420" w:type="dxa"/>
            <w:vAlign w:val="bottom"/>
          </w:tcPr>
          <w:p>
            <w:pPr>
              <w:ind w:left="3620"/>
              <w:spacing w:after="0"/>
              <w:rPr>
                <w:sz w:val="20"/>
                <w:szCs w:val="20"/>
                <w:color w:val="auto"/>
              </w:rPr>
            </w:pPr>
            <w:r>
              <w:rPr>
                <w:rFonts w:ascii="Arial" w:cs="Arial" w:eastAsia="Arial" w:hAnsi="Arial"/>
                <w:sz w:val="14"/>
                <w:szCs w:val="14"/>
                <w:b w:val="1"/>
                <w:bCs w:val="1"/>
                <w:color w:val="auto"/>
              </w:rPr>
              <w:t>Title</w:t>
            </w:r>
          </w:p>
        </w:tc>
      </w:tr>
      <w:tr>
        <w:trPr>
          <w:trHeight w:val="41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4420" w:type="dxa"/>
            <w:vAlign w:val="bottom"/>
          </w:tcPr>
          <w:p>
            <w:pPr>
              <w:ind w:left="34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Frank M. Jaehnert</w:t>
            </w:r>
          </w:p>
        </w:tc>
        <w:tc>
          <w:tcPr>
            <w:tcW w:w="442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4420" w:type="dxa"/>
            <w:vAlign w:val="bottom"/>
          </w:tcPr>
          <w:p>
            <w:pPr>
              <w:ind w:left="340"/>
              <w:spacing w:after="0"/>
              <w:rPr>
                <w:sz w:val="20"/>
                <w:szCs w:val="20"/>
                <w:color w:val="auto"/>
              </w:rPr>
            </w:pPr>
            <w:r>
              <w:rPr>
                <w:rFonts w:ascii="Arial" w:cs="Arial" w:eastAsia="Arial" w:hAnsi="Arial"/>
                <w:sz w:val="18"/>
                <w:szCs w:val="18"/>
                <w:color w:val="auto"/>
                <w:w w:val="92"/>
              </w:rPr>
              <w:t>Vice President (Principal Financial Officer and Principal</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Thomas J. Felmer</w:t>
            </w:r>
          </w:p>
        </w:tc>
        <w:tc>
          <w:tcPr>
            <w:tcW w:w="4420" w:type="dxa"/>
            <w:vAlign w:val="bottom"/>
          </w:tcPr>
          <w:p>
            <w:pPr>
              <w:ind w:left="340"/>
              <w:spacing w:after="0"/>
              <w:rPr>
                <w:sz w:val="20"/>
                <w:szCs w:val="20"/>
                <w:color w:val="auto"/>
              </w:rPr>
            </w:pPr>
            <w:r>
              <w:rPr>
                <w:rFonts w:ascii="Arial" w:cs="Arial" w:eastAsia="Arial" w:hAnsi="Arial"/>
                <w:sz w:val="18"/>
                <w:szCs w:val="18"/>
                <w:color w:val="auto"/>
              </w:rPr>
              <w:t>Accounting Officer); Director</w:t>
            </w: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HOYT R. STASTNEY</w:t>
            </w:r>
          </w:p>
        </w:tc>
        <w:tc>
          <w:tcPr>
            <w:tcW w:w="442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Hoyt R. Stastney</w:t>
            </w:r>
          </w:p>
        </w:tc>
        <w:tc>
          <w:tcPr>
            <w:tcW w:w="4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above signatures is affixed as of November 24, 2008.</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Permar, Inc. d/b/a Electromark</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ind w:left="1420"/>
              <w:spacing w:after="0"/>
              <w:rPr>
                <w:sz w:val="20"/>
                <w:szCs w:val="20"/>
                <w:color w:val="auto"/>
              </w:rPr>
            </w:pPr>
            <w:r>
              <w:rPr>
                <w:rFonts w:ascii="Arial" w:cs="Arial" w:eastAsia="Arial" w:hAnsi="Arial"/>
                <w:sz w:val="14"/>
                <w:szCs w:val="14"/>
                <w:b w:val="1"/>
                <w:bCs w:val="1"/>
                <w:color w:val="auto"/>
              </w:rPr>
              <w:t>Signature</w:t>
            </w:r>
          </w:p>
        </w:tc>
        <w:tc>
          <w:tcPr>
            <w:tcW w:w="5360" w:type="dxa"/>
            <w:vAlign w:val="bottom"/>
          </w:tcPr>
          <w:p>
            <w:pPr>
              <w:ind w:left="3620"/>
              <w:spacing w:after="0"/>
              <w:rPr>
                <w:sz w:val="20"/>
                <w:szCs w:val="20"/>
                <w:color w:val="auto"/>
              </w:rPr>
            </w:pPr>
            <w:r>
              <w:rPr>
                <w:rFonts w:ascii="Arial" w:cs="Arial" w:eastAsia="Arial" w:hAnsi="Arial"/>
                <w:sz w:val="14"/>
                <w:szCs w:val="14"/>
                <w:b w:val="1"/>
                <w:bCs w:val="1"/>
                <w:color w:val="auto"/>
              </w:rPr>
              <w:t>Title</w:t>
            </w:r>
          </w:p>
        </w:tc>
      </w:tr>
      <w:tr>
        <w:trPr>
          <w:trHeight w:val="41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5360" w:type="dxa"/>
            <w:vAlign w:val="bottom"/>
          </w:tcPr>
          <w:p>
            <w:pPr>
              <w:ind w:left="34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Frank M. Jaehnert</w:t>
            </w:r>
          </w:p>
        </w:tc>
        <w:tc>
          <w:tcPr>
            <w:tcW w:w="536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5360" w:type="dxa"/>
            <w:vAlign w:val="bottom"/>
          </w:tcPr>
          <w:p>
            <w:pPr>
              <w:ind w:left="340"/>
              <w:spacing w:after="0"/>
              <w:rPr>
                <w:sz w:val="20"/>
                <w:szCs w:val="20"/>
                <w:color w:val="auto"/>
              </w:rPr>
            </w:pPr>
            <w:r>
              <w:rPr>
                <w:rFonts w:ascii="Arial" w:cs="Arial" w:eastAsia="Arial" w:hAnsi="Arial"/>
                <w:sz w:val="18"/>
                <w:szCs w:val="18"/>
                <w:color w:val="auto"/>
                <w:w w:val="92"/>
              </w:rPr>
              <w:t>Vice President (Principal Financial and Accounting Officer); 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Thomas J. Felmer</w:t>
            </w:r>
          </w:p>
        </w:tc>
        <w:tc>
          <w:tcPr>
            <w:tcW w:w="536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HOYT R. STASTNEY</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Hoyt R. Stastney</w:t>
            </w:r>
          </w:p>
        </w:tc>
        <w:tc>
          <w:tcPr>
            <w:tcW w:w="5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 above signatures is affixed as of November 24, 2008.</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CLEMENT COMMUNICATIONS, INC.</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5730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ind w:left="1420"/>
              <w:spacing w:after="0"/>
              <w:rPr>
                <w:sz w:val="20"/>
                <w:szCs w:val="20"/>
                <w:color w:val="auto"/>
              </w:rPr>
            </w:pPr>
            <w:r>
              <w:rPr>
                <w:rFonts w:ascii="Arial" w:cs="Arial" w:eastAsia="Arial" w:hAnsi="Arial"/>
                <w:sz w:val="14"/>
                <w:szCs w:val="14"/>
                <w:b w:val="1"/>
                <w:bCs w:val="1"/>
                <w:color w:val="auto"/>
              </w:rPr>
              <w:t>Signature</w:t>
            </w:r>
          </w:p>
        </w:tc>
        <w:tc>
          <w:tcPr>
            <w:tcW w:w="5360" w:type="dxa"/>
            <w:vAlign w:val="bottom"/>
          </w:tcPr>
          <w:p>
            <w:pPr>
              <w:ind w:left="3620"/>
              <w:spacing w:after="0"/>
              <w:rPr>
                <w:sz w:val="20"/>
                <w:szCs w:val="20"/>
                <w:color w:val="auto"/>
              </w:rPr>
            </w:pPr>
            <w:r>
              <w:rPr>
                <w:rFonts w:ascii="Arial" w:cs="Arial" w:eastAsia="Arial" w:hAnsi="Arial"/>
                <w:sz w:val="14"/>
                <w:szCs w:val="14"/>
                <w:b w:val="1"/>
                <w:bCs w:val="1"/>
                <w:color w:val="auto"/>
              </w:rPr>
              <w:t>Title</w:t>
            </w:r>
          </w:p>
        </w:tc>
      </w:tr>
      <w:tr>
        <w:trPr>
          <w:trHeight w:val="41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5360" w:type="dxa"/>
            <w:vAlign w:val="bottom"/>
          </w:tcPr>
          <w:p>
            <w:pPr>
              <w:ind w:left="34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Frank M. Jaehnert</w:t>
            </w:r>
          </w:p>
        </w:tc>
        <w:tc>
          <w:tcPr>
            <w:tcW w:w="536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5360" w:type="dxa"/>
            <w:vAlign w:val="bottom"/>
          </w:tcPr>
          <w:p>
            <w:pPr>
              <w:ind w:left="340"/>
              <w:spacing w:after="0"/>
              <w:rPr>
                <w:sz w:val="20"/>
                <w:szCs w:val="20"/>
                <w:color w:val="auto"/>
              </w:rPr>
            </w:pPr>
            <w:r>
              <w:rPr>
                <w:rFonts w:ascii="Arial" w:cs="Arial" w:eastAsia="Arial" w:hAnsi="Arial"/>
                <w:sz w:val="18"/>
                <w:szCs w:val="18"/>
                <w:color w:val="auto"/>
                <w:w w:val="92"/>
              </w:rPr>
              <w:t>Vice President (Principal Financial and Accounting Officer); 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Thomas J. Felmer</w:t>
            </w:r>
          </w:p>
        </w:tc>
        <w:tc>
          <w:tcPr>
            <w:tcW w:w="536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HOYT R. STASTNEY</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Hoyt R. Stastney</w:t>
            </w:r>
          </w:p>
        </w:tc>
        <w:tc>
          <w:tcPr>
            <w:tcW w:w="5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the above signatures is affixed as of November 24, 2008.</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STOPWARE,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ind w:left="1420"/>
              <w:spacing w:after="0"/>
              <w:rPr>
                <w:sz w:val="20"/>
                <w:szCs w:val="20"/>
                <w:color w:val="auto"/>
              </w:rPr>
            </w:pPr>
            <w:r>
              <w:rPr>
                <w:rFonts w:ascii="Arial" w:cs="Arial" w:eastAsia="Arial" w:hAnsi="Arial"/>
                <w:sz w:val="14"/>
                <w:szCs w:val="14"/>
                <w:b w:val="1"/>
                <w:bCs w:val="1"/>
                <w:color w:val="auto"/>
              </w:rPr>
              <w:t>Signature</w:t>
            </w:r>
          </w:p>
        </w:tc>
        <w:tc>
          <w:tcPr>
            <w:tcW w:w="5360" w:type="dxa"/>
            <w:vAlign w:val="bottom"/>
          </w:tcPr>
          <w:p>
            <w:pPr>
              <w:ind w:left="3620"/>
              <w:spacing w:after="0"/>
              <w:rPr>
                <w:sz w:val="20"/>
                <w:szCs w:val="20"/>
                <w:color w:val="auto"/>
              </w:rPr>
            </w:pPr>
            <w:r>
              <w:rPr>
                <w:rFonts w:ascii="Arial" w:cs="Arial" w:eastAsia="Arial" w:hAnsi="Arial"/>
                <w:sz w:val="14"/>
                <w:szCs w:val="14"/>
                <w:b w:val="1"/>
                <w:bCs w:val="1"/>
                <w:color w:val="auto"/>
              </w:rPr>
              <w:t>Title</w:t>
            </w:r>
          </w:p>
        </w:tc>
      </w:tr>
      <w:tr>
        <w:trPr>
          <w:trHeight w:val="41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5360" w:type="dxa"/>
            <w:vAlign w:val="bottom"/>
          </w:tcPr>
          <w:p>
            <w:pPr>
              <w:ind w:left="34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Frank M. Jaehnert</w:t>
            </w:r>
          </w:p>
        </w:tc>
        <w:tc>
          <w:tcPr>
            <w:tcW w:w="536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5360" w:type="dxa"/>
            <w:vAlign w:val="bottom"/>
          </w:tcPr>
          <w:p>
            <w:pPr>
              <w:ind w:left="340"/>
              <w:spacing w:after="0"/>
              <w:rPr>
                <w:sz w:val="20"/>
                <w:szCs w:val="20"/>
                <w:color w:val="auto"/>
              </w:rPr>
            </w:pPr>
            <w:r>
              <w:rPr>
                <w:rFonts w:ascii="Arial" w:cs="Arial" w:eastAsia="Arial" w:hAnsi="Arial"/>
                <w:sz w:val="18"/>
                <w:szCs w:val="18"/>
                <w:color w:val="auto"/>
                <w:w w:val="92"/>
              </w:rPr>
              <w:t>Vice President (Principal Financial and Accounting Officer); 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Thomas J. Felmer</w:t>
            </w:r>
          </w:p>
        </w:tc>
        <w:tc>
          <w:tcPr>
            <w:tcW w:w="536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HOYT R. STASTNEY</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Hoyt R. Stastney</w:t>
            </w:r>
          </w:p>
        </w:tc>
        <w:tc>
          <w:tcPr>
            <w:tcW w:w="5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above signatures is affixed as of November 24, 2008.</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COMPREHENSIVE IDENTIFICATION PRODUCTS, INC.</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d/b/a BRADY PEOPLE ID</w:t>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-130810</wp:posOffset>
            </wp:positionV>
            <wp:extent cx="2718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center"/>
        <w:ind w:left="30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ind w:left="1420"/>
              <w:spacing w:after="0"/>
              <w:rPr>
                <w:sz w:val="20"/>
                <w:szCs w:val="20"/>
                <w:color w:val="auto"/>
              </w:rPr>
            </w:pPr>
            <w:r>
              <w:rPr>
                <w:rFonts w:ascii="Arial" w:cs="Arial" w:eastAsia="Arial" w:hAnsi="Arial"/>
                <w:sz w:val="14"/>
                <w:szCs w:val="14"/>
                <w:b w:val="1"/>
                <w:bCs w:val="1"/>
                <w:color w:val="auto"/>
              </w:rPr>
              <w:t>Signature</w:t>
            </w:r>
          </w:p>
        </w:tc>
        <w:tc>
          <w:tcPr>
            <w:tcW w:w="5360" w:type="dxa"/>
            <w:vAlign w:val="bottom"/>
          </w:tcPr>
          <w:p>
            <w:pPr>
              <w:ind w:left="3620"/>
              <w:spacing w:after="0"/>
              <w:rPr>
                <w:sz w:val="20"/>
                <w:szCs w:val="20"/>
                <w:color w:val="auto"/>
              </w:rPr>
            </w:pPr>
            <w:r>
              <w:rPr>
                <w:rFonts w:ascii="Arial" w:cs="Arial" w:eastAsia="Arial" w:hAnsi="Arial"/>
                <w:sz w:val="14"/>
                <w:szCs w:val="14"/>
                <w:b w:val="1"/>
                <w:bCs w:val="1"/>
                <w:color w:val="auto"/>
              </w:rPr>
              <w:t>Title</w:t>
            </w:r>
          </w:p>
        </w:tc>
      </w:tr>
      <w:tr>
        <w:trPr>
          <w:trHeight w:val="41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5360" w:type="dxa"/>
            <w:vAlign w:val="bottom"/>
          </w:tcPr>
          <w:p>
            <w:pPr>
              <w:ind w:left="34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Frank M. Jaehnert</w:t>
            </w:r>
          </w:p>
        </w:tc>
        <w:tc>
          <w:tcPr>
            <w:tcW w:w="536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5360" w:type="dxa"/>
            <w:vAlign w:val="bottom"/>
          </w:tcPr>
          <w:p>
            <w:pPr>
              <w:ind w:left="340"/>
              <w:spacing w:after="0"/>
              <w:rPr>
                <w:sz w:val="20"/>
                <w:szCs w:val="20"/>
                <w:color w:val="auto"/>
              </w:rPr>
            </w:pPr>
            <w:r>
              <w:rPr>
                <w:rFonts w:ascii="Arial" w:cs="Arial" w:eastAsia="Arial" w:hAnsi="Arial"/>
                <w:sz w:val="18"/>
                <w:szCs w:val="18"/>
                <w:color w:val="auto"/>
                <w:w w:val="92"/>
              </w:rPr>
              <w:t>Vice President (Principal Financial and Accounting Officer); 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Thomas J. Felmer</w:t>
            </w:r>
          </w:p>
        </w:tc>
        <w:tc>
          <w:tcPr>
            <w:tcW w:w="536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HOYT R. STASTNEY</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Hoyt R. Stastney</w:t>
            </w:r>
          </w:p>
        </w:tc>
        <w:tc>
          <w:tcPr>
            <w:tcW w:w="5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the above signatures is affixed as of November 24, 2008.</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VISUAL WEAR, LLC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ind w:left="1420"/>
              <w:spacing w:after="0"/>
              <w:rPr>
                <w:sz w:val="20"/>
                <w:szCs w:val="20"/>
                <w:color w:val="auto"/>
              </w:rPr>
            </w:pPr>
            <w:r>
              <w:rPr>
                <w:rFonts w:ascii="Arial" w:cs="Arial" w:eastAsia="Arial" w:hAnsi="Arial"/>
                <w:sz w:val="14"/>
                <w:szCs w:val="14"/>
                <w:b w:val="1"/>
                <w:bCs w:val="1"/>
                <w:color w:val="auto"/>
              </w:rPr>
              <w:t>Signature</w:t>
            </w:r>
          </w:p>
        </w:tc>
        <w:tc>
          <w:tcPr>
            <w:tcW w:w="5360" w:type="dxa"/>
            <w:vAlign w:val="bottom"/>
          </w:tcPr>
          <w:p>
            <w:pPr>
              <w:ind w:left="3620"/>
              <w:spacing w:after="0"/>
              <w:rPr>
                <w:sz w:val="20"/>
                <w:szCs w:val="20"/>
                <w:color w:val="auto"/>
              </w:rPr>
            </w:pPr>
            <w:r>
              <w:rPr>
                <w:rFonts w:ascii="Arial" w:cs="Arial" w:eastAsia="Arial" w:hAnsi="Arial"/>
                <w:sz w:val="14"/>
                <w:szCs w:val="14"/>
                <w:b w:val="1"/>
                <w:bCs w:val="1"/>
                <w:color w:val="auto"/>
              </w:rPr>
              <w:t>Title</w:t>
            </w:r>
          </w:p>
        </w:tc>
      </w:tr>
      <w:tr>
        <w:trPr>
          <w:trHeight w:val="41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5360" w:type="dxa"/>
            <w:vAlign w:val="bottom"/>
          </w:tcPr>
          <w:p>
            <w:pPr>
              <w:ind w:left="34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Frank M. Jaehnert</w:t>
            </w:r>
          </w:p>
        </w:tc>
        <w:tc>
          <w:tcPr>
            <w:tcW w:w="536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5360" w:type="dxa"/>
            <w:vAlign w:val="bottom"/>
          </w:tcPr>
          <w:p>
            <w:pPr>
              <w:ind w:left="340"/>
              <w:spacing w:after="0"/>
              <w:rPr>
                <w:sz w:val="20"/>
                <w:szCs w:val="20"/>
                <w:color w:val="auto"/>
              </w:rPr>
            </w:pPr>
            <w:r>
              <w:rPr>
                <w:rFonts w:ascii="Arial" w:cs="Arial" w:eastAsia="Arial" w:hAnsi="Arial"/>
                <w:sz w:val="18"/>
                <w:szCs w:val="18"/>
                <w:color w:val="auto"/>
                <w:w w:val="92"/>
              </w:rPr>
              <w:t>Vice President (Principal Financial and Accounting Officer); 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Thomas J. Felmer</w:t>
            </w:r>
          </w:p>
        </w:tc>
        <w:tc>
          <w:tcPr>
            <w:tcW w:w="536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HOYT R. STASTNEY</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Hoyt R. Stastney</w:t>
            </w:r>
          </w:p>
        </w:tc>
        <w:tc>
          <w:tcPr>
            <w:tcW w:w="5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the above signatures is affixed as of November 24, 2008.</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PV ACQUISITIONS, LLC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d/b/a PROMOVISION PALOMINO</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20" w:type="dxa"/>
            <w:vAlign w:val="bottom"/>
            <w:gridSpan w:val="2"/>
          </w:tcPr>
          <w:p>
            <w:pPr>
              <w:ind w:left="60"/>
              <w:spacing w:after="0"/>
              <w:rPr>
                <w:sz w:val="20"/>
                <w:szCs w:val="20"/>
                <w:color w:val="auto"/>
              </w:rPr>
            </w:pPr>
            <w:r>
              <w:rPr>
                <w:rFonts w:ascii="Arial" w:cs="Arial" w:eastAsia="Arial" w:hAnsi="Arial"/>
                <w:sz w:val="14"/>
                <w:szCs w:val="14"/>
                <w:b w:val="1"/>
                <w:bCs w:val="1"/>
                <w:color w:val="auto"/>
              </w:rPr>
              <w:t>Signature</w:t>
            </w:r>
          </w:p>
        </w:tc>
        <w:tc>
          <w:tcPr>
            <w:tcW w:w="6140" w:type="dxa"/>
            <w:vAlign w:val="bottom"/>
          </w:tcPr>
          <w:p>
            <w:pPr>
              <w:ind w:left="3000"/>
              <w:spacing w:after="0"/>
              <w:rPr>
                <w:sz w:val="20"/>
                <w:szCs w:val="20"/>
                <w:color w:val="auto"/>
              </w:rPr>
            </w:pPr>
            <w:r>
              <w:rPr>
                <w:rFonts w:ascii="Arial" w:cs="Arial" w:eastAsia="Arial" w:hAnsi="Arial"/>
                <w:sz w:val="14"/>
                <w:szCs w:val="14"/>
                <w:b w:val="1"/>
                <w:bCs w:val="1"/>
                <w:color w:val="auto"/>
              </w:rPr>
              <w:t>Title</w:t>
            </w:r>
          </w:p>
        </w:tc>
      </w:tr>
      <w:tr>
        <w:trPr>
          <w:trHeight w:val="417"/>
        </w:trPr>
        <w:tc>
          <w:tcPr>
            <w:tcW w:w="5280" w:type="dxa"/>
            <w:vAlign w:val="bottom"/>
            <w:gridSpan w:val="4"/>
          </w:tcPr>
          <w:p>
            <w:pPr>
              <w:spacing w:after="0"/>
              <w:rPr>
                <w:sz w:val="20"/>
                <w:szCs w:val="20"/>
                <w:color w:val="auto"/>
              </w:rPr>
            </w:pPr>
            <w:r>
              <w:rPr>
                <w:rFonts w:ascii="Arial" w:cs="Arial" w:eastAsia="Arial" w:hAnsi="Arial"/>
                <w:sz w:val="18"/>
                <w:szCs w:val="18"/>
                <w:color w:val="auto"/>
              </w:rPr>
              <w:t>/s/ FRANK M. JAEHNERT</w:t>
            </w:r>
          </w:p>
        </w:tc>
        <w:tc>
          <w:tcPr>
            <w:tcW w:w="6140" w:type="dxa"/>
            <w:vAlign w:val="bottom"/>
          </w:tcPr>
          <w:p>
            <w:pPr>
              <w:ind w:left="14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4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Frank M. Jaehnert</w:t>
            </w:r>
          </w:p>
        </w:tc>
        <w:tc>
          <w:tcPr>
            <w:tcW w:w="46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431"/>
        </w:trPr>
        <w:tc>
          <w:tcPr>
            <w:tcW w:w="5280" w:type="dxa"/>
            <w:vAlign w:val="bottom"/>
            <w:gridSpan w:val="4"/>
          </w:tcPr>
          <w:p>
            <w:pPr>
              <w:spacing w:after="0"/>
              <w:rPr>
                <w:sz w:val="20"/>
                <w:szCs w:val="20"/>
                <w:color w:val="auto"/>
              </w:rPr>
            </w:pPr>
            <w:r>
              <w:rPr>
                <w:rFonts w:ascii="Arial" w:cs="Arial" w:eastAsia="Arial" w:hAnsi="Arial"/>
                <w:sz w:val="18"/>
                <w:szCs w:val="18"/>
                <w:color w:val="auto"/>
              </w:rPr>
              <w:t>/s/ THOMAS J. FELMER</w:t>
            </w:r>
          </w:p>
        </w:tc>
        <w:tc>
          <w:tcPr>
            <w:tcW w:w="6140" w:type="dxa"/>
            <w:vAlign w:val="bottom"/>
          </w:tcPr>
          <w:p>
            <w:pPr>
              <w:ind w:left="140"/>
              <w:spacing w:after="0"/>
              <w:rPr>
                <w:sz w:val="20"/>
                <w:szCs w:val="20"/>
                <w:color w:val="auto"/>
              </w:rPr>
            </w:pPr>
            <w:r>
              <w:rPr>
                <w:rFonts w:ascii="Arial" w:cs="Arial" w:eastAsia="Arial" w:hAnsi="Arial"/>
                <w:sz w:val="18"/>
                <w:szCs w:val="18"/>
                <w:color w:val="auto"/>
              </w:rPr>
              <w:t>Vice President (Principal Financial and Accounting Officer); Director</w:t>
            </w:r>
          </w:p>
        </w:tc>
      </w:tr>
      <w:tr>
        <w:trPr>
          <w:trHeight w:val="224"/>
        </w:trPr>
        <w:tc>
          <w:tcPr>
            <w:tcW w:w="4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Thomas J. Felmer</w:t>
            </w:r>
          </w:p>
        </w:tc>
        <w:tc>
          <w:tcPr>
            <w:tcW w:w="46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431"/>
        </w:trPr>
        <w:tc>
          <w:tcPr>
            <w:tcW w:w="5280" w:type="dxa"/>
            <w:vAlign w:val="bottom"/>
            <w:gridSpan w:val="4"/>
          </w:tcPr>
          <w:p>
            <w:pPr>
              <w:spacing w:after="0"/>
              <w:rPr>
                <w:sz w:val="20"/>
                <w:szCs w:val="20"/>
                <w:color w:val="auto"/>
              </w:rPr>
            </w:pPr>
            <w:r>
              <w:rPr>
                <w:rFonts w:ascii="Arial" w:cs="Arial" w:eastAsia="Arial" w:hAnsi="Arial"/>
                <w:sz w:val="18"/>
                <w:szCs w:val="18"/>
                <w:color w:val="auto"/>
              </w:rPr>
              <w:t>/s/ HOYT R. STASTNEY</w:t>
            </w:r>
          </w:p>
        </w:tc>
        <w:tc>
          <w:tcPr>
            <w:tcW w:w="614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24"/>
        </w:trPr>
        <w:tc>
          <w:tcPr>
            <w:tcW w:w="4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Hoyt R. Stastney</w:t>
            </w:r>
          </w:p>
        </w:tc>
        <w:tc>
          <w:tcPr>
            <w:tcW w:w="46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296"/>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220" w:type="dxa"/>
            <w:vAlign w:val="bottom"/>
            <w:gridSpan w:val="2"/>
          </w:tcPr>
          <w:p>
            <w:pPr>
              <w:spacing w:after="0"/>
              <w:rPr>
                <w:sz w:val="24"/>
                <w:szCs w:val="24"/>
                <w:color w:val="auto"/>
              </w:rPr>
            </w:pPr>
          </w:p>
        </w:tc>
        <w:tc>
          <w:tcPr>
            <w:tcW w:w="614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gridSpan w:val="3"/>
          </w:tcPr>
          <w:p>
            <w:pPr>
              <w:ind w:left="180"/>
              <w:spacing w:after="0"/>
              <w:rPr>
                <w:sz w:val="20"/>
                <w:szCs w:val="20"/>
                <w:color w:val="auto"/>
              </w:rPr>
            </w:pPr>
            <w:r>
              <w:rPr>
                <w:rFonts w:ascii="Arial" w:cs="Arial" w:eastAsia="Arial" w:hAnsi="Arial"/>
                <w:sz w:val="18"/>
                <w:szCs w:val="18"/>
                <w:color w:val="auto"/>
                <w:w w:val="92"/>
              </w:rPr>
              <w:t>Each of the above signatures is affixed as of November 24, 2008.</w:t>
            </w:r>
          </w:p>
        </w:tc>
        <w:tc>
          <w:tcPr>
            <w:tcW w:w="61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S- 15</w:t>
            </w: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BRADY PRECISION CONVERTING, LLC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d/b/a BRADY MEDICAL</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20" w:type="dxa"/>
            <w:vAlign w:val="bottom"/>
            <w:gridSpan w:val="2"/>
          </w:tcPr>
          <w:p>
            <w:pPr>
              <w:ind w:left="60"/>
              <w:spacing w:after="0"/>
              <w:rPr>
                <w:sz w:val="20"/>
                <w:szCs w:val="20"/>
                <w:color w:val="auto"/>
              </w:rPr>
            </w:pPr>
            <w:r>
              <w:rPr>
                <w:rFonts w:ascii="Arial" w:cs="Arial" w:eastAsia="Arial" w:hAnsi="Arial"/>
                <w:sz w:val="14"/>
                <w:szCs w:val="14"/>
                <w:b w:val="1"/>
                <w:bCs w:val="1"/>
                <w:color w:val="auto"/>
              </w:rPr>
              <w:t>Signature</w:t>
            </w:r>
          </w:p>
        </w:tc>
        <w:tc>
          <w:tcPr>
            <w:tcW w:w="6140" w:type="dxa"/>
            <w:vAlign w:val="bottom"/>
          </w:tcPr>
          <w:p>
            <w:pPr>
              <w:ind w:left="3000"/>
              <w:spacing w:after="0"/>
              <w:rPr>
                <w:sz w:val="20"/>
                <w:szCs w:val="20"/>
                <w:color w:val="auto"/>
              </w:rPr>
            </w:pPr>
            <w:r>
              <w:rPr>
                <w:rFonts w:ascii="Arial" w:cs="Arial" w:eastAsia="Arial" w:hAnsi="Arial"/>
                <w:sz w:val="14"/>
                <w:szCs w:val="14"/>
                <w:b w:val="1"/>
                <w:bCs w:val="1"/>
                <w:color w:val="auto"/>
              </w:rPr>
              <w:t>Title</w:t>
            </w:r>
          </w:p>
        </w:tc>
      </w:tr>
      <w:tr>
        <w:trPr>
          <w:trHeight w:val="417"/>
        </w:trPr>
        <w:tc>
          <w:tcPr>
            <w:tcW w:w="5280" w:type="dxa"/>
            <w:vAlign w:val="bottom"/>
            <w:gridSpan w:val="4"/>
          </w:tcPr>
          <w:p>
            <w:pPr>
              <w:spacing w:after="0"/>
              <w:rPr>
                <w:sz w:val="20"/>
                <w:szCs w:val="20"/>
                <w:color w:val="auto"/>
              </w:rPr>
            </w:pPr>
            <w:r>
              <w:rPr>
                <w:rFonts w:ascii="Arial" w:cs="Arial" w:eastAsia="Arial" w:hAnsi="Arial"/>
                <w:sz w:val="18"/>
                <w:szCs w:val="18"/>
                <w:color w:val="auto"/>
              </w:rPr>
              <w:t>/s/ FRANK M. JAEHNERT</w:t>
            </w:r>
          </w:p>
        </w:tc>
        <w:tc>
          <w:tcPr>
            <w:tcW w:w="6140" w:type="dxa"/>
            <w:vAlign w:val="bottom"/>
          </w:tcPr>
          <w:p>
            <w:pPr>
              <w:ind w:left="14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4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Frank M. Jaehnert</w:t>
            </w:r>
          </w:p>
        </w:tc>
        <w:tc>
          <w:tcPr>
            <w:tcW w:w="46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431"/>
        </w:trPr>
        <w:tc>
          <w:tcPr>
            <w:tcW w:w="5280" w:type="dxa"/>
            <w:vAlign w:val="bottom"/>
            <w:gridSpan w:val="4"/>
          </w:tcPr>
          <w:p>
            <w:pPr>
              <w:spacing w:after="0"/>
              <w:rPr>
                <w:sz w:val="20"/>
                <w:szCs w:val="20"/>
                <w:color w:val="auto"/>
              </w:rPr>
            </w:pPr>
            <w:r>
              <w:rPr>
                <w:rFonts w:ascii="Arial" w:cs="Arial" w:eastAsia="Arial" w:hAnsi="Arial"/>
                <w:sz w:val="18"/>
                <w:szCs w:val="18"/>
                <w:color w:val="auto"/>
              </w:rPr>
              <w:t>/s/ THOMAS J. FELMER</w:t>
            </w:r>
          </w:p>
        </w:tc>
        <w:tc>
          <w:tcPr>
            <w:tcW w:w="6140" w:type="dxa"/>
            <w:vAlign w:val="bottom"/>
          </w:tcPr>
          <w:p>
            <w:pPr>
              <w:ind w:left="140"/>
              <w:spacing w:after="0"/>
              <w:rPr>
                <w:sz w:val="20"/>
                <w:szCs w:val="20"/>
                <w:color w:val="auto"/>
              </w:rPr>
            </w:pPr>
            <w:r>
              <w:rPr>
                <w:rFonts w:ascii="Arial" w:cs="Arial" w:eastAsia="Arial" w:hAnsi="Arial"/>
                <w:sz w:val="18"/>
                <w:szCs w:val="18"/>
                <w:color w:val="auto"/>
              </w:rPr>
              <w:t>Vice President (Principal Financial and Accounting Officer); Director</w:t>
            </w:r>
          </w:p>
        </w:tc>
      </w:tr>
      <w:tr>
        <w:trPr>
          <w:trHeight w:val="224"/>
        </w:trPr>
        <w:tc>
          <w:tcPr>
            <w:tcW w:w="4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Thomas J. Felmer</w:t>
            </w:r>
          </w:p>
        </w:tc>
        <w:tc>
          <w:tcPr>
            <w:tcW w:w="46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431"/>
        </w:trPr>
        <w:tc>
          <w:tcPr>
            <w:tcW w:w="5280" w:type="dxa"/>
            <w:vAlign w:val="bottom"/>
            <w:gridSpan w:val="4"/>
          </w:tcPr>
          <w:p>
            <w:pPr>
              <w:spacing w:after="0"/>
              <w:rPr>
                <w:sz w:val="20"/>
                <w:szCs w:val="20"/>
                <w:color w:val="auto"/>
              </w:rPr>
            </w:pPr>
            <w:r>
              <w:rPr>
                <w:rFonts w:ascii="Arial" w:cs="Arial" w:eastAsia="Arial" w:hAnsi="Arial"/>
                <w:sz w:val="18"/>
                <w:szCs w:val="18"/>
                <w:color w:val="auto"/>
              </w:rPr>
              <w:t>/s/ HOYT R. STASTNEY</w:t>
            </w:r>
          </w:p>
        </w:tc>
        <w:tc>
          <w:tcPr>
            <w:tcW w:w="614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24"/>
        </w:trPr>
        <w:tc>
          <w:tcPr>
            <w:tcW w:w="4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Hoyt R. Stastney</w:t>
            </w:r>
          </w:p>
        </w:tc>
        <w:tc>
          <w:tcPr>
            <w:tcW w:w="46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296"/>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220" w:type="dxa"/>
            <w:vAlign w:val="bottom"/>
            <w:gridSpan w:val="2"/>
          </w:tcPr>
          <w:p>
            <w:pPr>
              <w:spacing w:after="0"/>
              <w:rPr>
                <w:sz w:val="24"/>
                <w:szCs w:val="24"/>
                <w:color w:val="auto"/>
              </w:rPr>
            </w:pPr>
          </w:p>
        </w:tc>
        <w:tc>
          <w:tcPr>
            <w:tcW w:w="614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gridSpan w:val="3"/>
          </w:tcPr>
          <w:p>
            <w:pPr>
              <w:ind w:left="180"/>
              <w:spacing w:after="0"/>
              <w:rPr>
                <w:sz w:val="20"/>
                <w:szCs w:val="20"/>
                <w:color w:val="auto"/>
              </w:rPr>
            </w:pPr>
            <w:r>
              <w:rPr>
                <w:rFonts w:ascii="Arial" w:cs="Arial" w:eastAsia="Arial" w:hAnsi="Arial"/>
                <w:sz w:val="18"/>
                <w:szCs w:val="18"/>
                <w:color w:val="auto"/>
                <w:w w:val="92"/>
              </w:rPr>
              <w:t>Each of the above signatures is affixed as of November 24, 2008.</w:t>
            </w:r>
          </w:p>
        </w:tc>
        <w:tc>
          <w:tcPr>
            <w:tcW w:w="61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S- 16</w:t>
            </w: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November 24, 2008.</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AIO ACQUISITION, INC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d/b/a PERSONNEL CONCEPTS</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Hoyt R. Stastney,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5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20" w:type="dxa"/>
            <w:vAlign w:val="bottom"/>
            <w:gridSpan w:val="2"/>
          </w:tcPr>
          <w:p>
            <w:pPr>
              <w:ind w:left="60"/>
              <w:spacing w:after="0"/>
              <w:rPr>
                <w:sz w:val="20"/>
                <w:szCs w:val="20"/>
                <w:color w:val="auto"/>
              </w:rPr>
            </w:pPr>
            <w:r>
              <w:rPr>
                <w:rFonts w:ascii="Arial" w:cs="Arial" w:eastAsia="Arial" w:hAnsi="Arial"/>
                <w:sz w:val="14"/>
                <w:szCs w:val="14"/>
                <w:b w:val="1"/>
                <w:bCs w:val="1"/>
                <w:color w:val="auto"/>
              </w:rPr>
              <w:t>Signature</w:t>
            </w:r>
          </w:p>
        </w:tc>
        <w:tc>
          <w:tcPr>
            <w:tcW w:w="6140" w:type="dxa"/>
            <w:vAlign w:val="bottom"/>
          </w:tcPr>
          <w:p>
            <w:pPr>
              <w:ind w:left="3000"/>
              <w:spacing w:after="0"/>
              <w:rPr>
                <w:sz w:val="20"/>
                <w:szCs w:val="20"/>
                <w:color w:val="auto"/>
              </w:rPr>
            </w:pPr>
            <w:r>
              <w:rPr>
                <w:rFonts w:ascii="Arial" w:cs="Arial" w:eastAsia="Arial" w:hAnsi="Arial"/>
                <w:sz w:val="14"/>
                <w:szCs w:val="14"/>
                <w:b w:val="1"/>
                <w:bCs w:val="1"/>
                <w:color w:val="auto"/>
              </w:rPr>
              <w:t>Title</w:t>
            </w:r>
          </w:p>
        </w:tc>
      </w:tr>
      <w:tr>
        <w:trPr>
          <w:trHeight w:val="417"/>
        </w:trPr>
        <w:tc>
          <w:tcPr>
            <w:tcW w:w="5280" w:type="dxa"/>
            <w:vAlign w:val="bottom"/>
            <w:gridSpan w:val="4"/>
          </w:tcPr>
          <w:p>
            <w:pPr>
              <w:spacing w:after="0"/>
              <w:rPr>
                <w:sz w:val="20"/>
                <w:szCs w:val="20"/>
                <w:color w:val="auto"/>
              </w:rPr>
            </w:pPr>
            <w:r>
              <w:rPr>
                <w:rFonts w:ascii="Arial" w:cs="Arial" w:eastAsia="Arial" w:hAnsi="Arial"/>
                <w:sz w:val="18"/>
                <w:szCs w:val="18"/>
                <w:color w:val="auto"/>
              </w:rPr>
              <w:t>/s/ FRANK M. JAEHNERT</w:t>
            </w:r>
          </w:p>
        </w:tc>
        <w:tc>
          <w:tcPr>
            <w:tcW w:w="6140" w:type="dxa"/>
            <w:vAlign w:val="bottom"/>
          </w:tcPr>
          <w:p>
            <w:pPr>
              <w:ind w:left="140"/>
              <w:spacing w:after="0"/>
              <w:rPr>
                <w:sz w:val="20"/>
                <w:szCs w:val="20"/>
                <w:color w:val="auto"/>
              </w:rPr>
            </w:pPr>
            <w:r>
              <w:rPr>
                <w:rFonts w:ascii="Arial" w:cs="Arial" w:eastAsia="Arial" w:hAnsi="Arial"/>
                <w:sz w:val="18"/>
                <w:szCs w:val="18"/>
                <w:color w:val="auto"/>
              </w:rPr>
              <w:t>President (Principal Executive Officer); Director</w:t>
            </w:r>
          </w:p>
        </w:tc>
      </w:tr>
      <w:tr>
        <w:trPr>
          <w:trHeight w:val="224"/>
        </w:trPr>
        <w:tc>
          <w:tcPr>
            <w:tcW w:w="4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Frank M. Jaehnert</w:t>
            </w:r>
          </w:p>
        </w:tc>
        <w:tc>
          <w:tcPr>
            <w:tcW w:w="46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431"/>
        </w:trPr>
        <w:tc>
          <w:tcPr>
            <w:tcW w:w="5280" w:type="dxa"/>
            <w:vAlign w:val="bottom"/>
            <w:gridSpan w:val="4"/>
          </w:tcPr>
          <w:p>
            <w:pPr>
              <w:spacing w:after="0"/>
              <w:rPr>
                <w:sz w:val="20"/>
                <w:szCs w:val="20"/>
                <w:color w:val="auto"/>
              </w:rPr>
            </w:pPr>
            <w:r>
              <w:rPr>
                <w:rFonts w:ascii="Arial" w:cs="Arial" w:eastAsia="Arial" w:hAnsi="Arial"/>
                <w:sz w:val="18"/>
                <w:szCs w:val="18"/>
                <w:color w:val="auto"/>
              </w:rPr>
              <w:t>/s/ THOMAS J. FELMER</w:t>
            </w:r>
          </w:p>
        </w:tc>
        <w:tc>
          <w:tcPr>
            <w:tcW w:w="6140" w:type="dxa"/>
            <w:vAlign w:val="bottom"/>
          </w:tcPr>
          <w:p>
            <w:pPr>
              <w:ind w:left="140"/>
              <w:spacing w:after="0"/>
              <w:rPr>
                <w:sz w:val="20"/>
                <w:szCs w:val="20"/>
                <w:color w:val="auto"/>
              </w:rPr>
            </w:pPr>
            <w:r>
              <w:rPr>
                <w:rFonts w:ascii="Arial" w:cs="Arial" w:eastAsia="Arial" w:hAnsi="Arial"/>
                <w:sz w:val="18"/>
                <w:szCs w:val="18"/>
                <w:color w:val="auto"/>
              </w:rPr>
              <w:t>Vice President (Principal Financial and Accounting Officer); Director</w:t>
            </w:r>
          </w:p>
        </w:tc>
      </w:tr>
      <w:tr>
        <w:trPr>
          <w:trHeight w:val="224"/>
        </w:trPr>
        <w:tc>
          <w:tcPr>
            <w:tcW w:w="4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Thomas J. Felmer</w:t>
            </w:r>
          </w:p>
        </w:tc>
        <w:tc>
          <w:tcPr>
            <w:tcW w:w="46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431"/>
        </w:trPr>
        <w:tc>
          <w:tcPr>
            <w:tcW w:w="5280" w:type="dxa"/>
            <w:vAlign w:val="bottom"/>
            <w:gridSpan w:val="4"/>
          </w:tcPr>
          <w:p>
            <w:pPr>
              <w:spacing w:after="0"/>
              <w:rPr>
                <w:sz w:val="20"/>
                <w:szCs w:val="20"/>
                <w:color w:val="auto"/>
              </w:rPr>
            </w:pPr>
            <w:r>
              <w:rPr>
                <w:rFonts w:ascii="Arial" w:cs="Arial" w:eastAsia="Arial" w:hAnsi="Arial"/>
                <w:sz w:val="18"/>
                <w:szCs w:val="18"/>
                <w:color w:val="auto"/>
              </w:rPr>
              <w:t>/s/ HOYT R. STASTNEY</w:t>
            </w:r>
          </w:p>
        </w:tc>
        <w:tc>
          <w:tcPr>
            <w:tcW w:w="614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24"/>
        </w:trPr>
        <w:tc>
          <w:tcPr>
            <w:tcW w:w="4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Hoyt R. Stastney</w:t>
            </w:r>
          </w:p>
        </w:tc>
        <w:tc>
          <w:tcPr>
            <w:tcW w:w="46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296"/>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220" w:type="dxa"/>
            <w:vAlign w:val="bottom"/>
            <w:gridSpan w:val="2"/>
          </w:tcPr>
          <w:p>
            <w:pPr>
              <w:spacing w:after="0"/>
              <w:rPr>
                <w:sz w:val="24"/>
                <w:szCs w:val="24"/>
                <w:color w:val="auto"/>
              </w:rPr>
            </w:pPr>
          </w:p>
        </w:tc>
        <w:tc>
          <w:tcPr>
            <w:tcW w:w="614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gridSpan w:val="3"/>
          </w:tcPr>
          <w:p>
            <w:pPr>
              <w:ind w:left="180"/>
              <w:spacing w:after="0"/>
              <w:rPr>
                <w:sz w:val="20"/>
                <w:szCs w:val="20"/>
                <w:color w:val="auto"/>
              </w:rPr>
            </w:pPr>
            <w:r>
              <w:rPr>
                <w:rFonts w:ascii="Arial" w:cs="Arial" w:eastAsia="Arial" w:hAnsi="Arial"/>
                <w:sz w:val="18"/>
                <w:szCs w:val="18"/>
                <w:color w:val="auto"/>
                <w:w w:val="92"/>
              </w:rPr>
              <w:t>Each of the above signatures is affixed as of November 24, 2008.</w:t>
            </w:r>
          </w:p>
        </w:tc>
        <w:tc>
          <w:tcPr>
            <w:tcW w:w="61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S- 17</w:t>
            </w: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“Registrant”)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001-14959)</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S-3 REGISTRATION STATEMENT</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with or incorporated by reference in this Registration Statement: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5120" w:type="dxa"/>
            <w:vAlign w:val="bottom"/>
          </w:tcPr>
          <w:p>
            <w:pPr>
              <w:ind w:left="380"/>
              <w:spacing w:after="0"/>
              <w:rPr>
                <w:sz w:val="20"/>
                <w:szCs w:val="20"/>
                <w:color w:val="auto"/>
              </w:rPr>
            </w:pPr>
            <w:r>
              <w:rPr>
                <w:rFonts w:ascii="Arial" w:cs="Arial" w:eastAsia="Arial" w:hAnsi="Arial"/>
                <w:sz w:val="14"/>
                <w:szCs w:val="14"/>
                <w:b w:val="1"/>
                <w:bCs w:val="1"/>
                <w:color w:val="auto"/>
              </w:rPr>
              <w:t>Incorporated Herein</w:t>
            </w:r>
          </w:p>
        </w:tc>
        <w:tc>
          <w:tcPr>
            <w:tcW w:w="800" w:type="dxa"/>
            <w:vAlign w:val="bottom"/>
          </w:tcPr>
          <w:p>
            <w:pPr>
              <w:jc w:val="center"/>
              <w:ind w:left="168"/>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6"/>
        </w:trPr>
        <w:tc>
          <w:tcPr>
            <w:tcW w:w="680" w:type="dxa"/>
            <w:vAlign w:val="bottom"/>
            <w:vMerge w:val="continue"/>
          </w:tcPr>
          <w:p>
            <w:pPr>
              <w:spacing w:after="0"/>
              <w:rPr>
                <w:sz w:val="16"/>
                <w:szCs w:val="16"/>
                <w:color w:val="auto"/>
              </w:rPr>
            </w:pPr>
          </w:p>
        </w:tc>
        <w:tc>
          <w:tcPr>
            <w:tcW w:w="4800" w:type="dxa"/>
            <w:vAlign w:val="bottom"/>
            <w:vMerge w:val="continue"/>
          </w:tcPr>
          <w:p>
            <w:pPr>
              <w:spacing w:after="0"/>
              <w:rPr>
                <w:sz w:val="16"/>
                <w:szCs w:val="16"/>
                <w:color w:val="auto"/>
              </w:rPr>
            </w:pPr>
          </w:p>
        </w:tc>
        <w:tc>
          <w:tcPr>
            <w:tcW w:w="5120" w:type="dxa"/>
            <w:vAlign w:val="bottom"/>
          </w:tcPr>
          <w:p>
            <w:pPr>
              <w:ind w:left="380"/>
              <w:spacing w:after="0"/>
              <w:rPr>
                <w:sz w:val="20"/>
                <w:szCs w:val="20"/>
                <w:color w:val="auto"/>
              </w:rPr>
            </w:pPr>
            <w:r>
              <w:rPr>
                <w:rFonts w:ascii="Arial" w:cs="Arial" w:eastAsia="Arial" w:hAnsi="Arial"/>
                <w:sz w:val="14"/>
                <w:szCs w:val="14"/>
                <w:b w:val="1"/>
                <w:bCs w:val="1"/>
                <w:color w:val="auto"/>
              </w:rPr>
              <w:t>By Reference To</w:t>
            </w:r>
          </w:p>
        </w:tc>
        <w:tc>
          <w:tcPr>
            <w:tcW w:w="80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417"/>
        </w:trPr>
        <w:tc>
          <w:tcPr>
            <w:tcW w:w="680" w:type="dxa"/>
            <w:vAlign w:val="bottom"/>
          </w:tcPr>
          <w:p>
            <w:pPr>
              <w:spacing w:after="0"/>
              <w:rPr>
                <w:sz w:val="20"/>
                <w:szCs w:val="20"/>
                <w:color w:val="auto"/>
              </w:rPr>
            </w:pPr>
            <w:r>
              <w:rPr>
                <w:rFonts w:ascii="Arial" w:cs="Arial" w:eastAsia="Arial" w:hAnsi="Arial"/>
                <w:sz w:val="18"/>
                <w:szCs w:val="18"/>
                <w:color w:val="auto"/>
              </w:rPr>
              <w:t>1.1*</w:t>
            </w:r>
          </w:p>
        </w:tc>
        <w:tc>
          <w:tcPr>
            <w:tcW w:w="4800" w:type="dxa"/>
            <w:vAlign w:val="bottom"/>
          </w:tcPr>
          <w:p>
            <w:pPr>
              <w:ind w:left="240"/>
              <w:spacing w:after="0"/>
              <w:rPr>
                <w:sz w:val="20"/>
                <w:szCs w:val="20"/>
                <w:color w:val="auto"/>
              </w:rPr>
            </w:pPr>
            <w:r>
              <w:rPr>
                <w:rFonts w:ascii="Arial" w:cs="Arial" w:eastAsia="Arial" w:hAnsi="Arial"/>
                <w:sz w:val="18"/>
                <w:szCs w:val="18"/>
                <w:color w:val="auto"/>
              </w:rPr>
              <w:t>Underwriting Agreement</w:t>
            </w:r>
          </w:p>
        </w:tc>
        <w:tc>
          <w:tcPr>
            <w:tcW w:w="5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4800" w:type="dxa"/>
            <w:vAlign w:val="bottom"/>
          </w:tcPr>
          <w:p>
            <w:pPr>
              <w:ind w:left="240"/>
              <w:spacing w:after="0"/>
              <w:rPr>
                <w:sz w:val="20"/>
                <w:szCs w:val="20"/>
                <w:color w:val="auto"/>
              </w:rPr>
            </w:pPr>
            <w:r>
              <w:rPr>
                <w:rFonts w:ascii="Arial" w:cs="Arial" w:eastAsia="Arial" w:hAnsi="Arial"/>
                <w:sz w:val="18"/>
                <w:szCs w:val="18"/>
                <w:color w:val="auto"/>
              </w:rPr>
              <w:t>Restated Articles of Incorporation of the Registrant</w:t>
            </w:r>
          </w:p>
        </w:tc>
        <w:tc>
          <w:tcPr>
            <w:tcW w:w="5120" w:type="dxa"/>
            <w:vAlign w:val="bottom"/>
          </w:tcPr>
          <w:p>
            <w:pPr>
              <w:ind w:left="380"/>
              <w:spacing w:after="0"/>
              <w:rPr>
                <w:sz w:val="20"/>
                <w:szCs w:val="20"/>
                <w:color w:val="auto"/>
              </w:rPr>
            </w:pPr>
            <w:r>
              <w:rPr>
                <w:rFonts w:ascii="Arial" w:cs="Arial" w:eastAsia="Arial" w:hAnsi="Arial"/>
                <w:sz w:val="18"/>
                <w:szCs w:val="18"/>
                <w:color w:val="auto"/>
                <w:w w:val="95"/>
              </w:rPr>
              <w:t>Exhibit 4.1 to the Registrant’s Registration Statement on Form</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120" w:type="dxa"/>
            <w:vAlign w:val="bottom"/>
          </w:tcPr>
          <w:p>
            <w:pPr>
              <w:ind w:left="380"/>
              <w:spacing w:after="0"/>
              <w:rPr>
                <w:sz w:val="20"/>
                <w:szCs w:val="20"/>
                <w:color w:val="auto"/>
              </w:rPr>
            </w:pPr>
            <w:r>
              <w:rPr>
                <w:rFonts w:ascii="Arial" w:cs="Arial" w:eastAsia="Arial" w:hAnsi="Arial"/>
                <w:sz w:val="18"/>
                <w:szCs w:val="18"/>
                <w:color w:val="auto"/>
              </w:rPr>
              <w:t>S-3 (Registration No. 333-04155)</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4800" w:type="dxa"/>
            <w:vAlign w:val="bottom"/>
          </w:tcPr>
          <w:p>
            <w:pPr>
              <w:ind w:left="240"/>
              <w:spacing w:after="0"/>
              <w:rPr>
                <w:sz w:val="20"/>
                <w:szCs w:val="20"/>
                <w:color w:val="auto"/>
              </w:rPr>
            </w:pPr>
            <w:r>
              <w:rPr>
                <w:rFonts w:ascii="Arial" w:cs="Arial" w:eastAsia="Arial" w:hAnsi="Arial"/>
                <w:sz w:val="18"/>
                <w:szCs w:val="18"/>
                <w:color w:val="auto"/>
              </w:rPr>
              <w:t>By-Laws of the Registrant, as amended</w:t>
            </w:r>
          </w:p>
        </w:tc>
        <w:tc>
          <w:tcPr>
            <w:tcW w:w="5120" w:type="dxa"/>
            <w:vAlign w:val="bottom"/>
          </w:tcPr>
          <w:p>
            <w:pPr>
              <w:ind w:left="380"/>
              <w:spacing w:after="0"/>
              <w:rPr>
                <w:sz w:val="20"/>
                <w:szCs w:val="20"/>
                <w:color w:val="auto"/>
              </w:rPr>
            </w:pPr>
            <w:r>
              <w:rPr>
                <w:rFonts w:ascii="Arial" w:cs="Arial" w:eastAsia="Arial" w:hAnsi="Arial"/>
                <w:sz w:val="18"/>
                <w:szCs w:val="18"/>
                <w:color w:val="auto"/>
              </w:rPr>
              <w:t>Exhibit 3.2 to the Registrant’s Current Report on Form 8-K</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120" w:type="dxa"/>
            <w:vAlign w:val="bottom"/>
          </w:tcPr>
          <w:p>
            <w:pPr>
              <w:ind w:left="380"/>
              <w:spacing w:after="0"/>
              <w:rPr>
                <w:sz w:val="20"/>
                <w:szCs w:val="20"/>
                <w:color w:val="auto"/>
              </w:rPr>
            </w:pPr>
            <w:r>
              <w:rPr>
                <w:rFonts w:ascii="Arial" w:cs="Arial" w:eastAsia="Arial" w:hAnsi="Arial"/>
                <w:sz w:val="18"/>
                <w:szCs w:val="18"/>
                <w:color w:val="auto"/>
              </w:rPr>
              <w:t>filed September 15, 2006.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4.3*</w:t>
            </w:r>
          </w:p>
        </w:tc>
        <w:tc>
          <w:tcPr>
            <w:tcW w:w="4800" w:type="dxa"/>
            <w:vAlign w:val="bottom"/>
          </w:tcPr>
          <w:p>
            <w:pPr>
              <w:ind w:left="240"/>
              <w:spacing w:after="0"/>
              <w:rPr>
                <w:sz w:val="20"/>
                <w:szCs w:val="20"/>
                <w:color w:val="auto"/>
              </w:rPr>
            </w:pPr>
            <w:r>
              <w:rPr>
                <w:rFonts w:ascii="Arial" w:cs="Arial" w:eastAsia="Arial" w:hAnsi="Arial"/>
                <w:sz w:val="18"/>
                <w:szCs w:val="18"/>
                <w:color w:val="auto"/>
              </w:rPr>
              <w:t>Form of Indenture for debt securities</w:t>
            </w:r>
          </w:p>
        </w:tc>
        <w:tc>
          <w:tcPr>
            <w:tcW w:w="5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4.4</w:t>
            </w:r>
          </w:p>
        </w:tc>
        <w:tc>
          <w:tcPr>
            <w:tcW w:w="4800" w:type="dxa"/>
            <w:vAlign w:val="bottom"/>
          </w:tcPr>
          <w:p>
            <w:pPr>
              <w:ind w:left="240"/>
              <w:spacing w:after="0"/>
              <w:rPr>
                <w:sz w:val="20"/>
                <w:szCs w:val="20"/>
                <w:color w:val="auto"/>
              </w:rPr>
            </w:pPr>
            <w:r>
              <w:rPr>
                <w:rFonts w:ascii="Arial" w:cs="Arial" w:eastAsia="Arial" w:hAnsi="Arial"/>
                <w:sz w:val="18"/>
                <w:szCs w:val="18"/>
                <w:color w:val="auto"/>
              </w:rPr>
              <w:t>Credit Agreement, dated October 5, 2006, among the</w:t>
            </w:r>
          </w:p>
        </w:tc>
        <w:tc>
          <w:tcPr>
            <w:tcW w:w="5120" w:type="dxa"/>
            <w:vAlign w:val="bottom"/>
          </w:tcPr>
          <w:p>
            <w:pPr>
              <w:ind w:left="380"/>
              <w:spacing w:after="0"/>
              <w:rPr>
                <w:sz w:val="20"/>
                <w:szCs w:val="20"/>
                <w:color w:val="auto"/>
              </w:rPr>
            </w:pPr>
            <w:r>
              <w:rPr>
                <w:rFonts w:ascii="Arial" w:cs="Arial" w:eastAsia="Arial" w:hAnsi="Arial"/>
                <w:sz w:val="18"/>
                <w:szCs w:val="18"/>
                <w:color w:val="auto"/>
                <w:w w:val="96"/>
              </w:rPr>
              <w:t>Exhibit 10.14 to the Registrant’s Annual Report on Form 10-K</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Registrant, Brady Worldwide, Inc., Tricor Direct, Inc., the</w:t>
            </w:r>
          </w:p>
        </w:tc>
        <w:tc>
          <w:tcPr>
            <w:tcW w:w="5120" w:type="dxa"/>
            <w:vAlign w:val="bottom"/>
          </w:tcPr>
          <w:p>
            <w:pPr>
              <w:ind w:left="380"/>
              <w:spacing w:after="0"/>
              <w:rPr>
                <w:sz w:val="20"/>
                <w:szCs w:val="20"/>
                <w:color w:val="auto"/>
              </w:rPr>
            </w:pPr>
            <w:r>
              <w:rPr>
                <w:rFonts w:ascii="Arial" w:cs="Arial" w:eastAsia="Arial" w:hAnsi="Arial"/>
                <w:sz w:val="18"/>
                <w:szCs w:val="18"/>
                <w:color w:val="auto"/>
              </w:rPr>
              <w:t>for the fiscal year ended July 31,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lenders party thereto and Bank of America, N.A., as</w:t>
            </w:r>
          </w:p>
        </w:tc>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Administrative Agent</w:t>
            </w:r>
          </w:p>
        </w:tc>
        <w:tc>
          <w:tcPr>
            <w:tcW w:w="5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19" w:right="25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4.5</w:t>
            </w:r>
          </w:p>
        </w:tc>
        <w:tc>
          <w:tcPr>
            <w:tcW w:w="4800" w:type="dxa"/>
            <w:vAlign w:val="bottom"/>
          </w:tcPr>
          <w:p>
            <w:pPr>
              <w:ind w:left="340"/>
              <w:spacing w:after="0"/>
              <w:rPr>
                <w:sz w:val="20"/>
                <w:szCs w:val="20"/>
                <w:color w:val="auto"/>
              </w:rPr>
            </w:pPr>
            <w:r>
              <w:rPr>
                <w:rFonts w:ascii="Arial" w:cs="Arial" w:eastAsia="Arial" w:hAnsi="Arial"/>
                <w:sz w:val="18"/>
                <w:szCs w:val="18"/>
                <w:color w:val="auto"/>
                <w:w w:val="90"/>
              </w:rPr>
              <w:t>First Amendment to Credit Agreement, dated March 18, 2008</w:t>
            </w:r>
          </w:p>
        </w:tc>
      </w:tr>
      <w:tr>
        <w:trPr>
          <w:trHeight w:val="216"/>
        </w:trPr>
        <w:tc>
          <w:tcPr>
            <w:tcW w:w="58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w w:val="94"/>
              </w:rPr>
              <w:t>among the Registrant, Brady Worldwide, Inc., Tricor Direct,</w:t>
            </w:r>
          </w:p>
        </w:tc>
      </w:tr>
      <w:tr>
        <w:trPr>
          <w:trHeight w:val="216"/>
        </w:trPr>
        <w:tc>
          <w:tcPr>
            <w:tcW w:w="58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w w:val="92"/>
              </w:rPr>
              <w:t>Inc., the lenders party thereto and Bank of America, N.A., as</w:t>
            </w:r>
          </w:p>
        </w:tc>
      </w:tr>
      <w:tr>
        <w:trPr>
          <w:trHeight w:val="230"/>
        </w:trPr>
        <w:tc>
          <w:tcPr>
            <w:tcW w:w="58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Administrative Agent.</w:t>
            </w:r>
          </w:p>
        </w:tc>
      </w:tr>
    </w:tbl>
    <w:p>
      <w:pPr>
        <w:spacing w:after="0" w:line="20" w:lineRule="exact"/>
        <w:rPr>
          <w:sz w:val="20"/>
          <w:szCs w:val="20"/>
          <w:color w:val="auto"/>
        </w:rPr>
      </w:pPr>
      <w:r>
        <w:rPr>
          <w:sz w:val="20"/>
          <w:szCs w:val="20"/>
          <w:color w:val="auto"/>
        </w:rPr>
        <w:br w:type="column"/>
      </w:r>
    </w:p>
    <w:p>
      <w:pPr>
        <w:ind w:right="1180"/>
        <w:spacing w:after="0" w:line="277" w:lineRule="auto"/>
        <w:rPr>
          <w:sz w:val="20"/>
          <w:szCs w:val="20"/>
          <w:color w:val="auto"/>
        </w:rPr>
      </w:pPr>
      <w:r>
        <w:rPr>
          <w:rFonts w:ascii="Arial" w:cs="Arial" w:eastAsia="Arial" w:hAnsi="Arial"/>
          <w:sz w:val="18"/>
          <w:szCs w:val="18"/>
          <w:color w:val="auto"/>
        </w:rPr>
        <w:t>Exhibit 10.1 to the Registrant’s Current Report on Form 8-K filed March 19, 2008.</w:t>
      </w:r>
    </w:p>
    <w:p>
      <w:pPr>
        <w:spacing w:after="0" w:line="600" w:lineRule="exact"/>
        <w:rPr>
          <w:sz w:val="20"/>
          <w:szCs w:val="20"/>
          <w:color w:val="auto"/>
        </w:rPr>
      </w:pPr>
    </w:p>
    <w:p>
      <w:pPr>
        <w:sectPr>
          <w:pgSz w:w="11900" w:h="16838" w:orient="portrait"/>
          <w:cols w:equalWidth="0" w:num="2">
            <w:col w:w="5380" w:space="480"/>
            <w:col w:w="5540"/>
          </w:cols>
          <w:pgMar w:left="240" w:top="419" w:right="25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4.6</w:t>
            </w:r>
          </w:p>
        </w:tc>
        <w:tc>
          <w:tcPr>
            <w:tcW w:w="4840" w:type="dxa"/>
            <w:vAlign w:val="bottom"/>
          </w:tcPr>
          <w:p>
            <w:pPr>
              <w:ind w:left="300"/>
              <w:spacing w:after="0"/>
              <w:rPr>
                <w:sz w:val="20"/>
                <w:szCs w:val="20"/>
                <w:color w:val="auto"/>
              </w:rPr>
            </w:pPr>
            <w:r>
              <w:rPr>
                <w:rFonts w:ascii="Arial" w:cs="Arial" w:eastAsia="Arial" w:hAnsi="Arial"/>
                <w:sz w:val="18"/>
                <w:szCs w:val="18"/>
                <w:color w:val="auto"/>
                <w:w w:val="93"/>
              </w:rPr>
              <w:t>Note Purchase Agreement, dated June 28, 2004, among the</w:t>
            </w:r>
          </w:p>
        </w:tc>
      </w:tr>
      <w:tr>
        <w:trPr>
          <w:trHeight w:val="216"/>
        </w:trPr>
        <w:tc>
          <w:tcPr>
            <w:tcW w:w="62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w w:val="93"/>
              </w:rPr>
              <w:t>Registrant, Brady Worldwide, Inc., Tricor Direct, Inc., and the</w:t>
            </w:r>
          </w:p>
        </w:tc>
      </w:tr>
      <w:tr>
        <w:trPr>
          <w:trHeight w:val="230"/>
        </w:trPr>
        <w:tc>
          <w:tcPr>
            <w:tcW w:w="620" w:type="dxa"/>
            <w:vAlign w:val="bottom"/>
          </w:tcPr>
          <w:p>
            <w:pPr>
              <w:spacing w:after="0"/>
              <w:rPr>
                <w:sz w:val="20"/>
                <w:szCs w:val="20"/>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purchasers party thereto</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4.7</w:t>
            </w:r>
          </w:p>
        </w:tc>
        <w:tc>
          <w:tcPr>
            <w:tcW w:w="4840" w:type="dxa"/>
            <w:vAlign w:val="bottom"/>
          </w:tcPr>
          <w:p>
            <w:pPr>
              <w:ind w:left="300"/>
              <w:spacing w:after="0"/>
              <w:rPr>
                <w:sz w:val="20"/>
                <w:szCs w:val="20"/>
                <w:color w:val="auto"/>
              </w:rPr>
            </w:pPr>
            <w:r>
              <w:rPr>
                <w:rFonts w:ascii="Arial" w:cs="Arial" w:eastAsia="Arial" w:hAnsi="Arial"/>
                <w:sz w:val="18"/>
                <w:szCs w:val="18"/>
                <w:color w:val="auto"/>
              </w:rPr>
              <w:t>First Supplement to Note Purchase Agreement dated</w:t>
            </w:r>
          </w:p>
        </w:tc>
      </w:tr>
      <w:tr>
        <w:trPr>
          <w:trHeight w:val="216"/>
        </w:trPr>
        <w:tc>
          <w:tcPr>
            <w:tcW w:w="62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w w:val="94"/>
              </w:rPr>
              <w:t>February 14, 2006, among the Registrant, Brady Worldwide,</w:t>
            </w:r>
          </w:p>
        </w:tc>
      </w:tr>
      <w:tr>
        <w:trPr>
          <w:trHeight w:val="230"/>
        </w:trPr>
        <w:tc>
          <w:tcPr>
            <w:tcW w:w="620" w:type="dxa"/>
            <w:vAlign w:val="bottom"/>
          </w:tcPr>
          <w:p>
            <w:pPr>
              <w:spacing w:after="0"/>
              <w:rPr>
                <w:sz w:val="20"/>
                <w:szCs w:val="20"/>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Inc., Tricor Direct, Inc., and the purchasers party thereto</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4.8</w:t>
            </w:r>
          </w:p>
        </w:tc>
        <w:tc>
          <w:tcPr>
            <w:tcW w:w="4840" w:type="dxa"/>
            <w:vAlign w:val="bottom"/>
          </w:tcPr>
          <w:p>
            <w:pPr>
              <w:ind w:left="300"/>
              <w:spacing w:after="0"/>
              <w:rPr>
                <w:sz w:val="20"/>
                <w:szCs w:val="20"/>
                <w:color w:val="auto"/>
              </w:rPr>
            </w:pPr>
            <w:r>
              <w:rPr>
                <w:rFonts w:ascii="Arial" w:cs="Arial" w:eastAsia="Arial" w:hAnsi="Arial"/>
                <w:sz w:val="18"/>
                <w:szCs w:val="18"/>
                <w:color w:val="auto"/>
              </w:rPr>
              <w:t>Second Supplement to Note Purchase Agreement dated</w:t>
            </w:r>
          </w:p>
        </w:tc>
      </w:tr>
      <w:tr>
        <w:trPr>
          <w:trHeight w:val="216"/>
        </w:trPr>
        <w:tc>
          <w:tcPr>
            <w:tcW w:w="62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w w:val="90"/>
              </w:rPr>
              <w:t>March 23, 2007, among the Registrant, Brady Worldwide, Inc.,</w:t>
            </w:r>
          </w:p>
        </w:tc>
      </w:tr>
      <w:tr>
        <w:trPr>
          <w:trHeight w:val="230"/>
        </w:trPr>
        <w:tc>
          <w:tcPr>
            <w:tcW w:w="620" w:type="dxa"/>
            <w:vAlign w:val="bottom"/>
          </w:tcPr>
          <w:p>
            <w:pPr>
              <w:spacing w:after="0"/>
              <w:rPr>
                <w:sz w:val="20"/>
                <w:szCs w:val="20"/>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Tricor Direct, Inc., and the purchasers party thereto</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5.1</w:t>
            </w:r>
          </w:p>
        </w:tc>
        <w:tc>
          <w:tcPr>
            <w:tcW w:w="4840" w:type="dxa"/>
            <w:vAlign w:val="bottom"/>
          </w:tcPr>
          <w:p>
            <w:pPr>
              <w:ind w:left="300"/>
              <w:spacing w:after="0"/>
              <w:rPr>
                <w:sz w:val="20"/>
                <w:szCs w:val="20"/>
                <w:color w:val="auto"/>
              </w:rPr>
            </w:pPr>
            <w:r>
              <w:rPr>
                <w:rFonts w:ascii="Arial" w:cs="Arial" w:eastAsia="Arial" w:hAnsi="Arial"/>
                <w:sz w:val="18"/>
                <w:szCs w:val="18"/>
                <w:color w:val="auto"/>
              </w:rPr>
              <w:t>Opinion of Quarles &amp; Brady LLP as to the legality of the</w:t>
            </w:r>
          </w:p>
        </w:tc>
      </w:tr>
      <w:tr>
        <w:trPr>
          <w:trHeight w:val="230"/>
        </w:trPr>
        <w:tc>
          <w:tcPr>
            <w:tcW w:w="620" w:type="dxa"/>
            <w:vAlign w:val="bottom"/>
          </w:tcPr>
          <w:p>
            <w:pPr>
              <w:spacing w:after="0"/>
              <w:rPr>
                <w:sz w:val="20"/>
                <w:szCs w:val="20"/>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securities being registered</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12.1</w:t>
            </w:r>
          </w:p>
        </w:tc>
        <w:tc>
          <w:tcPr>
            <w:tcW w:w="4840" w:type="dxa"/>
            <w:vAlign w:val="bottom"/>
          </w:tcPr>
          <w:p>
            <w:pPr>
              <w:ind w:left="300"/>
              <w:spacing w:after="0"/>
              <w:rPr>
                <w:sz w:val="20"/>
                <w:szCs w:val="20"/>
                <w:color w:val="auto"/>
              </w:rPr>
            </w:pPr>
            <w:r>
              <w:rPr>
                <w:rFonts w:ascii="Arial" w:cs="Arial" w:eastAsia="Arial" w:hAnsi="Arial"/>
                <w:sz w:val="18"/>
                <w:szCs w:val="18"/>
                <w:color w:val="auto"/>
              </w:rPr>
              <w:t>Statement of Computation of Ratio of Earnings to Fixed</w:t>
            </w:r>
          </w:p>
        </w:tc>
      </w:tr>
      <w:tr>
        <w:trPr>
          <w:trHeight w:val="230"/>
        </w:trPr>
        <w:tc>
          <w:tcPr>
            <w:tcW w:w="620" w:type="dxa"/>
            <w:vAlign w:val="bottom"/>
          </w:tcPr>
          <w:p>
            <w:pPr>
              <w:spacing w:after="0"/>
              <w:rPr>
                <w:sz w:val="20"/>
                <w:szCs w:val="20"/>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Charges</w:t>
            </w:r>
          </w:p>
        </w:tc>
      </w:tr>
    </w:tbl>
    <w:p>
      <w:pPr>
        <w:spacing w:after="0" w:line="20" w:lineRule="exact"/>
        <w:rPr>
          <w:sz w:val="20"/>
          <w:szCs w:val="20"/>
          <w:color w:val="auto"/>
        </w:rPr>
      </w:pPr>
      <w:r>
        <w:rPr>
          <w:sz w:val="20"/>
          <w:szCs w:val="20"/>
          <w:color w:val="auto"/>
        </w:rPr>
        <w:br w:type="column"/>
      </w:r>
    </w:p>
    <w:p>
      <w:pPr>
        <w:ind w:left="320" w:right="1000"/>
        <w:spacing w:after="0" w:line="277" w:lineRule="auto"/>
        <w:rPr>
          <w:sz w:val="20"/>
          <w:szCs w:val="20"/>
          <w:color w:val="auto"/>
        </w:rPr>
      </w:pPr>
      <w:r>
        <w:rPr>
          <w:rFonts w:ascii="Arial" w:cs="Arial" w:eastAsia="Arial" w:hAnsi="Arial"/>
          <w:sz w:val="18"/>
          <w:szCs w:val="18"/>
          <w:color w:val="auto"/>
        </w:rPr>
        <w:t>Exhibit 10.1 to the Registrant’s Current Report on Form 8-K/A filed on August 3, 2004</w:t>
      </w:r>
    </w:p>
    <w:p>
      <w:pPr>
        <w:spacing w:after="0" w:line="387" w:lineRule="exact"/>
        <w:rPr>
          <w:sz w:val="20"/>
          <w:szCs w:val="20"/>
          <w:color w:val="auto"/>
        </w:rPr>
      </w:pPr>
    </w:p>
    <w:p>
      <w:pPr>
        <w:ind w:left="320" w:right="1080"/>
        <w:spacing w:after="0" w:line="277" w:lineRule="auto"/>
        <w:rPr>
          <w:sz w:val="20"/>
          <w:szCs w:val="20"/>
          <w:color w:val="auto"/>
        </w:rPr>
      </w:pPr>
      <w:r>
        <w:rPr>
          <w:rFonts w:ascii="Arial" w:cs="Arial" w:eastAsia="Arial" w:hAnsi="Arial"/>
          <w:sz w:val="18"/>
          <w:szCs w:val="18"/>
          <w:color w:val="auto"/>
        </w:rPr>
        <w:t>Exhibit 10.1 to Registrant’s Current Report on Form 8-K filed February 17, 2006.</w:t>
      </w:r>
    </w:p>
    <w:p>
      <w:pPr>
        <w:spacing w:after="0" w:line="387" w:lineRule="exact"/>
        <w:rPr>
          <w:sz w:val="20"/>
          <w:szCs w:val="20"/>
          <w:color w:val="auto"/>
        </w:rPr>
      </w:pPr>
    </w:p>
    <w:p>
      <w:pPr>
        <w:ind w:left="320" w:right="1080"/>
        <w:spacing w:after="0" w:line="277" w:lineRule="auto"/>
        <w:rPr>
          <w:sz w:val="20"/>
          <w:szCs w:val="20"/>
          <w:color w:val="auto"/>
        </w:rPr>
      </w:pPr>
      <w:r>
        <w:rPr>
          <w:rFonts w:ascii="Arial" w:cs="Arial" w:eastAsia="Arial" w:hAnsi="Arial"/>
          <w:sz w:val="18"/>
          <w:szCs w:val="18"/>
          <w:color w:val="auto"/>
        </w:rPr>
        <w:t>Exhibit 10.1 to Registrant’s Current Report on Form 8-K filed March 26, 2007.</w:t>
      </w:r>
    </w:p>
    <w:p>
      <w:pPr>
        <w:spacing w:after="0" w:line="387"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60" w:space="80"/>
            <w:col w:w="5860"/>
          </w:cols>
          <w:pgMar w:left="240" w:top="419" w:right="2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2420" w:type="dxa"/>
            <w:vAlign w:val="bottom"/>
          </w:tcPr>
          <w:p>
            <w:pPr>
              <w:ind w:left="1140"/>
              <w:spacing w:after="0"/>
              <w:rPr>
                <w:sz w:val="20"/>
                <w:szCs w:val="20"/>
                <w:color w:val="auto"/>
              </w:rPr>
            </w:pPr>
            <w:r>
              <w:rPr>
                <w:rFonts w:ascii="Arial" w:cs="Arial" w:eastAsia="Arial" w:hAnsi="Arial"/>
                <w:sz w:val="14"/>
                <w:szCs w:val="14"/>
                <w:b w:val="1"/>
                <w:bCs w:val="1"/>
                <w:color w:val="auto"/>
                <w:w w:val="94"/>
              </w:rPr>
              <w:t>Incorporated Herein</w:t>
            </w:r>
          </w:p>
        </w:tc>
        <w:tc>
          <w:tcPr>
            <w:tcW w:w="0" w:type="dxa"/>
            <w:vAlign w:val="bottom"/>
          </w:tcPr>
          <w:p>
            <w:pPr>
              <w:spacing w:after="0"/>
              <w:rPr>
                <w:sz w:val="1"/>
                <w:szCs w:val="1"/>
                <w:color w:val="auto"/>
              </w:rPr>
            </w:pPr>
          </w:p>
        </w:tc>
      </w:tr>
      <w:tr>
        <w:trPr>
          <w:trHeight w:val="186"/>
        </w:trPr>
        <w:tc>
          <w:tcPr>
            <w:tcW w:w="680" w:type="dxa"/>
            <w:vAlign w:val="bottom"/>
            <w:vMerge w:val="continue"/>
          </w:tcPr>
          <w:p>
            <w:pPr>
              <w:spacing w:after="0"/>
              <w:rPr>
                <w:sz w:val="16"/>
                <w:szCs w:val="16"/>
                <w:color w:val="auto"/>
              </w:rPr>
            </w:pPr>
          </w:p>
        </w:tc>
        <w:tc>
          <w:tcPr>
            <w:tcW w:w="3900" w:type="dxa"/>
            <w:vAlign w:val="bottom"/>
            <w:vMerge w:val="continue"/>
          </w:tcPr>
          <w:p>
            <w:pPr>
              <w:spacing w:after="0"/>
              <w:rPr>
                <w:sz w:val="16"/>
                <w:szCs w:val="16"/>
                <w:color w:val="auto"/>
              </w:rPr>
            </w:pPr>
          </w:p>
        </w:tc>
        <w:tc>
          <w:tcPr>
            <w:tcW w:w="2420" w:type="dxa"/>
            <w:vAlign w:val="bottom"/>
          </w:tcPr>
          <w:p>
            <w:pPr>
              <w:ind w:left="1140"/>
              <w:spacing w:after="0"/>
              <w:rPr>
                <w:sz w:val="20"/>
                <w:szCs w:val="20"/>
                <w:color w:val="auto"/>
              </w:rPr>
            </w:pPr>
            <w:r>
              <w:rPr>
                <w:rFonts w:ascii="Arial" w:cs="Arial" w:eastAsia="Arial" w:hAnsi="Arial"/>
                <w:sz w:val="14"/>
                <w:szCs w:val="14"/>
                <w:b w:val="1"/>
                <w:bCs w:val="1"/>
                <w:color w:val="auto"/>
              </w:rPr>
              <w:t>By Reference To</w:t>
            </w:r>
          </w:p>
        </w:tc>
        <w:tc>
          <w:tcPr>
            <w:tcW w:w="0" w:type="dxa"/>
            <w:vAlign w:val="bottom"/>
          </w:tcPr>
          <w:p>
            <w:pPr>
              <w:spacing w:after="0"/>
              <w:rPr>
                <w:sz w:val="1"/>
                <w:szCs w:val="1"/>
                <w:color w:val="auto"/>
              </w:rPr>
            </w:pPr>
          </w:p>
        </w:tc>
      </w:tr>
      <w:tr>
        <w:trPr>
          <w:trHeight w:val="417"/>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3900" w:type="dxa"/>
            <w:vAlign w:val="bottom"/>
          </w:tcPr>
          <w:p>
            <w:pPr>
              <w:ind w:left="220"/>
              <w:spacing w:after="0"/>
              <w:rPr>
                <w:sz w:val="20"/>
                <w:szCs w:val="20"/>
                <w:color w:val="auto"/>
              </w:rPr>
            </w:pPr>
            <w:r>
              <w:rPr>
                <w:rFonts w:ascii="Arial" w:cs="Arial" w:eastAsia="Arial" w:hAnsi="Arial"/>
                <w:sz w:val="18"/>
                <w:szCs w:val="18"/>
                <w:color w:val="auto"/>
              </w:rPr>
              <w:t>Consent of Deloitte &amp; Touche LLP</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3900" w:type="dxa"/>
            <w:vAlign w:val="bottom"/>
          </w:tcPr>
          <w:p>
            <w:pPr>
              <w:ind w:left="220"/>
              <w:spacing w:after="0"/>
              <w:rPr>
                <w:sz w:val="20"/>
                <w:szCs w:val="20"/>
                <w:color w:val="auto"/>
              </w:rPr>
            </w:pPr>
            <w:r>
              <w:rPr>
                <w:rFonts w:ascii="Arial" w:cs="Arial" w:eastAsia="Arial" w:hAnsi="Arial"/>
                <w:sz w:val="18"/>
                <w:szCs w:val="18"/>
                <w:color w:val="auto"/>
              </w:rPr>
              <w:t>Consent of Quarles &amp; Brady LLP</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3900" w:type="dxa"/>
            <w:vAlign w:val="bottom"/>
          </w:tcPr>
          <w:p>
            <w:pPr>
              <w:ind w:left="220"/>
              <w:spacing w:after="0"/>
              <w:rPr>
                <w:sz w:val="20"/>
                <w:szCs w:val="20"/>
                <w:color w:val="auto"/>
              </w:rPr>
            </w:pPr>
            <w:r>
              <w:rPr>
                <w:rFonts w:ascii="Arial" w:cs="Arial" w:eastAsia="Arial" w:hAnsi="Arial"/>
                <w:sz w:val="18"/>
                <w:szCs w:val="18"/>
                <w:color w:val="auto"/>
              </w:rPr>
              <w:t>Powers of Attorney</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13036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left="5540" w:right="3880" w:hanging="5532"/>
        <w:spacing w:after="0" w:line="571" w:lineRule="auto"/>
        <w:tabs>
          <w:tab w:leader="none" w:pos="4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be filed by amendment or as an exhibit to a Current Report on Form 8-K. EI- 2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Herewith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5.1)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Pages)</w:t>
      </w:r>
    </w:p>
    <w:p>
      <w:pPr>
        <w:sectPr>
          <w:pgSz w:w="11900" w:h="16838" w:orient="portrait"/>
          <w:cols w:equalWidth="0" w:num="2">
            <w:col w:w="9840" w:space="720"/>
            <w:col w:w="860"/>
          </w:cols>
          <w:pgMar w:left="240" w:top="41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Quarles &amp; Brady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411 East Wisconsin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53202-4497</w:t>
      </w:r>
    </w:p>
    <w:p>
      <w:pPr>
        <w:spacing w:after="0" w:line="10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November 24,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We are providing this opinion in connection with the Registration Statement of Brady Corporation (the “Company”) on Form S-3 (the “Registration Statement”) to be filed with the Securities and Exchange Commission (the “Commission”) under the Securities Act of 1933, as amended (the “Act”). The Registration Statement relates to the proposed offering on a delayed basis pursuant to Rule 415 under the Act, together or separately, of an indeterminate amount of the Company’s (i) unsecured debt securities (the “Debt Securities”), (ii) related guarantees (the “Gurantees”) by various Company subsidiaries (the “Subsidiaries”) and/or (iii) Class A Nonvoting Common Stock, par value $0.01 per share (the “Common Stock”). The Debt Securities, the Guarantees and the Common Stock are collectively referred to herein as the “Offered Securities.”</w:t>
      </w:r>
    </w:p>
    <w:p>
      <w:pPr>
        <w:spacing w:after="0" w:line="70" w:lineRule="exact"/>
        <w:rPr>
          <w:sz w:val="20"/>
          <w:szCs w:val="20"/>
          <w:color w:val="auto"/>
        </w:rPr>
      </w:pPr>
    </w:p>
    <w:p>
      <w:pPr>
        <w:ind w:right="20" w:firstLine="222"/>
        <w:spacing w:after="0" w:line="286" w:lineRule="auto"/>
        <w:rPr>
          <w:sz w:val="20"/>
          <w:szCs w:val="20"/>
          <w:color w:val="auto"/>
        </w:rPr>
      </w:pPr>
      <w:r>
        <w:rPr>
          <w:rFonts w:ascii="Arial" w:cs="Arial" w:eastAsia="Arial" w:hAnsi="Arial"/>
          <w:sz w:val="17"/>
          <w:szCs w:val="17"/>
          <w:color w:val="auto"/>
        </w:rPr>
        <w:t>We have examined (i) the Registration Statement; (ii) the Company’s Restated Articles of Incorporation and By-Laws, as amended to date; (iii) corporate proceedings of the Company and, if applicable, the relevant subsidiaries, relating to the Registration Statement and the transactions contemplated thereby; and (iv) such other documents, and such matters of law, as we have deemed necessary in order to render this opinion.</w:t>
      </w:r>
    </w:p>
    <w:p>
      <w:pPr>
        <w:spacing w:after="0" w:line="57"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In connection with this opinion, we have assumed that, at or prior to the time of delivery of the Offered Securities, (i) the Registration Statement and any amendments thereto (including post-effective amendments) will have become effective under the Act; (ii) a prospectus supplement will have been prepared and filed with the Commission describing the terms of each particular issue of Offered Securities offered and the terms of the offering thereof; (iii) all Offered Securities will be issued and sold in compliance with applicable federal and state securities laws and in the manner stated in the Registration Statement and the applicable prospectus supplement; (iv) with respect to an offering of Debt Securities and any Guarantees, any indenture providing for the issuance of Debt Securities (the “Indenture”) will have been duly qualified under the Trust Indenture Act of 1939, as amended (the “Trust Indenture Act”), and will have been duly authorized, executed and delivered by the Company and the trustee under the Indenture, and any securities resolutions setting forth the terms of a series of Debt Securities to be issued under the Indenture (the “Securities Resolution”) will have been duly authorized by the Company; (v) a Form T-1 will be filed with the Commission with respect to the trustee executing any Indenture or any supplemental indenture to any such Indenture; (vi) as appropriate, a definitive purchase, underwriting or similar agreement with respect to any Offered Securities offered will have been duly authorized, executed and delivered by the Company and the other parties thereto; and (vii) with respect to shares of Common Stock offered, there will be sufficient shares of Common Stock authorized under the Company’s Restated Articles of Incorporation, as amended, and not otherwise reserved for issuance.</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the basis and subject to the foregoing, we advise you that, in our opinion:</w:t>
      </w:r>
    </w:p>
    <w:p>
      <w:pPr>
        <w:spacing w:after="0" w:line="117" w:lineRule="exact"/>
        <w:rPr>
          <w:sz w:val="20"/>
          <w:szCs w:val="20"/>
          <w:color w:val="auto"/>
        </w:rPr>
      </w:pPr>
    </w:p>
    <w:p>
      <w:pPr>
        <w:ind w:left="660" w:hanging="43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is a corporation validly existing under the laws of the State of Wisconsin.</w:t>
      </w:r>
    </w:p>
    <w:p>
      <w:pPr>
        <w:spacing w:after="0" w:line="130" w:lineRule="exact"/>
        <w:rPr>
          <w:rFonts w:ascii="Arial" w:cs="Arial" w:eastAsia="Arial" w:hAnsi="Arial"/>
          <w:sz w:val="18"/>
          <w:szCs w:val="18"/>
          <w:color w:val="auto"/>
        </w:rPr>
      </w:pPr>
    </w:p>
    <w:p>
      <w:pPr>
        <w:ind w:left="660" w:right="180" w:hanging="436"/>
        <w:spacing w:after="0" w:line="25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When (i) the Registration Statement has become effective under the Act and the Indenture has been duly qualified under the Trust Indenture Act, (ii) the terms of any class or series of Offered Securities have been authorized by appropriate action of the Company and, in the case of any Guarantees, the applicable subsidiaries, (iii) any Debt Securities and Guarantees have been duly executed, authenticated, issued and delivered in accordance with the provisions of the Indenture and the applicable Securities Resolution, and (iv) any such class or series of Offered Securities has been duly issued and sold, and payment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6"/>
          <w:szCs w:val="16"/>
          <w:color w:val="auto"/>
        </w:rPr>
        <w:t>received for such Offered Securities in the manner contemplated in the Registration Statement and the prospectus supplement relating thereto, then</w:t>
      </w:r>
    </w:p>
    <w:p>
      <w:pPr>
        <w:spacing w:after="0" w:line="46" w:lineRule="exact"/>
        <w:rPr>
          <w:sz w:val="20"/>
          <w:szCs w:val="20"/>
          <w:color w:val="auto"/>
        </w:rPr>
      </w:pPr>
    </w:p>
    <w:p>
      <w:pPr>
        <w:ind w:left="660" w:right="140" w:firstLine="10"/>
        <w:spacing w:after="0" w:line="270" w:lineRule="auto"/>
        <w:tabs>
          <w:tab w:leader="none" w:pos="905"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the Offered Securities are shares of Common Stock, such shares will be validly issued, fully paid and nonassessable, subject to the personal liability which may be imposed on shareholders by former Section 180.0622(2)(b) of the Wisconsin Business Corporation Law, as judicially interpreted, for debts incurred prior to June 14, 2006 (for debts incurred on or after such date, Section 180.0622(2)(b) has been repealed) owing to employees for services performed, but not exceeding six months service in any one case; (b) if the Offered Securities are Debt Securities, they will be legally issued and will constitute valid and binding obligations of the Company; and (c) if the Offered Securities are guarantees, they will be legally issued and will constitute valid and binding obligations of the subsidiaries executing them.</w:t>
      </w:r>
    </w:p>
    <w:p>
      <w:pPr>
        <w:spacing w:after="0" w:line="71"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We are qualified to practice law in the State of Wisconsin and we do not purport to be experts on the law other than that of the State of Wisconsin and the federal laws of the United States of America. We express no opinion as to the laws of any jurisdiction other than the State of Wisconsin and the federal laws of the United States. The Company’s Secretary, Hoyt R. Stastney, is a Partner of Quarles &amp; Brady LLP.</w:t>
      </w:r>
    </w:p>
    <w:p>
      <w:pPr>
        <w:spacing w:after="0" w:line="7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 to our firm under the caption “Legal Matters” in the prospectus constituting a part thereof. In giving our consent, we do not admit that we come within the category of persons whose consent is required under Section 7 of the Act or the rules and regulations of the Commission thereunder.</w:t>
      </w:r>
    </w:p>
    <w:p>
      <w:pPr>
        <w:spacing w:after="0" w:line="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QUARLES &amp; BRADY LLP</w:t>
      </w:r>
    </w:p>
    <w:p>
      <w:pPr>
        <w:sectPr>
          <w:pgSz w:w="11900" w:h="16838" w:orient="portrait"/>
          <w:cols w:equalWidth="0" w:num="1">
            <w:col w:w="11380"/>
          </w:cols>
          <w:pgMar w:left="240" w:top="935" w:right="279" w:bottom="1440" w:gutter="0" w:footer="0" w:header="0"/>
        </w:sectPr>
      </w:pPr>
    </w:p>
    <w:bookmarkStart w:id="45" w:name="page46"/>
    <w:bookmarkEnd w:id="45"/>
    <w:p>
      <w:pPr>
        <w:ind w:left="10480"/>
        <w:spacing w:after="0"/>
        <w:rPr>
          <w:sz w:val="20"/>
          <w:szCs w:val="20"/>
          <w:color w:val="auto"/>
        </w:rPr>
      </w:pPr>
      <w:r>
        <w:rPr>
          <w:rFonts w:ascii="Arial" w:cs="Arial" w:eastAsia="Arial" w:hAnsi="Arial"/>
          <w:sz w:val="16"/>
          <w:szCs w:val="16"/>
          <w:b w:val="1"/>
          <w:bCs w:val="1"/>
          <w:color w:val="auto"/>
        </w:rPr>
        <w:t>Exhibit 12.1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2007</w:t>
            </w:r>
          </w:p>
        </w:tc>
        <w:tc>
          <w:tcPr>
            <w:tcW w:w="2160" w:type="dxa"/>
            <w:vAlign w:val="bottom"/>
            <w:gridSpan w:val="4"/>
          </w:tcPr>
          <w:p>
            <w:pPr>
              <w:ind w:left="440"/>
              <w:spacing w:after="0"/>
              <w:rPr>
                <w:sz w:val="20"/>
                <w:szCs w:val="20"/>
                <w:color w:val="auto"/>
              </w:rPr>
            </w:pPr>
            <w:r>
              <w:rPr>
                <w:rFonts w:ascii="Arial" w:cs="Arial" w:eastAsia="Arial" w:hAnsi="Arial"/>
                <w:sz w:val="14"/>
                <w:szCs w:val="14"/>
                <w:b w:val="1"/>
                <w:bCs w:val="1"/>
                <w:color w:val="auto"/>
              </w:rPr>
              <w:t>Years Ended July 31,</w:t>
            </w:r>
          </w:p>
        </w:tc>
        <w:tc>
          <w:tcPr>
            <w:tcW w:w="26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186,187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151,927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144,688</w:t>
            </w:r>
          </w:p>
        </w:tc>
        <w:tc>
          <w:tcPr>
            <w:tcW w:w="52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115,418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70,327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back:</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20"/>
              <w:spacing w:after="0"/>
              <w:rPr>
                <w:sz w:val="20"/>
                <w:szCs w:val="20"/>
                <w:color w:val="auto"/>
              </w:rPr>
            </w:pPr>
            <w:r>
              <w:rPr>
                <w:rFonts w:ascii="Arial" w:cs="Arial" w:eastAsia="Arial" w:hAnsi="Arial"/>
                <w:sz w:val="18"/>
                <w:szCs w:val="18"/>
                <w:color w:val="auto"/>
              </w:rPr>
              <w:t>Fixed charges less interest capitalized</w:t>
            </w:r>
          </w:p>
        </w:tc>
        <w:tc>
          <w:tcPr>
            <w:tcW w:w="24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29,059</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25,158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15,572</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9,809</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tcPr>
          <w:p>
            <w:pPr>
              <w:ind w:left="420"/>
              <w:spacing w:after="0" w:line="201" w:lineRule="exact"/>
              <w:rPr>
                <w:sz w:val="20"/>
                <w:szCs w:val="20"/>
                <w:color w:val="auto"/>
              </w:rPr>
            </w:pPr>
            <w:r>
              <w:rPr>
                <w:rFonts w:ascii="Arial" w:cs="Arial" w:eastAsia="Arial" w:hAnsi="Arial"/>
                <w:sz w:val="18"/>
                <w:szCs w:val="18"/>
                <w:color w:val="auto"/>
              </w:rPr>
              <w:t>Preferred stock dividends and premium</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620"/>
              <w:spacing w:after="0"/>
              <w:rPr>
                <w:sz w:val="20"/>
                <w:szCs w:val="20"/>
                <w:color w:val="auto"/>
              </w:rPr>
            </w:pPr>
            <w:r>
              <w:rPr>
                <w:rFonts w:ascii="Arial" w:cs="Arial" w:eastAsia="Arial" w:hAnsi="Arial"/>
                <w:sz w:val="18"/>
                <w:szCs w:val="18"/>
                <w:color w:val="auto"/>
              </w:rPr>
              <w:t>on redemption of preferred stock</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Total earnings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215,246</w:t>
            </w: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177,085</w:t>
            </w: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160,260</w:t>
            </w:r>
          </w:p>
        </w:tc>
        <w:tc>
          <w:tcPr>
            <w:tcW w:w="5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125,227</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72,689</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capitalized and expensed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26,385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22,936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14,131</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8,470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Amortization of debt expense</w:t>
            </w:r>
          </w:p>
        </w:tc>
        <w:tc>
          <w:tcPr>
            <w:tcW w:w="24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341</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284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252</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214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portion of rent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2,333</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1,936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1,290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1,192</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02"/>
        </w:trPr>
        <w:tc>
          <w:tcPr>
            <w:tcW w:w="3840" w:type="dxa"/>
            <w:vAlign w:val="bottom"/>
          </w:tcPr>
          <w:p>
            <w:pPr>
              <w:ind w:left="220"/>
              <w:spacing w:after="0" w:line="201" w:lineRule="exact"/>
              <w:rPr>
                <w:sz w:val="20"/>
                <w:szCs w:val="20"/>
                <w:color w:val="auto"/>
              </w:rPr>
            </w:pPr>
            <w:r>
              <w:rPr>
                <w:rFonts w:ascii="Arial" w:cs="Arial" w:eastAsia="Arial" w:hAnsi="Arial"/>
                <w:sz w:val="18"/>
                <w:szCs w:val="18"/>
                <w:color w:val="auto"/>
              </w:rPr>
              <w:t>Preferred stock dividends and premium on</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420"/>
              <w:spacing w:after="0"/>
              <w:rPr>
                <w:sz w:val="20"/>
                <w:szCs w:val="20"/>
                <w:color w:val="auto"/>
              </w:rPr>
            </w:pPr>
            <w:r>
              <w:rPr>
                <w:rFonts w:ascii="Arial" w:cs="Arial" w:eastAsia="Arial" w:hAnsi="Arial"/>
                <w:sz w:val="18"/>
                <w:szCs w:val="18"/>
                <w:color w:val="auto"/>
              </w:rPr>
              <w:t>redemption of preferred stock</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Total Fixed Charges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29,059</w:t>
            </w: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25,156</w:t>
            </w: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15,673</w:t>
            </w:r>
          </w:p>
        </w:tc>
        <w:tc>
          <w:tcPr>
            <w:tcW w:w="5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9,876</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Ratio of Earnings to Fixed Charges ( 1)</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40" w:type="dxa"/>
            <w:vAlign w:val="bottom"/>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7.4</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7.0</w:t>
            </w: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10.2</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12.7</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80" w:hanging="452"/>
        <w:spacing w:after="0" w:line="279"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ratio of earnings to fixed charges has been computed by adding income before income taxes and fixed charges less interest capitalized and subtracting preferred stock dividends and premium on redemption of preferred stock to derive total earnings, and dividing total earnings by fixed charges. Fixed charges consist of interest expensed and capitalized, amortization of debt expense, 8.5% of rent expense which is deemed representative of an interest factor and preferred stock dividends and premium on redemption of preferred stock.</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reports dated September 26, 2008, relating to the financial statements and the financial statement schedule of Brady Corporation, and the effectiveness of Brady Corporation’s internal control over financial reporting, appearing in the Annual Report on Form 10-K of Brady Corporation for the year ended July 31, 2008, and to the reference to us under the heading “Experts” in the Prospectus, which is part of this Registration Statement.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2008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lvl w:ilvl="1">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
    <w:nsid w:val="189A769B"/>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20">
    <w:nsid w:val="54E49EB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1">
    <w:nsid w:val="71F32454"/>
    <w:multiLevelType w:val="hybridMultilevel"/>
    <w:lvl w:ilvl="0">
      <w:lvlJc w:val="left"/>
      <w:lvlText w:val="%1"/>
      <w:numFmt w:val="lowerLetter"/>
      <w:start w:val="1"/>
    </w:lvl>
    <w:lvl w:ilvl="1">
      <w:lvlJc w:val="left"/>
      <w:lvlText w:val="(%2)"/>
      <w:numFmt w:val="lowerLetter"/>
      <w:start w:val="3"/>
    </w:lvl>
  </w:abstractNum>
  <w:abstractNum w:abstractNumId="22">
    <w:nsid w:val="2CA88611"/>
    <w:multiLevelType w:val="hybridMultilevel"/>
    <w:lvl w:ilvl="0">
      <w:lvlJc w:val="left"/>
      <w:lvlText w:val="(%1)"/>
      <w:numFmt w:val="lowerLetter"/>
      <w:start w:val="1"/>
    </w:lvl>
    <w:lvl w:ilvl="1">
      <w:lvlJc w:val="left"/>
      <w:lvlText w:val="%2"/>
      <w:numFmt w:val="lowerLetter"/>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2019-12-16T12:27:33Z</dcterms:created>
  <dcterms:modified xsi:type="dcterms:W3CDTF">2019-12-16T12:27:33Z</dcterms:modified>
</cp:coreProperties>
</file>