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 1745</w:t>
      </w:r>
    </w:p>
    <w:p>
      <w:pPr>
        <w:spacing w:after="0" w:line="238" w:lineRule="auto"/>
        <w:rPr>
          <w:sz w:val="20"/>
          <w:szCs w:val="20"/>
          <w:color w:val="auto"/>
        </w:rPr>
      </w:pPr>
      <w:r>
        <w:rPr>
          <w:rFonts w:ascii="Courier New" w:cs="Courier New" w:eastAsia="Courier New" w:hAnsi="Courier New"/>
          <w:sz w:val="18"/>
          <w:szCs w:val="18"/>
          <w:color w:val="auto"/>
        </w:rPr>
        <w:t>(12-02)Persons who respond to the collection of information contained in this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are not required to respond unless the form displays a currently valid OMB</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control number</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OMB APPROVALOMB NUMBER:</w:t>
      </w:r>
      <w:r>
        <w:rPr>
          <w:sz w:val="20"/>
          <w:szCs w:val="20"/>
          <w:color w:val="auto"/>
        </w:rPr>
        <w:tab/>
      </w:r>
      <w:r>
        <w:rPr>
          <w:rFonts w:ascii="Courier New" w:cs="Courier New" w:eastAsia="Courier New" w:hAnsi="Courier New"/>
          <w:sz w:val="16"/>
          <w:szCs w:val="16"/>
          <w:color w:val="auto"/>
        </w:rPr>
        <w:t>3235-0145Expires: 12/31/2008 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response...11</w:t>
      </w:r>
    </w:p>
    <w:p>
      <w:pPr>
        <w:spacing w:after="0"/>
        <w:rPr>
          <w:sz w:val="20"/>
          <w:szCs w:val="20"/>
          <w:color w:val="auto"/>
        </w:rPr>
      </w:pPr>
      <w:r>
        <w:rPr>
          <w:rFonts w:ascii="Courier New" w:cs="Courier New" w:eastAsia="Courier New" w:hAnsi="Courier New"/>
          <w:sz w:val="18"/>
          <w:szCs w:val="18"/>
          <w:color w:val="auto"/>
        </w:rPr>
        <w:t>UNITED STATES</w:t>
      </w:r>
    </w:p>
    <w:p>
      <w:pPr>
        <w:spacing w:after="0" w:line="237"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No.23)*</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104674106</w:t>
      </w:r>
    </w:p>
    <w:p>
      <w:pPr>
        <w:spacing w:after="0" w:line="237"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12/31/2008</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 w:lineRule="exact"/>
        <w:rPr>
          <w:rFonts w:ascii="Courier New" w:cs="Courier New" w:eastAsia="Courier New" w:hAnsi="Courier New"/>
          <w:sz w:val="18"/>
          <w:szCs w:val="18"/>
          <w:color w:val="auto"/>
        </w:rPr>
      </w:pPr>
    </w:p>
    <w:p>
      <w:pPr>
        <w:ind w:left="860" w:right="5579" w:hanging="852"/>
        <w:spacing w:after="0" w:line="536"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 Limited Liability Company</w:t>
      </w:r>
    </w:p>
    <w:p>
      <w:pPr>
        <w:spacing w:after="0" w:line="234" w:lineRule="auto"/>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4"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3,837,598</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4,726,923</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4,731,228</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4,731,228/48,758,566=9.7%</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right="70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Ariel Investments, LLC</w:t>
      </w: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Drive,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35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w:t>
      </w:r>
    </w:p>
    <w:p>
      <w:pPr>
        <w:spacing w:after="0" w:line="5" w:lineRule="exact"/>
        <w:rPr>
          <w:sz w:val="20"/>
          <w:szCs w:val="20"/>
          <w:color w:val="auto"/>
        </w:rPr>
      </w:pPr>
    </w:p>
    <w:p>
      <w:pPr>
        <w:ind w:left="1700" w:right="1579"/>
        <w:spacing w:after="0" w:line="268" w:lineRule="auto"/>
        <w:rPr>
          <w:sz w:val="20"/>
          <w:szCs w:val="20"/>
          <w:color w:val="auto"/>
        </w:rPr>
      </w:pPr>
      <w:r>
        <w:rPr>
          <w:rFonts w:ascii="Courier New" w:cs="Courier New" w:eastAsia="Courier New" w:hAnsi="Courier New"/>
          <w:sz w:val="16"/>
          <w:szCs w:val="16"/>
          <w:color w:val="auto"/>
        </w:rPr>
        <w:t>Act(15 U.S.C. 78c).(d) [_] Investment company registered under section 8 of the Investment Company Act of 1940 (15 U.S.C. 80a-8).</w:t>
      </w: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 w:lineRule="exact"/>
        <w:rPr>
          <w:sz w:val="20"/>
          <w:szCs w:val="20"/>
          <w:color w:val="auto"/>
        </w:rPr>
      </w:pPr>
    </w:p>
    <w:p>
      <w:pPr>
        <w:ind w:left="1700" w:right="577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Page 2, No. 9)</w:t>
      </w:r>
    </w:p>
    <w:p>
      <w:pPr>
        <w:ind w:left="1700" w:right="641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Page 2, No. 11)</w:t>
      </w:r>
    </w:p>
    <w:p>
      <w:pPr>
        <w:ind w:left="1700" w:hanging="84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5" w:lineRule="exact"/>
        <w:rPr>
          <w:sz w:val="20"/>
          <w:szCs w:val="20"/>
          <w:color w:val="auto"/>
        </w:rPr>
      </w:pPr>
    </w:p>
    <w:p>
      <w:pPr>
        <w:ind w:left="1700" w:right="431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Page 2, No. 5)</w:t>
      </w:r>
    </w:p>
    <w:p>
      <w:pPr>
        <w:spacing w:after="0" w:line="5" w:lineRule="exact"/>
        <w:rPr>
          <w:rFonts w:ascii="Courier New" w:cs="Courier New" w:eastAsia="Courier New" w:hAnsi="Courier New"/>
          <w:sz w:val="18"/>
          <w:szCs w:val="18"/>
          <w:color w:val="auto"/>
        </w:rPr>
      </w:pPr>
    </w:p>
    <w:p>
      <w:pPr>
        <w:ind w:left="1700" w:right="409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Page 2, No. 6)</w:t>
      </w:r>
    </w:p>
    <w:p>
      <w:pPr>
        <w:spacing w:after="0" w:line="5" w:lineRule="exact"/>
        <w:rPr>
          <w:rFonts w:ascii="Courier New" w:cs="Courier New" w:eastAsia="Courier New" w:hAnsi="Courier New"/>
          <w:sz w:val="18"/>
          <w:szCs w:val="18"/>
          <w:color w:val="auto"/>
        </w:rPr>
      </w:pPr>
    </w:p>
    <w:p>
      <w:pPr>
        <w:ind w:left="1700" w:right="29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Page 2, No. 7)</w:t>
      </w:r>
    </w:p>
    <w:p>
      <w:pPr>
        <w:spacing w:after="0" w:line="5" w:lineRule="exact"/>
        <w:rPr>
          <w:rFonts w:ascii="Courier New" w:cs="Courier New" w:eastAsia="Courier New" w:hAnsi="Courier New"/>
          <w:sz w:val="18"/>
          <w:szCs w:val="18"/>
          <w:color w:val="auto"/>
        </w:rPr>
      </w:pPr>
    </w:p>
    <w:p>
      <w:pPr>
        <w:ind w:left="1700" w:right="27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Page 2, No. 8)</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w:t>
      </w:r>
    </w:p>
    <w:tbl>
      <w:tblPr>
        <w:tblLayout w:type="fixed"/>
        <w:tblInd w:w="0" w:type="dxa"/>
        <w:tblCellMar>
          <w:top w:w="0" w:type="dxa"/>
          <w:left w:w="0" w:type="dxa"/>
          <w:bottom w:w="0" w:type="dxa"/>
          <w:right w:w="0" w:type="dxa"/>
        </w:tblCellMar>
      </w:tblPr>
      <w:tr>
        <w:trPr>
          <w:trHeight w:val="203"/>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date hereof the reporting</w:t>
            </w:r>
          </w:p>
        </w:tc>
        <w:tc>
          <w:tcPr>
            <w:tcW w:w="1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person has ceased</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w w:val="98"/>
              </w:rPr>
              <w:t>to be the beneficial</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owner of more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than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class</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of securities check the following</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 Ownership</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on Behalf of Another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w:t>
            </w:r>
          </w:p>
        </w:tc>
      </w:tr>
    </w:tbl>
    <w:p>
      <w:pPr>
        <w:ind w:left="860"/>
        <w:spacing w:after="0" w:line="238" w:lineRule="auto"/>
        <w:rPr>
          <w:sz w:val="20"/>
          <w:szCs w:val="20"/>
          <w:color w:val="auto"/>
        </w:rPr>
      </w:pPr>
      <w:r>
        <w:rPr>
          <w:rFonts w:ascii="Courier New" w:cs="Courier New" w:eastAsia="Courier New" w:hAnsi="Courier New"/>
          <w:sz w:val="18"/>
          <w:szCs w:val="18"/>
          <w:color w:val="auto"/>
        </w:rPr>
        <w:t>Ariel Investments, LLC's adviser clients have the right to receive</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 Investments, LLC's clients have an economic interest in more than 5% of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subject</w:t>
            </w:r>
          </w:p>
        </w:tc>
        <w:tc>
          <w:tcPr>
            <w:tcW w:w="4680" w:type="dxa"/>
            <w:vAlign w:val="bottom"/>
            <w:gridSpan w:val="2"/>
          </w:tcPr>
          <w:p>
            <w:pPr>
              <w:spacing w:after="0"/>
              <w:rPr>
                <w:sz w:val="20"/>
                <w:szCs w:val="20"/>
                <w:color w:val="auto"/>
              </w:rPr>
            </w:pPr>
            <w:r>
              <w:rPr>
                <w:rFonts w:ascii="Courier New" w:cs="Courier New" w:eastAsia="Courier New" w:hAnsi="Courier New"/>
                <w:sz w:val="18"/>
                <w:szCs w:val="18"/>
                <w:color w:val="auto"/>
              </w:rPr>
              <w:t>securities reported upon this Schedule.</w:t>
            </w: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Identification and Classification of</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Subsidiary Which Acquired</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Security Being Reported on by the Parent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Holding</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860" w:type="dxa"/>
            <w:vAlign w:val="bottom"/>
          </w:tcPr>
          <w:p>
            <w:pPr>
              <w:spacing w:after="0"/>
              <w:rPr>
                <w:sz w:val="17"/>
                <w:szCs w:val="17"/>
                <w:color w:val="auto"/>
              </w:rPr>
            </w:pPr>
          </w:p>
        </w:tc>
        <w:tc>
          <w:tcPr>
            <w:tcW w:w="3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Identification and Classification of</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Members</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Group.</w:t>
            </w:r>
          </w:p>
        </w:tc>
      </w:tr>
      <w:tr>
        <w:trPr>
          <w:trHeight w:val="203"/>
        </w:trPr>
        <w:tc>
          <w:tcPr>
            <w:tcW w:w="860" w:type="dxa"/>
            <w:vAlign w:val="bottom"/>
          </w:tcPr>
          <w:p>
            <w:pPr>
              <w:spacing w:after="0"/>
              <w:rPr>
                <w:sz w:val="17"/>
                <w:szCs w:val="17"/>
                <w:color w:val="auto"/>
              </w:rPr>
            </w:pPr>
          </w:p>
        </w:tc>
        <w:tc>
          <w:tcPr>
            <w:tcW w:w="3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8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10.</w:t>
            </w:r>
          </w:p>
        </w:tc>
        <w:tc>
          <w:tcPr>
            <w:tcW w:w="3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Certifications.</w:t>
            </w:r>
          </w:p>
        </w:tc>
        <w:tc>
          <w:tcPr>
            <w:tcW w:w="8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4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 best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my knowledge and belief,</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the securities referred to above were acquired and are held in the ordinary</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course of business and were not acquired and</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are not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held for the purpose</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 or with the effect of changing or influencing the</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control of the issuer of</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securities and were not acquired and are</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 held in connection with or</w:t>
            </w:r>
          </w:p>
        </w:tc>
      </w:tr>
    </w:tbl>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ARIEL INVESTMENTS,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rPr>
          <w:sz w:val="20"/>
          <w:szCs w:val="20"/>
          <w:color w:val="auto"/>
        </w:rPr>
      </w:pPr>
      <w:r>
        <w:rPr>
          <w:rFonts w:ascii="Courier New" w:cs="Courier New" w:eastAsia="Courier New" w:hAnsi="Courier New"/>
          <w:sz w:val="18"/>
          <w:szCs w:val="18"/>
          <w:color w:val="auto"/>
        </w:rPr>
        <w:t>________________________________</w:t>
      </w:r>
    </w:p>
    <w:p>
      <w:pPr>
        <w:ind w:left="860"/>
        <w:spacing w:after="0" w:line="237" w:lineRule="auto"/>
        <w:rPr>
          <w:sz w:val="20"/>
          <w:szCs w:val="20"/>
          <w:color w:val="auto"/>
        </w:rPr>
      </w:pPr>
      <w:r>
        <w:rPr>
          <w:rFonts w:ascii="Courier New" w:cs="Courier New" w:eastAsia="Courier New" w:hAnsi="Courier New"/>
          <w:sz w:val="18"/>
          <w:szCs w:val="18"/>
          <w:color w:val="auto"/>
        </w:rPr>
        <w:t>Wendy D. Fox</w:t>
      </w:r>
    </w:p>
    <w:p>
      <w:pPr>
        <w:ind w:left="860"/>
        <w:spacing w:after="0" w:line="238" w:lineRule="auto"/>
        <w:rPr>
          <w:sz w:val="20"/>
          <w:szCs w:val="20"/>
          <w:color w:val="auto"/>
        </w:rPr>
      </w:pPr>
      <w:r>
        <w:rPr>
          <w:rFonts w:ascii="Courier New" w:cs="Courier New" w:eastAsia="Courier New" w:hAnsi="Courier New"/>
          <w:sz w:val="18"/>
          <w:szCs w:val="18"/>
          <w:color w:val="auto"/>
        </w:rPr>
        <w:t>Vice President/Chief Compliance Officer</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2019-12-10T05:56:05Z</dcterms:created>
  <dcterms:modified xsi:type="dcterms:W3CDTF">2019-12-10T05:56:05Z</dcterms:modified>
</cp:coreProperties>
</file>