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ind w:left="380"/>
        <w:spacing w:after="0" w:line="24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40640</wp:posOffset>
            </wp:positionV>
            <wp:extent cx="6964045" cy="16668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666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Shaller Russell</w:t>
        </w:r>
      </w:hyperlink>
    </w:p>
    <w:p>
      <w:pPr>
        <w:spacing w:after="0" w:line="30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6555 W. GOOD HOPE 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BRADY 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BRC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0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09/25/2020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9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64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SRVP &amp; Pres., Ident Solns</w:t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16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9"/>
        </w:trPr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MILWAUKEE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WI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53223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20"/>
        <w:spacing w:after="0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6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-2484120</wp:posOffset>
            </wp:positionH>
            <wp:positionV relativeFrom="paragraph">
              <wp:posOffset>159385</wp:posOffset>
            </wp:positionV>
            <wp:extent cx="6964045" cy="112522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1252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1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9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09/25/2020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771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39.1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49,967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-1753235</wp:posOffset>
            </wp:positionV>
            <wp:extent cx="7031355" cy="179387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1793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Represents shares withheld to cover taxes on 1,642 restricted stock units that vested on September 25, 2020.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580"/>
        <w:spacing w:after="0" w:line="231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Heidi Knueppel, Attorney-In-  </w:t>
      </w:r>
      <w:r>
        <w:rPr>
          <w:rFonts w:ascii="Times New Roman" w:cs="Times New Roman" w:eastAsia="Times New Roman" w:hAnsi="Times New Roman"/>
          <w:sz w:val="34"/>
          <w:szCs w:val="34"/>
          <w:color w:val="0000FF"/>
          <w:vertAlign w:val="subscript"/>
        </w:rPr>
        <w:t>09/28/2020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-27940</wp:posOffset>
            </wp:positionV>
            <wp:extent cx="131064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06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18923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png"/><Relationship Id="rId13" Type="http://schemas.openxmlformats.org/officeDocument/2006/relationships/hyperlink" Target="http://www.sec.gov/cgi-bin/browse-edgar?action=getcompany&amp;CIK=0001646159" TargetMode="External"/><Relationship Id="rId14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2020-09-28T08:11:45Z</dcterms:created>
  <dcterms:modified xsi:type="dcterms:W3CDTF">2020-09-28T08:11:45Z</dcterms:modified>
</cp:coreProperties>
</file>