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9"/>
        <w:spacing w:after="0"/>
        <w:rPr>
          <w:sz w:val="20"/>
          <w:szCs w:val="20"/>
          <w:color w:val="auto"/>
        </w:rPr>
      </w:pPr>
      <w:r>
        <w:rPr>
          <w:rFonts w:ascii="Arial" w:cs="Arial" w:eastAsia="Arial" w:hAnsi="Arial"/>
          <w:sz w:val="26"/>
          <w:szCs w:val="26"/>
          <w:b w:val="1"/>
          <w:bCs w:val="1"/>
          <w:color w:val="auto"/>
        </w:rPr>
        <w:t>UNITED STATES</w:t>
      </w:r>
    </w:p>
    <w:p>
      <w:pPr>
        <w:spacing w:after="0" w:line="39" w:lineRule="exact"/>
        <w:rPr>
          <w:sz w:val="24"/>
          <w:szCs w:val="24"/>
          <w:color w:val="auto"/>
        </w:rPr>
      </w:pPr>
    </w:p>
    <w:p>
      <w:pPr>
        <w:jc w:val="center"/>
        <w:ind w:right="-1109"/>
        <w:spacing w:after="0"/>
        <w:rPr>
          <w:sz w:val="20"/>
          <w:szCs w:val="20"/>
          <w:color w:val="auto"/>
        </w:rPr>
      </w:pPr>
      <w:r>
        <w:rPr>
          <w:rFonts w:ascii="Arial" w:cs="Arial" w:eastAsia="Arial" w:hAnsi="Arial"/>
          <w:sz w:val="26"/>
          <w:szCs w:val="26"/>
          <w:b w:val="1"/>
          <w:bCs w:val="1"/>
          <w:color w:val="auto"/>
        </w:rPr>
        <w:t>SECURITIES AND EXCHANGE COMMISSION</w:t>
      </w:r>
    </w:p>
    <w:p>
      <w:pPr>
        <w:spacing w:after="0" w:line="10" w:lineRule="exact"/>
        <w:rPr>
          <w:sz w:val="24"/>
          <w:szCs w:val="24"/>
          <w:color w:val="auto"/>
        </w:rPr>
      </w:pPr>
    </w:p>
    <w:p>
      <w:pPr>
        <w:ind w:left="477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170180</wp:posOffset>
            </wp:positionV>
            <wp:extent cx="15982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8295" cy="6985"/>
                    </a:xfrm>
                    <a:prstGeom prst="rect">
                      <a:avLst/>
                    </a:prstGeom>
                    <a:noFill/>
                  </pic:spPr>
                </pic:pic>
              </a:graphicData>
            </a:graphic>
          </wp:anchor>
        </w:drawing>
      </w:r>
    </w:p>
    <w:p>
      <w:pPr>
        <w:spacing w:after="0" w:line="302" w:lineRule="exact"/>
        <w:rPr>
          <w:sz w:val="24"/>
          <w:szCs w:val="24"/>
          <w:color w:val="auto"/>
        </w:rPr>
      </w:pPr>
    </w:p>
    <w:p>
      <w:pPr>
        <w:jc w:val="center"/>
        <w:ind w:right="-1109"/>
        <w:spacing w:after="0"/>
        <w:rPr>
          <w:sz w:val="20"/>
          <w:szCs w:val="20"/>
          <w:color w:val="auto"/>
        </w:rPr>
      </w:pPr>
      <w:r>
        <w:rPr>
          <w:rFonts w:ascii="Arial" w:cs="Arial" w:eastAsia="Arial" w:hAnsi="Arial"/>
          <w:sz w:val="26"/>
          <w:szCs w:val="2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153035</wp:posOffset>
            </wp:positionV>
            <wp:extent cx="15982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8295" cy="6985"/>
                    </a:xfrm>
                    <a:prstGeom prst="rect">
                      <a:avLst/>
                    </a:prstGeom>
                    <a:noFill/>
                  </pic:spPr>
                </pic:pic>
              </a:graphicData>
            </a:graphic>
          </wp:anchor>
        </w:drawing>
      </w:r>
    </w:p>
    <w:p>
      <w:pPr>
        <w:spacing w:after="0" w:line="280" w:lineRule="exact"/>
        <w:rPr>
          <w:sz w:val="24"/>
          <w:szCs w:val="24"/>
          <w:color w:val="auto"/>
        </w:rPr>
      </w:pPr>
    </w:p>
    <w:p>
      <w:pPr>
        <w:jc w:val="center"/>
        <w:ind w:right="-1109"/>
        <w:spacing w:after="0"/>
        <w:rPr>
          <w:sz w:val="20"/>
          <w:szCs w:val="20"/>
          <w:color w:val="auto"/>
        </w:rPr>
      </w:pPr>
      <w:r>
        <w:rPr>
          <w:rFonts w:ascii="Arial" w:cs="Arial" w:eastAsia="Arial" w:hAnsi="Arial"/>
          <w:sz w:val="21"/>
          <w:szCs w:val="21"/>
          <w:b w:val="1"/>
          <w:bCs w:val="1"/>
          <w:color w:val="auto"/>
        </w:rPr>
        <w:t>CURRENT REPORT</w:t>
      </w:r>
    </w:p>
    <w:p>
      <w:pPr>
        <w:spacing w:after="0" w:line="138" w:lineRule="exact"/>
        <w:rPr>
          <w:sz w:val="24"/>
          <w:szCs w:val="24"/>
          <w:color w:val="auto"/>
        </w:rPr>
      </w:pPr>
    </w:p>
    <w:p>
      <w:pPr>
        <w:jc w:val="center"/>
        <w:ind w:right="-110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2" w:lineRule="exact"/>
        <w:rPr>
          <w:sz w:val="24"/>
          <w:szCs w:val="24"/>
          <w:color w:val="auto"/>
        </w:rPr>
      </w:pPr>
    </w:p>
    <w:p>
      <w:pPr>
        <w:jc w:val="center"/>
        <w:ind w:right="-1109"/>
        <w:spacing w:after="0"/>
        <w:rPr>
          <w:sz w:val="20"/>
          <w:szCs w:val="20"/>
          <w:color w:val="auto"/>
        </w:rPr>
      </w:pPr>
      <w:r>
        <w:rPr>
          <w:rFonts w:ascii="Arial" w:cs="Arial" w:eastAsia="Arial" w:hAnsi="Arial"/>
          <w:sz w:val="18"/>
          <w:szCs w:val="18"/>
          <w:b w:val="1"/>
          <w:bCs w:val="1"/>
          <w:color w:val="auto"/>
        </w:rPr>
        <w:t>Securities Exchange Act of 1934</w:t>
      </w:r>
    </w:p>
    <w:p>
      <w:pPr>
        <w:spacing w:after="0" w:line="114" w:lineRule="exact"/>
        <w:rPr>
          <w:sz w:val="24"/>
          <w:szCs w:val="24"/>
          <w:color w:val="auto"/>
        </w:rPr>
      </w:pPr>
    </w:p>
    <w:p>
      <w:pPr>
        <w:ind w:left="3130"/>
        <w:spacing w:after="0"/>
        <w:rPr>
          <w:sz w:val="20"/>
          <w:szCs w:val="20"/>
          <w:color w:val="auto"/>
        </w:rPr>
      </w:pPr>
      <w:r>
        <w:rPr>
          <w:rFonts w:ascii="Arial" w:cs="Arial" w:eastAsia="Arial" w:hAnsi="Arial"/>
          <w:sz w:val="16"/>
          <w:szCs w:val="16"/>
          <w:b w:val="1"/>
          <w:bCs w:val="1"/>
          <w:color w:val="auto"/>
        </w:rPr>
        <w:t>Date of Report (Date of earliest event reported): September 19,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197485</wp:posOffset>
            </wp:positionV>
            <wp:extent cx="159829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8295" cy="6985"/>
                    </a:xfrm>
                    <a:prstGeom prst="rect">
                      <a:avLst/>
                    </a:prstGeom>
                    <a:noFill/>
                  </pic:spPr>
                </pic:pic>
              </a:graphicData>
            </a:graphic>
          </wp:anchor>
        </w:drawing>
      </w:r>
    </w:p>
    <w:p>
      <w:pPr>
        <w:spacing w:after="0" w:line="345" w:lineRule="exact"/>
        <w:rPr>
          <w:sz w:val="24"/>
          <w:szCs w:val="24"/>
          <w:color w:val="auto"/>
        </w:rPr>
      </w:pPr>
    </w:p>
    <w:p>
      <w:pPr>
        <w:jc w:val="center"/>
        <w:ind w:right="-1109"/>
        <w:spacing w:after="0"/>
        <w:rPr>
          <w:sz w:val="20"/>
          <w:szCs w:val="20"/>
          <w:color w:val="auto"/>
        </w:rPr>
      </w:pPr>
      <w:r>
        <w:rPr>
          <w:rFonts w:ascii="Arial" w:cs="Arial" w:eastAsia="Arial" w:hAnsi="Arial"/>
          <w:sz w:val="35"/>
          <w:szCs w:val="35"/>
          <w:b w:val="1"/>
          <w:bCs w:val="1"/>
          <w:color w:val="auto"/>
        </w:rPr>
        <w:t>BRADY CORPORATION</w:t>
      </w:r>
    </w:p>
    <w:p>
      <w:pPr>
        <w:spacing w:after="0" w:line="40" w:lineRule="exact"/>
        <w:rPr>
          <w:sz w:val="24"/>
          <w:szCs w:val="24"/>
          <w:color w:val="auto"/>
        </w:rPr>
      </w:pPr>
    </w:p>
    <w:p>
      <w:pPr>
        <w:ind w:left="4090"/>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133985</wp:posOffset>
            </wp:positionV>
            <wp:extent cx="159829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8295" cy="6985"/>
                    </a:xfrm>
                    <a:prstGeom prst="rect">
                      <a:avLst/>
                    </a:prstGeom>
                    <a:noFill/>
                  </pic:spPr>
                </pic:pic>
              </a:graphicData>
            </a:graphic>
          </wp:anchor>
        </w:drawing>
      </w:r>
    </w:p>
    <w:p>
      <w:pPr>
        <w:spacing w:after="0" w:line="253" w:lineRule="exact"/>
        <w:rPr>
          <w:sz w:val="24"/>
          <w:szCs w:val="24"/>
          <w:color w:val="auto"/>
        </w:rPr>
      </w:pPr>
    </w:p>
    <w:p>
      <w:pPr>
        <w:ind w:left="4650"/>
        <w:spacing w:after="0"/>
        <w:rPr>
          <w:sz w:val="20"/>
          <w:szCs w:val="20"/>
          <w:color w:val="auto"/>
        </w:rPr>
      </w:pPr>
      <w:r>
        <w:rPr>
          <w:rFonts w:ascii="Arial" w:cs="Arial" w:eastAsia="Arial" w:hAnsi="Arial"/>
          <w:sz w:val="15"/>
          <w:szCs w:val="15"/>
          <w:b w:val="1"/>
          <w:bCs w:val="1"/>
          <w:color w:val="auto"/>
        </w:rPr>
        <w:t>Commission File Number 1-14959</w:t>
      </w:r>
    </w:p>
    <w:p>
      <w:pPr>
        <w:sectPr>
          <w:pgSz w:w="11900" w:h="16838" w:orient="portrait"/>
          <w:cols w:equalWidth="0" w:num="1">
            <w:col w:w="10310"/>
          </w:cols>
          <w:pgMar w:left="250" w:top="622" w:right="1339" w:bottom="1440" w:gutter="0" w:footer="0" w:header="0"/>
        </w:sectPr>
      </w:pPr>
    </w:p>
    <w:p>
      <w:pPr>
        <w:spacing w:after="0" w:line="399" w:lineRule="exact"/>
        <w:rPr>
          <w:sz w:val="24"/>
          <w:szCs w:val="24"/>
          <w:color w:val="auto"/>
        </w:rPr>
      </w:pPr>
    </w:p>
    <w:p>
      <w:pPr>
        <w:ind w:left="2470"/>
        <w:spacing w:after="0"/>
        <w:rPr>
          <w:sz w:val="20"/>
          <w:szCs w:val="20"/>
          <w:color w:val="auto"/>
        </w:rPr>
      </w:pPr>
      <w:r>
        <w:rPr>
          <w:rFonts w:ascii="Arial" w:cs="Arial" w:eastAsia="Arial" w:hAnsi="Arial"/>
          <w:sz w:val="12"/>
          <w:szCs w:val="12"/>
          <w:b w:val="1"/>
          <w:bCs w:val="1"/>
          <w:color w:val="auto"/>
        </w:rPr>
        <w:t>Wisconsin</w:t>
      </w:r>
    </w:p>
    <w:p>
      <w:pPr>
        <w:spacing w:after="0" w:line="20" w:lineRule="exact"/>
        <w:rPr>
          <w:sz w:val="24"/>
          <w:szCs w:val="24"/>
          <w:color w:val="auto"/>
        </w:rPr>
      </w:pPr>
      <w:r>
        <w:rPr>
          <w:sz w:val="24"/>
          <w:szCs w:val="24"/>
          <w:color w:val="auto"/>
        </w:rPr>
        <w:br w:type="column"/>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39-0971239</w:t>
      </w:r>
    </w:p>
    <w:p>
      <w:pPr>
        <w:spacing w:after="0" w:line="62" w:lineRule="exact"/>
        <w:rPr>
          <w:sz w:val="24"/>
          <w:szCs w:val="24"/>
          <w:color w:val="auto"/>
        </w:rPr>
      </w:pPr>
    </w:p>
    <w:p>
      <w:pPr>
        <w:sectPr>
          <w:pgSz w:w="11900" w:h="16838" w:orient="portrait"/>
          <w:cols w:equalWidth="0" w:num="2">
            <w:col w:w="7610" w:space="720"/>
            <w:col w:w="1980"/>
          </w:cols>
          <w:pgMar w:left="250" w:top="622" w:right="1339" w:bottom="1440" w:gutter="0" w:footer="0" w:header="0"/>
          <w:type w:val="continuous"/>
        </w:sectPr>
      </w:pPr>
    </w:p>
    <w:p>
      <w:pPr>
        <w:jc w:val="center"/>
        <w:ind w:right="1950"/>
        <w:spacing w:after="0"/>
        <w:rPr>
          <w:sz w:val="20"/>
          <w:szCs w:val="20"/>
          <w:color w:val="auto"/>
        </w:rPr>
      </w:pPr>
      <w:r>
        <w:rPr>
          <w:rFonts w:ascii="Arial" w:cs="Arial" w:eastAsia="Arial" w:hAnsi="Arial"/>
          <w:sz w:val="12"/>
          <w:szCs w:val="12"/>
          <w:b w:val="1"/>
          <w:bCs w:val="1"/>
          <w:color w:val="auto"/>
        </w:rPr>
        <w:t>(State of</w:t>
      </w:r>
    </w:p>
    <w:p>
      <w:pPr>
        <w:jc w:val="center"/>
        <w:ind w:right="1950"/>
        <w:spacing w:after="0"/>
        <w:rPr>
          <w:sz w:val="20"/>
          <w:szCs w:val="20"/>
          <w:color w:val="auto"/>
        </w:rPr>
      </w:pPr>
      <w:r>
        <w:rPr>
          <w:rFonts w:ascii="Arial" w:cs="Arial" w:eastAsia="Arial" w:hAnsi="Arial"/>
          <w:sz w:val="9"/>
          <w:szCs w:val="9"/>
          <w:b w:val="1"/>
          <w:bCs w:val="1"/>
          <w:color w:val="auto"/>
        </w:rPr>
        <w:t>Incorporation)</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2"/>
          <w:szCs w:val="12"/>
          <w:b w:val="1"/>
          <w:bCs w:val="1"/>
          <w:color w:val="auto"/>
        </w:rPr>
        <w:t>(IRS Employer</w:t>
      </w:r>
    </w:p>
    <w:p>
      <w:pPr>
        <w:jc w:val="center"/>
        <w:ind w:right="1160"/>
        <w:spacing w:after="0"/>
        <w:rPr>
          <w:sz w:val="20"/>
          <w:szCs w:val="20"/>
          <w:color w:val="auto"/>
        </w:rPr>
      </w:pPr>
      <w:r>
        <w:rPr>
          <w:rFonts w:ascii="Arial" w:cs="Arial" w:eastAsia="Arial" w:hAnsi="Arial"/>
          <w:sz w:val="9"/>
          <w:szCs w:val="9"/>
          <w:b w:val="1"/>
          <w:bCs w:val="1"/>
          <w:color w:val="auto"/>
        </w:rPr>
        <w:t>Identification No.)</w:t>
      </w:r>
    </w:p>
    <w:p>
      <w:pPr>
        <w:spacing w:after="0" w:line="35" w:lineRule="exact"/>
        <w:rPr>
          <w:sz w:val="24"/>
          <w:szCs w:val="24"/>
          <w:color w:val="auto"/>
        </w:rPr>
      </w:pPr>
    </w:p>
    <w:p>
      <w:pPr>
        <w:sectPr>
          <w:pgSz w:w="11900" w:h="16838" w:orient="portrait"/>
          <w:cols w:equalWidth="0" w:num="2">
            <w:col w:w="7510" w:space="720"/>
            <w:col w:w="2080"/>
          </w:cols>
          <w:pgMar w:left="250" w:top="622" w:right="1339" w:bottom="1440" w:gutter="0" w:footer="0" w:header="0"/>
          <w:type w:val="continuous"/>
        </w:sectPr>
      </w:pPr>
    </w:p>
    <w:p>
      <w:pPr>
        <w:ind w:left="4830"/>
        <w:spacing w:after="0"/>
        <w:rPr>
          <w:sz w:val="20"/>
          <w:szCs w:val="20"/>
          <w:color w:val="auto"/>
        </w:rPr>
      </w:pPr>
      <w:r>
        <w:rPr>
          <w:rFonts w:ascii="Arial" w:cs="Arial" w:eastAsia="Arial" w:hAnsi="Arial"/>
          <w:sz w:val="15"/>
          <w:szCs w:val="15"/>
          <w:b w:val="1"/>
          <w:bCs w:val="1"/>
          <w:color w:val="auto"/>
        </w:rPr>
        <w:t>6555 West Good Hope Road</w:t>
      </w:r>
    </w:p>
    <w:p>
      <w:pPr>
        <w:spacing w:after="0" w:line="11" w:lineRule="exact"/>
        <w:rPr>
          <w:sz w:val="24"/>
          <w:szCs w:val="24"/>
          <w:color w:val="auto"/>
        </w:rPr>
      </w:pPr>
    </w:p>
    <w:p>
      <w:pPr>
        <w:ind w:left="4790"/>
        <w:spacing w:after="0"/>
        <w:rPr>
          <w:sz w:val="20"/>
          <w:szCs w:val="20"/>
          <w:color w:val="auto"/>
        </w:rPr>
      </w:pPr>
      <w:r>
        <w:rPr>
          <w:rFonts w:ascii="Arial" w:cs="Arial" w:eastAsia="Arial" w:hAnsi="Arial"/>
          <w:sz w:val="15"/>
          <w:szCs w:val="15"/>
          <w:b w:val="1"/>
          <w:bCs w:val="1"/>
          <w:color w:val="auto"/>
        </w:rPr>
        <w:t>Milwaukee, Wisconsin 53223</w:t>
      </w:r>
    </w:p>
    <w:p>
      <w:pPr>
        <w:jc w:val="center"/>
        <w:ind w:right="-1109"/>
        <w:spacing w:after="0"/>
        <w:rPr>
          <w:sz w:val="20"/>
          <w:szCs w:val="20"/>
          <w:color w:val="auto"/>
        </w:rPr>
      </w:pPr>
      <w:r>
        <w:rPr>
          <w:rFonts w:ascii="Arial" w:cs="Arial" w:eastAsia="Arial" w:hAnsi="Arial"/>
          <w:sz w:val="9"/>
          <w:szCs w:val="9"/>
          <w:b w:val="1"/>
          <w:bCs w:val="1"/>
          <w:color w:val="auto"/>
        </w:rPr>
        <w:t>(Address of Principal Executive Offices and Zip Code)</w:t>
      </w:r>
    </w:p>
    <w:p>
      <w:pPr>
        <w:spacing w:after="0" w:line="151" w:lineRule="exact"/>
        <w:rPr>
          <w:sz w:val="24"/>
          <w:szCs w:val="24"/>
          <w:color w:val="auto"/>
        </w:rPr>
      </w:pPr>
    </w:p>
    <w:p>
      <w:pPr>
        <w:jc w:val="center"/>
        <w:ind w:right="-1109"/>
        <w:spacing w:after="0"/>
        <w:rPr>
          <w:sz w:val="20"/>
          <w:szCs w:val="20"/>
          <w:color w:val="auto"/>
        </w:rPr>
      </w:pPr>
      <w:r>
        <w:rPr>
          <w:rFonts w:ascii="Arial" w:cs="Arial" w:eastAsia="Arial" w:hAnsi="Arial"/>
          <w:sz w:val="15"/>
          <w:szCs w:val="15"/>
          <w:b w:val="1"/>
          <w:bCs w:val="1"/>
          <w:color w:val="auto"/>
        </w:rPr>
        <w:t>(414) 358-6600</w:t>
      </w:r>
    </w:p>
    <w:p>
      <w:pPr>
        <w:spacing w:after="0" w:line="23" w:lineRule="exact"/>
        <w:rPr>
          <w:sz w:val="24"/>
          <w:szCs w:val="24"/>
          <w:color w:val="auto"/>
        </w:rPr>
      </w:pPr>
    </w:p>
    <w:p>
      <w:pPr>
        <w:ind w:left="4870"/>
        <w:spacing w:after="0"/>
        <w:rPr>
          <w:sz w:val="20"/>
          <w:szCs w:val="20"/>
          <w:color w:val="auto"/>
        </w:rPr>
      </w:pPr>
      <w:r>
        <w:rPr>
          <w:rFonts w:ascii="Arial" w:cs="Arial" w:eastAsia="Arial" w:hAnsi="Arial"/>
          <w:sz w:val="12"/>
          <w:szCs w:val="12"/>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153670</wp:posOffset>
            </wp:positionV>
            <wp:extent cx="15982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8295" cy="6985"/>
                    </a:xfrm>
                    <a:prstGeom prst="rect">
                      <a:avLst/>
                    </a:prstGeom>
                    <a:noFill/>
                  </pic:spPr>
                </pic:pic>
              </a:graphicData>
            </a:graphic>
          </wp:anchor>
        </w:drawing>
      </w:r>
    </w:p>
    <w:p>
      <w:pPr>
        <w:sectPr>
          <w:pgSz w:w="11900" w:h="16838" w:orient="portrait"/>
          <w:cols w:equalWidth="0" w:num="1">
            <w:col w:w="10310"/>
          </w:cols>
          <w:pgMar w:left="250" w:top="622" w:right="1339" w:bottom="1440" w:gutter="0" w:footer="0" w:header="0"/>
          <w:type w:val="continuous"/>
        </w:sectPr>
      </w:pPr>
    </w:p>
    <w:p>
      <w:pPr>
        <w:spacing w:after="0" w:line="308" w:lineRule="exact"/>
        <w:rPr>
          <w:sz w:val="24"/>
          <w:szCs w:val="24"/>
          <w:color w:val="auto"/>
        </w:rPr>
      </w:pPr>
    </w:p>
    <w:p>
      <w:pPr>
        <w:ind w:left="430"/>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158" w:lineRule="exact"/>
        <w:rPr>
          <w:sz w:val="24"/>
          <w:szCs w:val="24"/>
          <w:color w:val="auto"/>
        </w:rPr>
      </w:pPr>
    </w:p>
    <w:p>
      <w:pPr>
        <w:ind w:left="690" w:hanging="690"/>
        <w:spacing w:after="0"/>
        <w:tabs>
          <w:tab w:leader="none" w:pos="69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57" w:lineRule="exact"/>
        <w:rPr>
          <w:rFonts w:ascii="MS PGothic" w:cs="MS PGothic" w:eastAsia="MS PGothic" w:hAnsi="MS PGothic"/>
          <w:sz w:val="15"/>
          <w:szCs w:val="15"/>
          <w:color w:val="auto"/>
        </w:rPr>
      </w:pPr>
    </w:p>
    <w:p>
      <w:pPr>
        <w:ind w:left="690" w:hanging="690"/>
        <w:spacing w:after="0"/>
        <w:tabs>
          <w:tab w:leader="none" w:pos="69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157" w:lineRule="exact"/>
        <w:rPr>
          <w:rFonts w:ascii="MS PGothic" w:cs="MS PGothic" w:eastAsia="MS PGothic" w:hAnsi="MS PGothic"/>
          <w:sz w:val="15"/>
          <w:szCs w:val="15"/>
          <w:color w:val="auto"/>
        </w:rPr>
      </w:pPr>
    </w:p>
    <w:p>
      <w:pPr>
        <w:ind w:left="690" w:hanging="690"/>
        <w:spacing w:after="0"/>
        <w:tabs>
          <w:tab w:leader="none" w:pos="69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57" w:lineRule="exact"/>
        <w:rPr>
          <w:rFonts w:ascii="MS PGothic" w:cs="MS PGothic" w:eastAsia="MS PGothic" w:hAnsi="MS PGothic"/>
          <w:sz w:val="15"/>
          <w:szCs w:val="15"/>
          <w:color w:val="auto"/>
        </w:rPr>
      </w:pPr>
    </w:p>
    <w:p>
      <w:pPr>
        <w:ind w:left="690" w:hanging="690"/>
        <w:spacing w:after="0"/>
        <w:tabs>
          <w:tab w:leader="none" w:pos="69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ectPr>
          <w:pgSz w:w="11900" w:h="16838" w:orient="portrait"/>
          <w:cols w:equalWidth="0" w:num="1">
            <w:col w:w="10310"/>
          </w:cols>
          <w:pgMar w:left="250" w:top="622" w:right="1339" w:bottom="1440" w:gutter="0" w:footer="0" w:header="0"/>
          <w:type w:val="continuous"/>
        </w:sectPr>
      </w:pPr>
    </w:p>
    <w:bookmarkStart w:id="1" w:name="page2"/>
    <w:bookmarkEnd w:id="1"/>
    <w:p>
      <w:pPr>
        <w:ind w:left="40"/>
        <w:spacing w:after="0"/>
        <w:tabs>
          <w:tab w:leader="none" w:pos="860" w:val="left"/>
        </w:tabs>
        <w:rPr>
          <w:sz w:val="20"/>
          <w:szCs w:val="20"/>
          <w:color w:val="auto"/>
        </w:rPr>
      </w:pPr>
      <w:r>
        <w:rPr>
          <w:rFonts w:ascii="Arial" w:cs="Arial" w:eastAsia="Arial" w:hAnsi="Arial"/>
          <w:sz w:val="15"/>
          <w:szCs w:val="15"/>
          <w:color w:val="auto"/>
        </w:rPr>
        <w:t>Item 7.01</w:t>
      </w:r>
      <w:r>
        <w:rPr>
          <w:sz w:val="20"/>
          <w:szCs w:val="20"/>
          <w:color w:val="auto"/>
        </w:rPr>
        <w:tab/>
      </w:r>
      <w:r>
        <w:rPr>
          <w:rFonts w:ascii="Arial" w:cs="Arial" w:eastAsia="Arial" w:hAnsi="Arial"/>
          <w:sz w:val="14"/>
          <w:szCs w:val="14"/>
          <w:color w:val="auto"/>
        </w:rPr>
        <w:t>REGULATION FD DISCLOSURE</w:t>
      </w:r>
    </w:p>
    <w:p>
      <w:pPr>
        <w:spacing w:after="0" w:line="91" w:lineRule="exact"/>
        <w:rPr>
          <w:sz w:val="20"/>
          <w:szCs w:val="20"/>
          <w:color w:val="auto"/>
        </w:rPr>
      </w:pPr>
    </w:p>
    <w:p>
      <w:pPr>
        <w:jc w:val="both"/>
        <w:ind w:firstLine="527"/>
        <w:spacing w:after="0" w:line="274" w:lineRule="auto"/>
        <w:rPr>
          <w:sz w:val="20"/>
          <w:szCs w:val="20"/>
          <w:color w:val="auto"/>
        </w:rPr>
      </w:pPr>
      <w:r>
        <w:rPr>
          <w:rFonts w:ascii="Arial" w:cs="Arial" w:eastAsia="Arial" w:hAnsi="Arial"/>
          <w:sz w:val="14"/>
          <w:szCs w:val="14"/>
          <w:color w:val="auto"/>
        </w:rPr>
        <w:t xml:space="preserve">On September 19, 2013, Brady Corporation (the “Company”) will be hosting an investor-analyst day at its corporate headquarters in Milwaukee, Wisconsin beginning at 8:30 am Central time. The Company is furnishing as Exhibit 99.1 to this Current Report on Form 8-K the presentation materials to be provided to and discussed with attendees at the investor-analyst day. Interested persons will be able to access the webcast of the investor-analyst day and the presentation to be discussed by the Company's executive management team at </w:t>
      </w:r>
      <w:r>
        <w:rPr>
          <w:rFonts w:ascii="Arial" w:cs="Arial" w:eastAsia="Arial" w:hAnsi="Arial"/>
          <w:sz w:val="14"/>
          <w:szCs w:val="14"/>
          <w:u w:val="single" w:color="auto"/>
          <w:color w:val="0000FF"/>
        </w:rPr>
        <w:t>www.bradycorp.com</w:t>
      </w:r>
      <w:r>
        <w:rPr>
          <w:rFonts w:ascii="Arial" w:cs="Arial" w:eastAsia="Arial" w:hAnsi="Arial"/>
          <w:sz w:val="14"/>
          <w:szCs w:val="14"/>
          <w:color w:val="auto"/>
        </w:rPr>
        <w:t xml:space="preserve"> live and in replay. A written transcript of the webcast will also be available at </w:t>
      </w:r>
      <w:r>
        <w:rPr>
          <w:rFonts w:ascii="Arial" w:cs="Arial" w:eastAsia="Arial" w:hAnsi="Arial"/>
          <w:sz w:val="14"/>
          <w:szCs w:val="14"/>
          <w:u w:val="single" w:color="auto"/>
          <w:color w:val="0000FF"/>
        </w:rPr>
        <w:t>www.bradycorp.com</w:t>
      </w:r>
      <w:r>
        <w:rPr>
          <w:rFonts w:ascii="Arial" w:cs="Arial" w:eastAsia="Arial" w:hAnsi="Arial"/>
          <w:sz w:val="14"/>
          <w:szCs w:val="14"/>
          <w:color w:val="auto"/>
        </w:rPr>
        <w:t xml:space="preserve"> following the completion of the presentation.</w:t>
      </w:r>
    </w:p>
    <w:p>
      <w:pPr>
        <w:spacing w:after="0" w:line="100" w:lineRule="exact"/>
        <w:rPr>
          <w:sz w:val="20"/>
          <w:szCs w:val="20"/>
          <w:color w:val="auto"/>
        </w:rPr>
      </w:pPr>
    </w:p>
    <w:p>
      <w:pPr>
        <w:jc w:val="both"/>
        <w:ind w:firstLine="527"/>
        <w:spacing w:after="0" w:line="249" w:lineRule="auto"/>
        <w:rPr>
          <w:sz w:val="20"/>
          <w:szCs w:val="20"/>
          <w:color w:val="auto"/>
        </w:rPr>
      </w:pPr>
      <w:r>
        <w:rPr>
          <w:rFonts w:ascii="Arial" w:cs="Arial" w:eastAsia="Arial" w:hAnsi="Arial"/>
          <w:sz w:val="15"/>
          <w:szCs w:val="15"/>
          <w:color w:val="auto"/>
        </w:rPr>
        <w:t>The information in this Current Report on Form 8-K (including the presentation materials attached as Exhibit 99.1 hereto, the webcast and written transcript of the webcast) is being furnished pursuant to Item 7.01 of Form 8-K and shall not be deemed to be “filed” for the purposes of Section 18 of the Securities Exchange Act of 1934, as amended (the “Exchange Act”), or otherwise subject to the liabilities of that section, nor shall it be deemed to be incorporated by reference in any filing under the Securities Act of 1933, as amended, or the Exchange Act. This current report on Form 8-K will not be deemed an admission as to the materiality of any information contained herein (including the presentation materials attached as Exhibit 99.1 hereto, the webcast and the transcript of the webcast).</w:t>
      </w:r>
    </w:p>
    <w:p>
      <w:pPr>
        <w:spacing w:after="0" w:line="358" w:lineRule="exact"/>
        <w:rPr>
          <w:sz w:val="20"/>
          <w:szCs w:val="20"/>
          <w:color w:val="auto"/>
        </w:rPr>
      </w:pPr>
    </w:p>
    <w:p>
      <w:pPr>
        <w:ind w:left="40"/>
        <w:spacing w:after="0"/>
        <w:tabs>
          <w:tab w:leader="none" w:pos="860" w:val="left"/>
        </w:tabs>
        <w:rPr>
          <w:sz w:val="20"/>
          <w:szCs w:val="20"/>
          <w:color w:val="auto"/>
        </w:rPr>
      </w:pPr>
      <w:r>
        <w:rPr>
          <w:rFonts w:ascii="Arial" w:cs="Arial" w:eastAsia="Arial" w:hAnsi="Arial"/>
          <w:sz w:val="15"/>
          <w:szCs w:val="15"/>
          <w:color w:val="auto"/>
        </w:rPr>
        <w:t>Item 9.01</w:t>
      </w:r>
      <w:r>
        <w:rPr>
          <w:sz w:val="20"/>
          <w:szCs w:val="20"/>
          <w:color w:val="auto"/>
        </w:rPr>
        <w:tab/>
      </w:r>
      <w:r>
        <w:rPr>
          <w:rFonts w:ascii="Arial" w:cs="Arial" w:eastAsia="Arial" w:hAnsi="Arial"/>
          <w:sz w:val="14"/>
          <w:szCs w:val="14"/>
          <w:color w:val="auto"/>
        </w:rPr>
        <w:t>FINANCIAL STATEMENTS AND EXHIBITS</w:t>
      </w:r>
    </w:p>
    <w:p>
      <w:pPr>
        <w:spacing w:after="0" w:line="201" w:lineRule="exact"/>
        <w:rPr>
          <w:sz w:val="20"/>
          <w:szCs w:val="20"/>
          <w:color w:val="auto"/>
        </w:rPr>
      </w:pPr>
    </w:p>
    <w:p>
      <w:pPr>
        <w:spacing w:after="0"/>
        <w:tabs>
          <w:tab w:leader="none" w:pos="300" w:val="left"/>
        </w:tabs>
        <w:rPr>
          <w:sz w:val="20"/>
          <w:szCs w:val="20"/>
          <w:color w:val="auto"/>
        </w:rPr>
      </w:pPr>
      <w:r>
        <w:rPr>
          <w:rFonts w:ascii="Arial" w:cs="Arial" w:eastAsia="Arial" w:hAnsi="Arial"/>
          <w:sz w:val="15"/>
          <w:szCs w:val="15"/>
          <w:color w:val="auto"/>
        </w:rPr>
        <w:t>(d)</w:t>
      </w:r>
      <w:r>
        <w:rPr>
          <w:sz w:val="20"/>
          <w:szCs w:val="20"/>
          <w:color w:val="auto"/>
        </w:rPr>
        <w:tab/>
      </w:r>
      <w:r>
        <w:rPr>
          <w:rFonts w:ascii="Arial" w:cs="Arial" w:eastAsia="Arial" w:hAnsi="Arial"/>
          <w:sz w:val="14"/>
          <w:szCs w:val="14"/>
          <w:color w:val="auto"/>
        </w:rPr>
        <w:t>Exhibits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filed as an Exhibit to this Report.</w:t>
      </w:r>
    </w:p>
    <w:p>
      <w:pPr>
        <w:spacing w:after="0" w:line="311" w:lineRule="exact"/>
        <w:rPr>
          <w:sz w:val="20"/>
          <w:szCs w:val="20"/>
          <w:color w:val="auto"/>
        </w:rPr>
      </w:pPr>
    </w:p>
    <w:p>
      <w:pPr>
        <w:ind w:left="40"/>
        <w:spacing w:after="0"/>
        <w:rPr>
          <w:sz w:val="20"/>
          <w:szCs w:val="20"/>
          <w:color w:val="auto"/>
        </w:rPr>
      </w:pPr>
      <w:r>
        <w:rPr>
          <w:rFonts w:ascii="Arial" w:cs="Arial" w:eastAsia="Arial" w:hAnsi="Arial"/>
          <w:sz w:val="15"/>
          <w:szCs w:val="15"/>
          <w:color w:val="auto"/>
        </w:rPr>
        <w:t>Exhibit No. 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476694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66945" cy="6985"/>
                    </a:xfrm>
                    <a:prstGeom prst="rect">
                      <a:avLst/>
                    </a:prstGeom>
                    <a:noFill/>
                  </pic:spPr>
                </pic:pic>
              </a:graphicData>
            </a:graphic>
          </wp:anchor>
        </w:drawing>
      </w:r>
    </w:p>
    <w:p>
      <w:pPr>
        <w:spacing w:after="0" w:line="38"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480" w:type="dxa"/>
            <w:vAlign w:val="bottom"/>
          </w:tcPr>
          <w:p>
            <w:pPr>
              <w:jc w:val="right"/>
              <w:ind w:right="167"/>
              <w:spacing w:after="0"/>
              <w:rPr>
                <w:sz w:val="20"/>
                <w:szCs w:val="20"/>
                <w:color w:val="auto"/>
              </w:rPr>
            </w:pPr>
            <w:r>
              <w:rPr>
                <w:rFonts w:ascii="Arial" w:cs="Arial" w:eastAsia="Arial" w:hAnsi="Arial"/>
                <w:sz w:val="15"/>
                <w:szCs w:val="15"/>
                <w:color w:val="auto"/>
                <w:w w:val="75"/>
              </w:rPr>
              <w:t>99.1</w:t>
            </w:r>
          </w:p>
        </w:tc>
        <w:tc>
          <w:tcPr>
            <w:tcW w:w="6820" w:type="dxa"/>
            <w:vAlign w:val="bottom"/>
            <w:vMerge w:val="restart"/>
          </w:tcPr>
          <w:p>
            <w:pPr>
              <w:ind w:left="240"/>
              <w:spacing w:after="0"/>
              <w:rPr>
                <w:sz w:val="20"/>
                <w:szCs w:val="20"/>
                <w:color w:val="auto"/>
              </w:rPr>
            </w:pPr>
            <w:r>
              <w:rPr>
                <w:rFonts w:ascii="Arial" w:cs="Arial" w:eastAsia="Arial" w:hAnsi="Arial"/>
                <w:sz w:val="15"/>
                <w:szCs w:val="15"/>
                <w:color w:val="auto"/>
                <w:w w:val="88"/>
              </w:rPr>
              <w:t>Informational slides provided by Brady Corporation, dated September 19, 2013, relating to investor-analyst day.</w:t>
            </w:r>
          </w:p>
        </w:tc>
        <w:tc>
          <w:tcPr>
            <w:tcW w:w="0" w:type="dxa"/>
            <w:vAlign w:val="bottom"/>
          </w:tcPr>
          <w:p>
            <w:pPr>
              <w:spacing w:after="0"/>
              <w:rPr>
                <w:sz w:val="1"/>
                <w:szCs w:val="1"/>
                <w:color w:val="auto"/>
              </w:rPr>
            </w:pPr>
          </w:p>
        </w:tc>
      </w:tr>
      <w:tr>
        <w:trPr>
          <w:trHeight w:val="66"/>
        </w:trPr>
        <w:tc>
          <w:tcPr>
            <w:tcW w:w="480" w:type="dxa"/>
            <w:vAlign w:val="bottom"/>
          </w:tcPr>
          <w:p>
            <w:pPr>
              <w:spacing w:after="0"/>
              <w:rPr>
                <w:sz w:val="5"/>
                <w:szCs w:val="5"/>
                <w:color w:val="auto"/>
              </w:rPr>
            </w:pPr>
          </w:p>
        </w:tc>
        <w:tc>
          <w:tcPr>
            <w:tcW w:w="6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ind w:left="5320"/>
        <w:spacing w:after="0"/>
        <w:rPr>
          <w:sz w:val="20"/>
          <w:szCs w:val="20"/>
          <w:color w:val="auto"/>
        </w:rPr>
      </w:pPr>
      <w:r>
        <w:rPr>
          <w:rFonts w:ascii="Arial" w:cs="Arial" w:eastAsia="Arial" w:hAnsi="Arial"/>
          <w:sz w:val="15"/>
          <w:szCs w:val="15"/>
          <w:color w:val="auto"/>
        </w:rPr>
        <w:t>SIGNATURE</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301" w:lineRule="exact"/>
        <w:rPr>
          <w:sz w:val="20"/>
          <w:szCs w:val="20"/>
          <w:color w:val="auto"/>
        </w:rPr>
      </w:pPr>
    </w:p>
    <w:p>
      <w:pPr>
        <w:ind w:left="5980"/>
        <w:spacing w:after="0"/>
        <w:rPr>
          <w:sz w:val="20"/>
          <w:szCs w:val="20"/>
          <w:color w:val="auto"/>
        </w:rPr>
      </w:pPr>
      <w:r>
        <w:rPr>
          <w:rFonts w:ascii="Arial" w:cs="Arial" w:eastAsia="Arial" w:hAnsi="Arial"/>
          <w:sz w:val="15"/>
          <w:szCs w:val="15"/>
          <w:color w:val="auto"/>
        </w:rPr>
        <w:t>BRADY CORPORATION</w:t>
      </w:r>
    </w:p>
    <w:p>
      <w:pPr>
        <w:spacing w:after="0" w:line="311" w:lineRule="exact"/>
        <w:rPr>
          <w:sz w:val="20"/>
          <w:szCs w:val="20"/>
          <w:color w:val="auto"/>
        </w:rPr>
      </w:pPr>
    </w:p>
    <w:p>
      <w:pPr>
        <w:ind w:left="40"/>
        <w:spacing w:after="0"/>
        <w:rPr>
          <w:sz w:val="20"/>
          <w:szCs w:val="20"/>
          <w:color w:val="auto"/>
        </w:rPr>
      </w:pPr>
      <w:r>
        <w:rPr>
          <w:rFonts w:ascii="Arial" w:cs="Arial" w:eastAsia="Arial" w:hAnsi="Arial"/>
          <w:sz w:val="15"/>
          <w:szCs w:val="15"/>
          <w:color w:val="auto"/>
        </w:rPr>
        <w:t>Date: September 19, 2013</w:t>
      </w:r>
    </w:p>
    <w:p>
      <w:pPr>
        <w:spacing w:after="0" w:line="311" w:lineRule="exact"/>
        <w:rPr>
          <w:sz w:val="20"/>
          <w:szCs w:val="20"/>
          <w:color w:val="auto"/>
        </w:rPr>
      </w:pPr>
    </w:p>
    <w:p>
      <w:pPr>
        <w:ind w:left="5980"/>
        <w:spacing w:after="0"/>
        <w:rPr>
          <w:sz w:val="20"/>
          <w:szCs w:val="20"/>
          <w:color w:val="auto"/>
        </w:rPr>
      </w:pPr>
      <w:r>
        <w:rPr>
          <w:rFonts w:ascii="Arial" w:cs="Arial" w:eastAsia="Arial" w:hAnsi="Arial"/>
          <w:sz w:val="15"/>
          <w:szCs w:val="15"/>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3787775</wp:posOffset>
            </wp:positionH>
            <wp:positionV relativeFrom="paragraph">
              <wp:posOffset>22860</wp:posOffset>
            </wp:positionV>
            <wp:extent cx="348932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89325" cy="6985"/>
                    </a:xfrm>
                    <a:prstGeom prst="rect">
                      <a:avLst/>
                    </a:prstGeom>
                    <a:noFill/>
                  </pic:spPr>
                </pic:pic>
              </a:graphicData>
            </a:graphic>
          </wp:anchor>
        </w:drawing>
      </w:r>
    </w:p>
    <w:p>
      <w:pPr>
        <w:spacing w:after="0" w:line="38" w:lineRule="exact"/>
        <w:rPr>
          <w:sz w:val="20"/>
          <w:szCs w:val="20"/>
          <w:color w:val="auto"/>
        </w:rPr>
      </w:pPr>
    </w:p>
    <w:p>
      <w:pPr>
        <w:ind w:left="5980"/>
        <w:spacing w:after="0"/>
        <w:rPr>
          <w:sz w:val="20"/>
          <w:szCs w:val="20"/>
          <w:color w:val="auto"/>
        </w:rPr>
      </w:pPr>
      <w:r>
        <w:rPr>
          <w:rFonts w:ascii="Arial" w:cs="Arial" w:eastAsia="Arial" w:hAnsi="Arial"/>
          <w:sz w:val="15"/>
          <w:szCs w:val="15"/>
          <w:color w:val="auto"/>
        </w:rPr>
        <w:t>Thomas J. Felmer</w:t>
      </w:r>
    </w:p>
    <w:p>
      <w:pPr>
        <w:spacing w:after="0" w:line="47" w:lineRule="exact"/>
        <w:rPr>
          <w:sz w:val="20"/>
          <w:szCs w:val="20"/>
          <w:color w:val="auto"/>
        </w:rPr>
      </w:pPr>
    </w:p>
    <w:p>
      <w:pPr>
        <w:ind w:left="5980"/>
        <w:spacing w:after="0"/>
        <w:rPr>
          <w:sz w:val="20"/>
          <w:szCs w:val="20"/>
          <w:color w:val="auto"/>
        </w:rPr>
      </w:pPr>
      <w:r>
        <w:rPr>
          <w:rFonts w:ascii="Arial" w:cs="Arial" w:eastAsia="Arial" w:hAnsi="Arial"/>
          <w:sz w:val="15"/>
          <w:szCs w:val="15"/>
          <w:color w:val="auto"/>
        </w:rPr>
        <w:t>Senior Vice President &amp;</w:t>
      </w:r>
    </w:p>
    <w:p>
      <w:pPr>
        <w:spacing w:after="0" w:line="14" w:lineRule="exact"/>
        <w:rPr>
          <w:sz w:val="20"/>
          <w:szCs w:val="20"/>
          <w:color w:val="auto"/>
        </w:rPr>
      </w:pPr>
    </w:p>
    <w:p>
      <w:pPr>
        <w:ind w:left="5980"/>
        <w:spacing w:after="0"/>
        <w:rPr>
          <w:sz w:val="20"/>
          <w:szCs w:val="20"/>
          <w:color w:val="auto"/>
        </w:rPr>
      </w:pPr>
      <w:r>
        <w:rPr>
          <w:rFonts w:ascii="Arial" w:cs="Arial" w:eastAsia="Arial" w:hAnsi="Arial"/>
          <w:sz w:val="15"/>
          <w:szCs w:val="15"/>
          <w:color w:val="auto"/>
        </w:rPr>
        <w:t>Chief Financial Officer</w:t>
      </w:r>
    </w:p>
    <w:p>
      <w:pPr>
        <w:sectPr>
          <w:pgSz w:w="11900" w:h="16838" w:orient="portrait"/>
          <w:cols w:equalWidth="0" w:num="1">
            <w:col w:w="11460"/>
          </w:cols>
          <w:pgMar w:left="220" w:top="634"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7"/>
        </w:trPr>
        <w:tc>
          <w:tcPr>
            <w:tcW w:w="720" w:type="dxa"/>
            <w:vAlign w:val="bottom"/>
          </w:tcPr>
          <w:p>
            <w:pPr>
              <w:spacing w:after="0"/>
              <w:rPr>
                <w:sz w:val="16"/>
                <w:szCs w:val="16"/>
                <w:color w:val="auto"/>
              </w:rPr>
            </w:pPr>
          </w:p>
        </w:tc>
        <w:tc>
          <w:tcPr>
            <w:tcW w:w="6800" w:type="dxa"/>
            <w:vAlign w:val="bottom"/>
          </w:tcPr>
          <w:p>
            <w:pPr>
              <w:ind w:left="4480"/>
              <w:spacing w:after="0"/>
              <w:rPr>
                <w:sz w:val="20"/>
                <w:szCs w:val="20"/>
                <w:color w:val="auto"/>
              </w:rPr>
            </w:pPr>
            <w:r>
              <w:rPr>
                <w:rFonts w:ascii="Arial" w:cs="Arial" w:eastAsia="Arial" w:hAnsi="Arial"/>
                <w:sz w:val="15"/>
                <w:szCs w:val="15"/>
                <w:color w:val="auto"/>
              </w:rPr>
              <w:t>EXHIBIT INDEX</w:t>
            </w:r>
          </w:p>
        </w:tc>
        <w:tc>
          <w:tcPr>
            <w:tcW w:w="0" w:type="dxa"/>
            <w:vAlign w:val="bottom"/>
          </w:tcPr>
          <w:p>
            <w:pPr>
              <w:spacing w:after="0"/>
              <w:rPr>
                <w:sz w:val="1"/>
                <w:szCs w:val="1"/>
                <w:color w:val="auto"/>
              </w:rPr>
            </w:pPr>
          </w:p>
        </w:tc>
      </w:tr>
      <w:tr>
        <w:trPr>
          <w:trHeight w:val="466"/>
        </w:trPr>
        <w:tc>
          <w:tcPr>
            <w:tcW w:w="720" w:type="dxa"/>
            <w:vAlign w:val="bottom"/>
          </w:tcPr>
          <w:p>
            <w:pPr>
              <w:ind w:left="40"/>
              <w:spacing w:after="0"/>
              <w:rPr>
                <w:sz w:val="20"/>
                <w:szCs w:val="20"/>
                <w:color w:val="auto"/>
              </w:rPr>
            </w:pPr>
            <w:r>
              <w:rPr>
                <w:rFonts w:ascii="Arial" w:cs="Arial" w:eastAsia="Arial" w:hAnsi="Arial"/>
                <w:sz w:val="13"/>
                <w:szCs w:val="13"/>
                <w:color w:val="auto"/>
              </w:rPr>
              <w:t>EXHIBIT</w:t>
            </w:r>
          </w:p>
        </w:tc>
        <w:tc>
          <w:tcPr>
            <w:tcW w:w="6800" w:type="dxa"/>
            <w:vAlign w:val="bottom"/>
            <w:vMerge w:val="restart"/>
          </w:tcPr>
          <w:p>
            <w:pPr>
              <w:ind w:left="140"/>
              <w:spacing w:after="0"/>
              <w:rPr>
                <w:sz w:val="20"/>
                <w:szCs w:val="20"/>
                <w:color w:val="auto"/>
              </w:rPr>
            </w:pPr>
            <w:r>
              <w:rPr>
                <w:rFonts w:ascii="Arial" w:cs="Arial" w:eastAsia="Arial" w:hAnsi="Arial"/>
                <w:sz w:val="15"/>
                <w:szCs w:val="15"/>
                <w:color w:val="auto"/>
              </w:rPr>
              <w:t>DESCRIPTION</w:t>
            </w:r>
          </w:p>
        </w:tc>
        <w:tc>
          <w:tcPr>
            <w:tcW w:w="0" w:type="dxa"/>
            <w:vAlign w:val="bottom"/>
          </w:tcPr>
          <w:p>
            <w:pPr>
              <w:spacing w:after="0"/>
              <w:rPr>
                <w:sz w:val="1"/>
                <w:szCs w:val="1"/>
                <w:color w:val="auto"/>
              </w:rPr>
            </w:pPr>
          </w:p>
        </w:tc>
      </w:tr>
      <w:tr>
        <w:trPr>
          <w:trHeight w:val="172"/>
        </w:trPr>
        <w:tc>
          <w:tcPr>
            <w:tcW w:w="720" w:type="dxa"/>
            <w:vAlign w:val="bottom"/>
          </w:tcPr>
          <w:p>
            <w:pPr>
              <w:ind w:left="40"/>
              <w:spacing w:after="0"/>
              <w:rPr>
                <w:sz w:val="20"/>
                <w:szCs w:val="20"/>
                <w:color w:val="auto"/>
              </w:rPr>
            </w:pPr>
            <w:r>
              <w:rPr>
                <w:rFonts w:ascii="Arial" w:cs="Arial" w:eastAsia="Arial" w:hAnsi="Arial"/>
                <w:sz w:val="13"/>
                <w:szCs w:val="13"/>
                <w:color w:val="auto"/>
              </w:rPr>
              <w:t>NUMBER</w:t>
            </w:r>
          </w:p>
        </w:tc>
        <w:tc>
          <w:tcPr>
            <w:tcW w:w="6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720" w:type="dxa"/>
            <w:vAlign w:val="bottom"/>
            <w:tcBorders>
              <w:bottom w:val="single" w:sz="8" w:color="auto"/>
            </w:tcBorders>
          </w:tcPr>
          <w:p>
            <w:pPr>
              <w:spacing w:after="0" w:line="20" w:lineRule="exact"/>
              <w:rPr>
                <w:sz w:val="1"/>
                <w:szCs w:val="1"/>
                <w:color w:val="auto"/>
              </w:rPr>
            </w:pPr>
          </w:p>
        </w:tc>
        <w:tc>
          <w:tcPr>
            <w:tcW w:w="6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5"/>
                <w:szCs w:val="15"/>
                <w:color w:val="auto"/>
              </w:rPr>
              <w:t>99.1</w:t>
            </w:r>
          </w:p>
        </w:tc>
        <w:tc>
          <w:tcPr>
            <w:tcW w:w="6800" w:type="dxa"/>
            <w:vAlign w:val="bottom"/>
            <w:vMerge w:val="restart"/>
          </w:tcPr>
          <w:p>
            <w:pPr>
              <w:ind w:left="140"/>
              <w:spacing w:after="0"/>
              <w:rPr>
                <w:sz w:val="20"/>
                <w:szCs w:val="20"/>
                <w:color w:val="auto"/>
              </w:rPr>
            </w:pPr>
            <w:r>
              <w:rPr>
                <w:rFonts w:ascii="Arial" w:cs="Arial" w:eastAsia="Arial" w:hAnsi="Arial"/>
                <w:sz w:val="15"/>
                <w:szCs w:val="15"/>
                <w:color w:val="auto"/>
                <w:w w:val="89"/>
              </w:rPr>
              <w:t>Informational slides provided by Brady Corporation, dated September 19, 2013, relating to investor-analyst day.</w:t>
            </w:r>
          </w:p>
        </w:tc>
        <w:tc>
          <w:tcPr>
            <w:tcW w:w="0" w:type="dxa"/>
            <w:vAlign w:val="bottom"/>
          </w:tcPr>
          <w:p>
            <w:pPr>
              <w:spacing w:after="0"/>
              <w:rPr>
                <w:sz w:val="1"/>
                <w:szCs w:val="1"/>
                <w:color w:val="auto"/>
              </w:rPr>
            </w:pPr>
          </w:p>
        </w:tc>
      </w:tr>
      <w:tr>
        <w:trPr>
          <w:trHeight w:val="66"/>
        </w:trPr>
        <w:tc>
          <w:tcPr>
            <w:tcW w:w="720" w:type="dxa"/>
            <w:vAlign w:val="bottom"/>
          </w:tcPr>
          <w:p>
            <w:pPr>
              <w:spacing w:after="0"/>
              <w:rPr>
                <w:sz w:val="5"/>
                <w:szCs w:val="5"/>
                <w:color w:val="auto"/>
              </w:rPr>
            </w:pPr>
          </w:p>
        </w:tc>
        <w:tc>
          <w:tcPr>
            <w:tcW w:w="6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503"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312420</wp:posOffset>
            </wp:positionV>
            <wp:extent cx="7214235" cy="57118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88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235" cy="5718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6129655</wp:posOffset>
            </wp:positionV>
            <wp:extent cx="7214235" cy="196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4235"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6129655</wp:posOffset>
            </wp:positionV>
            <wp:extent cx="7214235" cy="196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4235"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437515</wp:posOffset>
            </wp:positionV>
            <wp:extent cx="7214235" cy="57118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6129655</wp:posOffset>
            </wp:positionV>
            <wp:extent cx="7214235" cy="196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4235"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437515</wp:posOffset>
            </wp:positionV>
            <wp:extent cx="7214235" cy="57118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2019-12-05T21:11:42Z</dcterms:created>
  <dcterms:modified xsi:type="dcterms:W3CDTF">2019-12-05T21:11:42Z</dcterms:modified>
</cp:coreProperties>
</file>