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210185</wp:posOffset>
            </wp:positionV>
            <wp:extent cx="1612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7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190500</wp:posOffset>
            </wp:positionV>
            <wp:extent cx="1612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4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219710</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8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167640</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1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ectPr>
          <w:pgSz w:w="11900" w:h="16838" w:orient="portrait"/>
          <w:cols w:equalWidth="0" w:num="1">
            <w:col w:w="10540"/>
          </w:cols>
          <w:pgMar w:left="820" w:top="727"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39-0971239</w:t>
      </w:r>
    </w:p>
    <w:p>
      <w:pPr>
        <w:spacing w:after="0" w:line="72" w:lineRule="exact"/>
        <w:rPr>
          <w:sz w:val="24"/>
          <w:szCs w:val="24"/>
          <w:color w:val="auto"/>
        </w:rPr>
      </w:pPr>
    </w:p>
    <w:p>
      <w:pPr>
        <w:sectPr>
          <w:pgSz w:w="11900" w:h="16838" w:orient="portrait"/>
          <w:cols w:equalWidth="0" w:num="2">
            <w:col w:w="6960" w:space="720"/>
            <w:col w:w="2860"/>
          </w:cols>
          <w:pgMar w:left="820" w:top="727" w:right="539" w:bottom="1440" w:gutter="0" w:footer="0" w:header="0"/>
          <w:type w:val="continuous"/>
        </w:sectPr>
      </w:pPr>
    </w:p>
    <w:p>
      <w:pPr>
        <w:jc w:val="center"/>
        <w:ind w:right="2360"/>
        <w:spacing w:after="0"/>
        <w:rPr>
          <w:sz w:val="20"/>
          <w:szCs w:val="20"/>
          <w:color w:val="auto"/>
        </w:rPr>
      </w:pPr>
      <w:r>
        <w:rPr>
          <w:rFonts w:ascii="Times New Roman" w:cs="Times New Roman" w:eastAsia="Times New Roman" w:hAnsi="Times New Roman"/>
          <w:sz w:val="14"/>
          <w:szCs w:val="14"/>
          <w:b w:val="1"/>
          <w:bCs w:val="1"/>
          <w:color w:val="auto"/>
        </w:rPr>
        <w:t>(State of</w:t>
      </w:r>
    </w:p>
    <w:p>
      <w:pPr>
        <w:spacing w:after="0" w:line="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6820" w:space="720"/>
            <w:col w:w="3000"/>
          </w:cols>
          <w:pgMar w:left="820" w:top="727" w:right="539" w:bottom="1440" w:gutter="0" w:footer="0" w:header="0"/>
          <w:type w:val="continuous"/>
        </w:sectPr>
      </w:pPr>
    </w:p>
    <w:p>
      <w:pPr>
        <w:ind w:left="4060"/>
        <w:spacing w:after="0"/>
        <w:rPr>
          <w:sz w:val="20"/>
          <w:szCs w:val="20"/>
          <w:color w:val="auto"/>
        </w:rPr>
      </w:pPr>
      <w:r>
        <w:rPr>
          <w:rFonts w:ascii="Times New Roman" w:cs="Times New Roman" w:eastAsia="Times New Roman" w:hAnsi="Times New Roman"/>
          <w:sz w:val="18"/>
          <w:szCs w:val="18"/>
          <w:b w:val="1"/>
          <w:bCs w:val="1"/>
          <w:color w:val="auto"/>
        </w:rPr>
        <w:t>6555 West Good Hope Road</w:t>
      </w:r>
    </w:p>
    <w:p>
      <w:pPr>
        <w:spacing w:after="0" w:line="1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Milwaukee, Wisconsin 53223</w:t>
      </w:r>
    </w:p>
    <w:p>
      <w:pPr>
        <w:spacing w:after="0" w:line="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4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3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196215</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ectPr>
          <w:pgSz w:w="11900" w:h="16838" w:orient="portrait"/>
          <w:cols w:equalWidth="0" w:num="1">
            <w:col w:w="10540"/>
          </w:cols>
          <w:pgMar w:left="820" w:top="727" w:right="539" w:bottom="1440" w:gutter="0" w:footer="0" w:header="0"/>
          <w:type w:val="continuous"/>
        </w:sectPr>
      </w:pPr>
    </w:p>
    <w:p>
      <w:pPr>
        <w:spacing w:after="0" w:line="38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540"/>
          </w:cols>
          <w:pgMar w:left="820" w:top="727" w:right="539" w:bottom="1440" w:gutter="0" w:footer="0" w:header="0"/>
          <w:type w:val="continuous"/>
        </w:sectPr>
      </w:pPr>
    </w:p>
    <w:bookmarkStart w:id="1" w:name="page2"/>
    <w:bookmarkEnd w:id="1"/>
    <w:p>
      <w:pPr>
        <w:ind w:left="1200" w:right="260" w:hanging="1147"/>
        <w:spacing w:after="0" w:line="269" w:lineRule="auto"/>
        <w:tabs>
          <w:tab w:leader="none" w:pos="1180" w:val="left"/>
        </w:tabs>
        <w:rPr>
          <w:sz w:val="20"/>
          <w:szCs w:val="20"/>
          <w:color w:val="auto"/>
        </w:rPr>
      </w:pPr>
      <w:r>
        <w:rPr>
          <w:rFonts w:ascii="Times New Roman" w:cs="Times New Roman" w:eastAsia="Times New Roman" w:hAnsi="Times New Roman"/>
          <w:sz w:val="20"/>
          <w:szCs w:val="20"/>
          <w:color w:val="auto"/>
        </w:rPr>
        <w:t>Item 5.02</w:t>
      </w:r>
      <w:r>
        <w:rPr>
          <w:sz w:val="20"/>
          <w:szCs w:val="20"/>
          <w:color w:val="auto"/>
        </w:rPr>
        <w:tab/>
      </w:r>
      <w:r>
        <w:rPr>
          <w:rFonts w:ascii="Times New Roman" w:cs="Times New Roman" w:eastAsia="Times New Roman" w:hAnsi="Times New Roman"/>
          <w:sz w:val="20"/>
          <w:szCs w:val="20"/>
          <w:color w:val="auto"/>
        </w:rPr>
        <w:t>DEPARTURE OF DIRECTORS OR CERTAIN OFFICERS; ELECTION OF DIRECTORS; APPOINTMENT OF CERTAIN OFFICERS; COMPENSATORY ARRANGEMENTS OF CERTAIN OFFICERS</w:t>
      </w:r>
    </w:p>
    <w:p>
      <w:pPr>
        <w:spacing w:after="0" w:line="20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On October 1, 2014, the Management Development and Compensation Committee of the Board of Directors of Brady Corporation (the “Company”) granted an award of 5,000 restricted stock units to Thomas J. Felmer, the Company’s Senior Vice President and President - Workplace Safety, for retention purposes. The award will vest in equal increments upon the first, second and third anniversaries of the grant date, with vesting accelerated in the event of death, disability, termination following a change of control or termination by the Company without cause. The description of the restricted stock unit award is qualified in its entirety by reference to the full text of the restricted stock unit award agreement, a copy of which is attached hereto as Exhibit 10.1, and is incorporated herein by reference.</w:t>
      </w:r>
    </w:p>
    <w:p>
      <w:pPr>
        <w:sectPr>
          <w:pgSz w:w="11900" w:h="16838" w:orient="portrait"/>
          <w:cols w:equalWidth="0" w:num="1">
            <w:col w:w="11420"/>
          </w:cols>
          <w:pgMar w:left="240" w:top="954" w:right="239" w:bottom="1440" w:gutter="0" w:footer="0" w:header="0"/>
        </w:sectPr>
      </w:pPr>
    </w:p>
    <w:bookmarkStart w:id="2" w:name="page3"/>
    <w:bookmarkEnd w:id="2"/>
    <w:p>
      <w:pPr>
        <w:ind w:left="40"/>
        <w:spacing w:after="0"/>
        <w:tabs>
          <w:tab w:leader="none" w:pos="106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2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tab/>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filed as Exhibits to this Report.</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Restricted Stock Unit Agreement between the Company and Mr. Felmer dated as of October 1, 2014.</w:t>
      </w:r>
    </w:p>
    <w:p>
      <w:pPr>
        <w:sectPr>
          <w:pgSz w:w="11900" w:h="16838" w:orient="portrait"/>
          <w:cols w:equalWidth="0" w:num="1">
            <w:col w:w="10219"/>
          </w:cols>
          <w:pgMar w:left="240" w:top="742"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October 2, 2014</w:t>
      </w:r>
    </w:p>
    <w:p>
      <w:pPr>
        <w:spacing w:after="0" w:line="38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34290</wp:posOffset>
            </wp:positionV>
            <wp:extent cx="3490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Aaron J. Pearce</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color w:val="auto"/>
        </w:rPr>
        <w:t>EXHIBIT INDEX</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w:t>
      </w:r>
    </w:p>
    <w:p>
      <w:pPr>
        <w:spacing w:after="0" w:line="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Restricted Stock Unit Agreement between the Company and Mr. Felmer dated as of October 1, 2014.</w:t>
      </w:r>
    </w:p>
    <w:p>
      <w:pPr>
        <w:sectPr>
          <w:pgSz w:w="11900" w:h="16838" w:orient="portrait"/>
          <w:cols w:equalWidth="0" w:num="1">
            <w:col w:w="10179"/>
          </w:cols>
          <w:pgMar w:left="280" w:top="796" w:right="1440" w:bottom="1440" w:gutter="0" w:footer="0" w:header="0"/>
        </w:sectPr>
      </w:pPr>
    </w:p>
    <w:bookmarkStart w:id="5" w:name="page6"/>
    <w:bookmarkEnd w:id="5"/>
    <w:p>
      <w:pPr>
        <w:ind w:left="10480"/>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BRADY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management’s recommendation, the Management Development and Compensation Committee (the “Committee”) of the Brady Corporation Board of Directors has awarded to Thomas J. Felmer (“Employee”) a restricted stock unit award effective October 1, 2014 pursuant to the terms of the 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76"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Number of Units</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Restricted Stock Unit Award applies to 5,000 shares of the presently authorized Class A Nonvoting Common Stock of the Corporation, $.01 par value (the “Restricted Stock Units”). </w:t>
      </w:r>
      <w:r>
        <w:rPr>
          <w:rFonts w:ascii="Times New Roman" w:cs="Times New Roman" w:eastAsia="Times New Roman" w:hAnsi="Times New Roman"/>
          <w:sz w:val="18"/>
          <w:szCs w:val="18"/>
          <w:color w:val="333300"/>
        </w:rPr>
        <w:t>The Restricted Stock Units granted under this Agreement are units that will be reflected in a book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00"/>
        </w:rPr>
        <w:t>maintained by the Corporation until they become vested or have been forfeited.</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 Vesting Requirement</w:t>
      </w:r>
    </w:p>
    <w:p>
      <w:pPr>
        <w:spacing w:after="0" w:line="31"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108"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Cumulative Percentage of</w:t>
            </w: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Date</w:t>
            </w:r>
          </w:p>
        </w:tc>
        <w:tc>
          <w:tcPr>
            <w:tcW w:w="34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Vested Restricted Stock Units</w:t>
            </w:r>
          </w:p>
        </w:tc>
      </w:tr>
      <w:tr>
        <w:trPr>
          <w:trHeight w:val="20"/>
        </w:trPr>
        <w:tc>
          <w:tcPr>
            <w:tcW w:w="9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615"/>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anniversary of grant date</w:t>
            </w:r>
          </w:p>
        </w:tc>
        <w:tc>
          <w:tcPr>
            <w:tcW w:w="34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33-1/3%</w:t>
            </w:r>
          </w:p>
        </w:tc>
      </w:tr>
      <w:tr>
        <w:trPr>
          <w:trHeight w:val="27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anniversary of grant date</w:t>
            </w:r>
          </w:p>
        </w:tc>
        <w:tc>
          <w:tcPr>
            <w:tcW w:w="34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66-2/3%</w:t>
            </w:r>
          </w:p>
        </w:tc>
      </w:tr>
      <w:tr>
        <w:trPr>
          <w:trHeight w:val="27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anniversary of grant date</w:t>
            </w:r>
          </w:p>
        </w:tc>
        <w:tc>
          <w:tcPr>
            <w:tcW w:w="34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0" w:lineRule="exact"/>
        <w:rPr>
          <w:sz w:val="20"/>
          <w:szCs w:val="20"/>
          <w:color w:val="auto"/>
        </w:rPr>
      </w:pPr>
    </w:p>
    <w:p>
      <w:pPr>
        <w:spacing w:after="0" w:line="241" w:lineRule="exact"/>
        <w:rPr>
          <w:sz w:val="20"/>
          <w:szCs w:val="20"/>
          <w:color w:val="auto"/>
        </w:rPr>
      </w:pPr>
    </w:p>
    <w:p>
      <w:pPr>
        <w:jc w:val="both"/>
        <w:ind w:left="1300" w:hanging="644"/>
        <w:spacing w:after="0" w:line="266"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Restricted Stock Units</w:t>
      </w:r>
      <w:r>
        <w:rPr>
          <w:rFonts w:ascii="Times New Roman" w:cs="Times New Roman" w:eastAsia="Times New Roman" w:hAnsi="Times New Roman"/>
          <w:sz w:val="18"/>
          <w:szCs w:val="18"/>
          <w:color w:val="auto"/>
        </w:rPr>
        <w:t>. Except as provided in Section 3, if the Employee terminates employment prior to the satisfaction of the vesting requirement set forth in Section 2(a) above, the Restricted Stock Units shall immediately be forfeited. The period of time during which the Restricted Stock Units covered by this Award are forfeitable is referred to as the “Restricted Period.”</w:t>
      </w:r>
    </w:p>
    <w:p>
      <w:pPr>
        <w:spacing w:after="0" w:line="17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Accelerated Vesting</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and conditions of Section 2 hereof, in the event of the termination of the Employee’s employment with the Corporation (and any Affiliate) prior to the end of the Restricted Period due to death or Disability, or due to termination by the Corporation without Cause, the Restricted Stock Units shall become fully vested.</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w:t>
      </w:r>
    </w:p>
    <w:p>
      <w:pPr>
        <w:sectPr>
          <w:pgSz w:w="11900" w:h="16838" w:orient="portrait"/>
          <w:cols w:equalWidth="0" w:num="1">
            <w:col w:w="11420"/>
          </w:cols>
          <w:pgMar w:left="240" w:top="576" w:right="239" w:bottom="1440" w:gutter="0" w:footer="0" w:header="0"/>
        </w:sectPr>
      </w:pPr>
    </w:p>
    <w:bookmarkStart w:id="6" w:name="page7"/>
    <w:bookmarkEnd w:id="6"/>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84" w:lineRule="exact"/>
        <w:rPr>
          <w:sz w:val="20"/>
          <w:szCs w:val="20"/>
          <w:color w:val="auto"/>
        </w:rPr>
      </w:pPr>
    </w:p>
    <w:p>
      <w:pPr>
        <w:jc w:val="both"/>
        <w:ind w:left="652"/>
        <w:spacing w:after="0" w:line="256" w:lineRule="auto"/>
        <w:rPr>
          <w:sz w:val="20"/>
          <w:szCs w:val="20"/>
          <w:color w:val="auto"/>
        </w:rPr>
      </w:pPr>
      <w:r>
        <w:rPr>
          <w:rFonts w:ascii="Times New Roman" w:cs="Times New Roman" w:eastAsia="Times New Roman" w:hAnsi="Times New Roman"/>
          <w:sz w:val="18"/>
          <w:szCs w:val="18"/>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88" w:lineRule="exact"/>
        <w:rPr>
          <w:sz w:val="20"/>
          <w:szCs w:val="20"/>
          <w:color w:val="auto"/>
        </w:rPr>
      </w:pPr>
    </w:p>
    <w:p>
      <w:pPr>
        <w:jc w:val="both"/>
        <w:ind w:left="1292" w:hanging="644"/>
        <w:spacing w:after="0" w:line="261"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176"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Dividends</w:t>
      </w:r>
    </w:p>
    <w:p>
      <w:pPr>
        <w:spacing w:after="0" w:line="3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will be paid or accrued on any Restricted Stock Units during the Restricted Period.</w:t>
      </w:r>
    </w:p>
    <w:p>
      <w:pPr>
        <w:spacing w:after="0" w:line="20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of Restricted Stock Units</w:t>
      </w:r>
    </w:p>
    <w:p>
      <w:pPr>
        <w:spacing w:after="0" w:line="31" w:lineRule="exact"/>
        <w:rPr>
          <w:rFonts w:ascii="Times New Roman" w:cs="Times New Roman" w:eastAsia="Times New Roman" w:hAnsi="Times New Roman"/>
          <w:sz w:val="18"/>
          <w:szCs w:val="18"/>
          <w:color w:val="auto"/>
        </w:rPr>
      </w:pPr>
    </w:p>
    <w:p>
      <w:pPr>
        <w:ind w:left="65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Restrictions</w:t>
      </w:r>
    </w:p>
    <w:p>
      <w:pPr>
        <w:spacing w:after="0" w:line="31" w:lineRule="exact"/>
        <w:rPr>
          <w:rFonts w:ascii="Times New Roman" w:cs="Times New Roman" w:eastAsia="Times New Roman" w:hAnsi="Times New Roman"/>
          <w:sz w:val="18"/>
          <w:szCs w:val="18"/>
          <w:color w:val="auto"/>
        </w:rPr>
      </w:pPr>
    </w:p>
    <w:p>
      <w:pPr>
        <w:jc w:val="both"/>
        <w:ind w:left="65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8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Taxes</w:t>
      </w:r>
    </w:p>
    <w:p>
      <w:pPr>
        <w:spacing w:after="0" w:line="31"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pacing w:after="0" w:line="18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Death of Employee</w:t>
      </w:r>
    </w:p>
    <w:p>
      <w:pPr>
        <w:spacing w:after="0" w:line="31" w:lineRule="exact"/>
        <w:rPr>
          <w:rFonts w:ascii="Times New Roman" w:cs="Times New Roman" w:eastAsia="Times New Roman" w:hAnsi="Times New Roman"/>
          <w:sz w:val="18"/>
          <w:szCs w:val="18"/>
          <w:color w:val="auto"/>
        </w:rPr>
      </w:pPr>
    </w:p>
    <w:p>
      <w:pPr>
        <w:jc w:val="both"/>
        <w:ind w:left="65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pacing w:after="0" w:line="18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Non-Solicitation and Non-Compete</w:t>
      </w:r>
    </w:p>
    <w:p>
      <w:pPr>
        <w:spacing w:after="0" w:line="3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the grant of this Award, Employee agrees to, understands and acknowledges the following:</w:t>
      </w:r>
    </w:p>
    <w:p>
      <w:pPr>
        <w:spacing w:after="0" w:line="206"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w:t>
      </w:r>
    </w:p>
    <w:p>
      <w:pPr>
        <w:sectPr>
          <w:pgSz w:w="11900" w:h="16838" w:orient="portrait"/>
          <w:cols w:equalWidth="0" w:num="1">
            <w:col w:w="11412"/>
          </w:cols>
          <w:pgMar w:left="248" w:top="580" w:right="239" w:bottom="1440" w:gutter="0" w:footer="0" w:header="0"/>
        </w:sectPr>
      </w:pPr>
    </w:p>
    <w:bookmarkStart w:id="7" w:name="page8"/>
    <w:bookmarkEnd w:id="7"/>
    <w:p>
      <w:pPr>
        <w:jc w:val="both"/>
        <w:ind w:left="644"/>
        <w:spacing w:after="0" w:line="302" w:lineRule="auto"/>
        <w:rPr>
          <w:sz w:val="20"/>
          <w:szCs w:val="20"/>
          <w:color w:val="auto"/>
        </w:rPr>
      </w:pPr>
      <w:r>
        <w:rPr>
          <w:rFonts w:ascii="Times New Roman" w:cs="Times New Roman" w:eastAsia="Times New Roman" w:hAnsi="Times New Roman"/>
          <w:sz w:val="18"/>
          <w:szCs w:val="18"/>
          <w:color w:val="auto"/>
        </w:rPr>
        <w:t>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58" w:lineRule="exact"/>
        <w:rPr>
          <w:sz w:val="20"/>
          <w:szCs w:val="20"/>
          <w:color w:val="auto"/>
        </w:rPr>
      </w:pPr>
    </w:p>
    <w:p>
      <w:pPr>
        <w:jc w:val="both"/>
        <w:ind w:left="1304" w:hanging="655"/>
        <w:spacing w:after="0" w:line="266" w:lineRule="auto"/>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76" w:lineRule="exact"/>
        <w:rPr>
          <w:rFonts w:ascii="Times New Roman" w:cs="Times New Roman" w:eastAsia="Times New Roman" w:hAnsi="Times New Roman"/>
          <w:sz w:val="18"/>
          <w:szCs w:val="18"/>
          <w:color w:val="auto"/>
        </w:rPr>
      </w:pPr>
    </w:p>
    <w:p>
      <w:pPr>
        <w:ind w:left="1304" w:hanging="655"/>
        <w:spacing w:after="0" w:line="282" w:lineRule="auto"/>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designs, methods, discoveries, works of authorship, creations, improvements or ideas developed or otherwise produced, acquired or used by the Company;</w:t>
      </w:r>
    </w:p>
    <w:p>
      <w:pPr>
        <w:spacing w:after="0" w:line="161" w:lineRule="exact"/>
        <w:rPr>
          <w:rFonts w:ascii="Times New Roman" w:cs="Times New Roman" w:eastAsia="Times New Roman" w:hAnsi="Times New Roman"/>
          <w:sz w:val="18"/>
          <w:szCs w:val="18"/>
          <w:color w:val="auto"/>
        </w:rPr>
      </w:pPr>
    </w:p>
    <w:p>
      <w:pPr>
        <w:jc w:val="both"/>
        <w:ind w:left="1304" w:hanging="655"/>
        <w:spacing w:after="0" w:line="266" w:lineRule="auto"/>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76" w:lineRule="exact"/>
        <w:rPr>
          <w:rFonts w:ascii="Times New Roman" w:cs="Times New Roman" w:eastAsia="Times New Roman" w:hAnsi="Times New Roman"/>
          <w:sz w:val="18"/>
          <w:szCs w:val="18"/>
          <w:color w:val="auto"/>
        </w:rPr>
      </w:pPr>
    </w:p>
    <w:p>
      <w:pPr>
        <w:jc w:val="both"/>
        <w:ind w:left="1304" w:hanging="655"/>
        <w:spacing w:after="0" w:line="266" w:lineRule="auto"/>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76" w:lineRule="exact"/>
        <w:rPr>
          <w:rFonts w:ascii="Times New Roman" w:cs="Times New Roman" w:eastAsia="Times New Roman" w:hAnsi="Times New Roman"/>
          <w:sz w:val="18"/>
          <w:szCs w:val="18"/>
          <w:color w:val="auto"/>
        </w:rPr>
      </w:pPr>
    </w:p>
    <w:p>
      <w:pPr>
        <w:jc w:val="both"/>
        <w:ind w:left="1304" w:hanging="655"/>
        <w:spacing w:after="0" w:line="266" w:lineRule="auto"/>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76"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3" w:lineRule="exact"/>
        <w:rPr>
          <w:rFonts w:ascii="Times New Roman" w:cs="Times New Roman" w:eastAsia="Times New Roman" w:hAnsi="Times New Roman"/>
          <w:sz w:val="18"/>
          <w:szCs w:val="18"/>
          <w:color w:val="auto"/>
        </w:rPr>
      </w:pPr>
    </w:p>
    <w:p>
      <w:pPr>
        <w:jc w:val="both"/>
        <w:ind w:left="1304" w:hanging="655"/>
        <w:spacing w:after="0" w:line="266"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176" w:lineRule="exact"/>
        <w:rPr>
          <w:rFonts w:ascii="Times New Roman" w:cs="Times New Roman" w:eastAsia="Times New Roman" w:hAnsi="Times New Roman"/>
          <w:sz w:val="18"/>
          <w:szCs w:val="18"/>
          <w:color w:val="auto"/>
        </w:rPr>
      </w:pPr>
    </w:p>
    <w:p>
      <w:pPr>
        <w:jc w:val="both"/>
        <w:ind w:left="1304" w:hanging="655"/>
        <w:spacing w:after="0" w:line="256"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88"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ectPr>
          <w:pgSz w:w="11900" w:h="16838" w:orient="portrait"/>
          <w:cols w:equalWidth="0" w:num="1">
            <w:col w:w="10764"/>
          </w:cols>
          <w:pgMar w:left="896" w:top="607" w:right="239" w:bottom="1440" w:gutter="0" w:footer="0" w:header="0"/>
        </w:sectPr>
      </w:pPr>
    </w:p>
    <w:bookmarkStart w:id="8" w:name="page9"/>
    <w:bookmarkEnd w:id="8"/>
    <w:p>
      <w:pPr>
        <w:jc w:val="both"/>
        <w:ind w:left="1292" w:hanging="644"/>
        <w:spacing w:after="0" w:line="255" w:lineRule="auto"/>
        <w:tabs>
          <w:tab w:leader="none" w:pos="12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85" w:lineRule="exact"/>
        <w:rPr>
          <w:rFonts w:ascii="Times New Roman" w:cs="Times New Roman" w:eastAsia="Times New Roman" w:hAnsi="Times New Roman"/>
          <w:sz w:val="18"/>
          <w:szCs w:val="18"/>
          <w:color w:val="auto"/>
        </w:rPr>
      </w:pPr>
    </w:p>
    <w:p>
      <w:pPr>
        <w:jc w:val="both"/>
        <w:ind w:left="1292" w:right="20" w:hanging="644"/>
        <w:spacing w:after="0" w:line="266" w:lineRule="auto"/>
        <w:tabs>
          <w:tab w:leader="none" w:pos="12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76"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the terms of this Section 9 shall survive the termination of Employee's employment with the Company.</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76"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w:t>
      </w:r>
    </w:p>
    <w:p>
      <w:pPr>
        <w:spacing w:after="0" w:line="31" w:lineRule="exact"/>
        <w:rPr>
          <w:rFonts w:ascii="Times New Roman" w:cs="Times New Roman" w:eastAsia="Times New Roman" w:hAnsi="Times New Roman"/>
          <w:sz w:val="18"/>
          <w:szCs w:val="18"/>
          <w:color w:val="auto"/>
        </w:rPr>
      </w:pPr>
    </w:p>
    <w:p>
      <w:pPr>
        <w:jc w:val="both"/>
        <w:ind w:left="65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 of Shares</w:t>
      </w:r>
    </w:p>
    <w:p>
      <w:pPr>
        <w:spacing w:after="0" w:line="31" w:lineRule="exact"/>
        <w:rPr>
          <w:rFonts w:ascii="Times New Roman" w:cs="Times New Roman" w:eastAsia="Times New Roman" w:hAnsi="Times New Roman"/>
          <w:sz w:val="18"/>
          <w:szCs w:val="18"/>
          <w:color w:val="auto"/>
        </w:rPr>
      </w:pPr>
    </w:p>
    <w:p>
      <w:pPr>
        <w:jc w:val="both"/>
        <w:ind w:left="65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8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Provisions of Plan Controlling</w:t>
      </w:r>
    </w:p>
    <w:p>
      <w:pPr>
        <w:spacing w:after="0" w:line="31" w:lineRule="exact"/>
        <w:rPr>
          <w:rFonts w:ascii="Times New Roman" w:cs="Times New Roman" w:eastAsia="Times New Roman" w:hAnsi="Times New Roman"/>
          <w:sz w:val="18"/>
          <w:szCs w:val="18"/>
          <w:color w:val="auto"/>
        </w:rPr>
      </w:pPr>
    </w:p>
    <w:p>
      <w:pPr>
        <w:jc w:val="both"/>
        <w:ind w:left="65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Wisconsin Contract</w:t>
      </w:r>
    </w:p>
    <w:p>
      <w:pPr>
        <w:spacing w:after="0" w:line="3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has been granted in Wisconsin and shall be construed under the laws of that state.</w:t>
      </w:r>
    </w:p>
    <w:p>
      <w:pPr>
        <w:spacing w:after="0" w:line="20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p>
    <w:p>
      <w:pPr>
        <w:spacing w:after="0" w:line="31" w:lineRule="exact"/>
        <w:rPr>
          <w:rFonts w:ascii="Times New Roman" w:cs="Times New Roman" w:eastAsia="Times New Roman" w:hAnsi="Times New Roman"/>
          <w:sz w:val="18"/>
          <w:szCs w:val="18"/>
          <w:color w:val="auto"/>
        </w:rPr>
      </w:pPr>
    </w:p>
    <w:p>
      <w:pPr>
        <w:jc w:val="both"/>
        <w:ind w:left="65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ectPr>
          <w:pgSz w:w="11900" w:h="16838" w:orient="portrait"/>
          <w:cols w:equalWidth="0" w:num="1">
            <w:col w:w="11412"/>
          </w:cols>
          <w:pgMar w:left="248" w:top="580" w:right="2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IN WITNESS WHEREOF, the Corporation has granted this Award as of the day and year first above written.</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 MICHAEL NAUMAN</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J. Michael Nauman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President and Chief Executive Officer</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EMPLOYEE'S ACCEPTANCE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Thomas J. Felmer, hereby accept the foregoing Award and agree to the terms and conditions thereof, including the restrictions contained in Section 9 of this Agreement.</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EMPLOYEE: THOMAS J. FELMER</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Signature: </w:t>
      </w:r>
      <w:r>
        <w:rPr>
          <w:rFonts w:ascii="Times New Roman" w:cs="Times New Roman" w:eastAsia="Times New Roman" w:hAnsi="Times New Roman"/>
          <w:sz w:val="18"/>
          <w:szCs w:val="18"/>
          <w:u w:val="single" w:color="auto"/>
          <w:color w:val="auto"/>
        </w:rPr>
        <w:t>/s/ THOMAS J. FELMER</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Print Name: Thomas J. Felmer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1"/>
    </w:lvl>
    <w:lvl w:ilvl="1">
      <w:lvlJc w:val="left"/>
      <w:lvlText w:val="(%2)"/>
      <w:numFmt w:val="lowerLetter"/>
      <w:start w:val="2"/>
    </w:lvl>
  </w:abstractNum>
  <w:abstractNum w:abstractNumId="3">
    <w:nsid w:val="41B71EFB"/>
    <w:multiLevelType w:val="hybridMultilevel"/>
    <w:lvl w:ilvl="0">
      <w:lvlJc w:val="left"/>
      <w:lvlText w:val="%1."/>
      <w:numFmt w:val="decimal"/>
      <w:start w:val="3"/>
    </w:lvl>
    <w:lvl w:ilvl="1">
      <w:lvlJc w:val="left"/>
      <w:lvlText w:val="(%2)"/>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3"/>
    </w:lvl>
  </w:abstractNum>
  <w:abstractNum w:abstractNumId="5">
    <w:nsid w:val="7545E146"/>
    <w:multiLevelType w:val="hybridMultilevel"/>
    <w:lvl w:ilvl="0">
      <w:lvlJc w:val="left"/>
      <w:lvlText w:val="%1."/>
      <w:numFmt w:val="decimal"/>
      <w:start w:val="4"/>
    </w:lvl>
    <w:lvl w:ilvl="1">
      <w:lvlJc w:val="left"/>
      <w:lvlText w:val="(%2)"/>
      <w:numFmt w:val="lowerLetter"/>
      <w:start w:val="1"/>
    </w:lvl>
  </w:abstractNum>
  <w:abstractNum w:abstractNumId="6">
    <w:nsid w:val="515F007C"/>
    <w:multiLevelType w:val="hybridMultilevel"/>
    <w:lvl w:ilvl="0">
      <w:lvlJc w:val="left"/>
      <w:lvlText w:val="%1"/>
      <w:numFmt w:val="lowerLetter"/>
      <w:start w:val="1"/>
    </w:lvl>
    <w:lvl w:ilvl="1">
      <w:lvlJc w:val="left"/>
      <w:lvlText w:val="(%2)"/>
      <w:numFmt w:val="lowerRoman"/>
      <w:start w:val="1"/>
    </w:lvl>
  </w:abstractNum>
  <w:abstractNum w:abstractNumId="7">
    <w:nsid w:val="5BD062C2"/>
    <w:multiLevelType w:val="hybridMultilevel"/>
    <w:lvl w:ilvl="0">
      <w:lvlJc w:val="left"/>
      <w:lvlText w:val="(%1)"/>
      <w:numFmt w:val="lowerLetter"/>
      <w:start w:val="2"/>
    </w:lvl>
    <w:lvl w:ilvl="1">
      <w:lvlJc w:val="left"/>
      <w:lvlText w:val="(%2)"/>
      <w:numFmt w:val="lowerRoman"/>
      <w:start w:val="1"/>
    </w:lvl>
  </w:abstractNum>
  <w:abstractNum w:abstractNumId="8">
    <w:nsid w:val="12200854"/>
    <w:multiLevelType w:val="hybridMultilevel"/>
    <w:lvl w:ilvl="0">
      <w:lvlJc w:val="left"/>
      <w:lvlText w:val="%1"/>
      <w:numFmt w:val="decimal"/>
      <w:start w:val="1"/>
    </w:lvl>
    <w:lvl w:ilvl="1">
      <w:lvlJc w:val="left"/>
      <w:lvlText w:val="(%2)"/>
      <w:numFmt w:val="lowerLetter"/>
      <w:start w:val="3"/>
    </w:lvl>
  </w:abstractNum>
  <w:abstractNum w:abstractNumId="9">
    <w:nsid w:val="4DB127F8"/>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2019-12-05T20:54:41Z</dcterms:created>
  <dcterms:modified xsi:type="dcterms:W3CDTF">2019-12-05T20:54:41Z</dcterms:modified>
</cp:coreProperties>
</file>