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ind w:left="3160"/>
        <w:spacing w:after="0"/>
        <w:rPr>
          <w:sz w:val="20"/>
          <w:szCs w:val="20"/>
          <w:color w:val="auto"/>
        </w:rPr>
      </w:pPr>
      <w:r>
        <w:rPr>
          <w:rFonts w:ascii="Arial" w:cs="Arial" w:eastAsia="Arial" w:hAnsi="Arial"/>
          <w:sz w:val="19"/>
          <w:szCs w:val="19"/>
          <w:b w:val="1"/>
          <w:bCs w:val="1"/>
          <w:color w:val="auto"/>
        </w:rPr>
        <w:t>Date of Report (Date of earliest event reported): May 25,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198755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52" w:lineRule="exact"/>
        <w:rPr>
          <w:sz w:val="24"/>
          <w:szCs w:val="24"/>
          <w:color w:val="auto"/>
        </w:rPr>
      </w:pPr>
    </w:p>
    <w:tbl>
      <w:tblPr>
        <w:tblLayout w:type="fixed"/>
        <w:tblInd w:w="2400"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65" w:lineRule="exact"/>
        <w:rPr>
          <w:sz w:val="24"/>
          <w:szCs w:val="24"/>
          <w:color w:val="auto"/>
        </w:rPr>
      </w:pPr>
    </w:p>
    <w:p>
      <w:pPr>
        <w:ind w:left="700" w:hanging="679"/>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700" w:hanging="679"/>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700" w:hanging="679"/>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700" w:hanging="679"/>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06" w:lineRule="exact"/>
        <w:rPr>
          <w:sz w:val="24"/>
          <w:szCs w:val="24"/>
          <w:color w:val="auto"/>
        </w:rPr>
      </w:pPr>
    </w:p>
    <w:p>
      <w:pPr>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or the Securities Exchange Act of 1934 (17 CFR 240.12b-2).</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3" w:lineRule="exact"/>
        <w:rPr>
          <w:sz w:val="24"/>
          <w:szCs w:val="24"/>
          <w:color w:val="auto"/>
        </w:rPr>
      </w:pPr>
    </w:p>
    <w:p>
      <w:pPr>
        <w:ind w:right="8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000"/>
          </w:cols>
          <w:pgMar w:left="240" w:top="670" w:right="659" w:bottom="1440" w:gutter="0" w:footer="0" w:header="0"/>
        </w:sectPr>
      </w:pPr>
    </w:p>
    <w:bookmarkStart w:id="1" w:name="page2"/>
    <w:bookmarkEnd w:id="1"/>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jc w:val="both"/>
        <w:ind w:right="20" w:firstLine="579"/>
        <w:spacing w:after="0" w:line="279" w:lineRule="auto"/>
        <w:rPr>
          <w:sz w:val="20"/>
          <w:szCs w:val="20"/>
          <w:color w:val="auto"/>
        </w:rPr>
      </w:pPr>
      <w:r>
        <w:rPr>
          <w:rFonts w:ascii="Arial" w:cs="Arial" w:eastAsia="Arial" w:hAnsi="Arial"/>
          <w:sz w:val="16"/>
          <w:szCs w:val="16"/>
          <w:color w:val="auto"/>
        </w:rPr>
        <w:t>On May 25, 2017, Brady Corporation (the “Company”) issued a press release announcing its fiscal 2017 third quarter financial results. A copy of the press release is being furnished to the Securities and Exchange Commission as Exhibit 99.1 attached hereto and is incorporated herein by reference.</w:t>
      </w:r>
    </w:p>
    <w:p>
      <w:pPr>
        <w:spacing w:after="0" w:line="296"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7.01</w:t>
      </w:r>
      <w:r>
        <w:rPr>
          <w:sz w:val="20"/>
          <w:szCs w:val="20"/>
          <w:color w:val="auto"/>
        </w:rPr>
        <w:tab/>
      </w:r>
      <w:r>
        <w:rPr>
          <w:rFonts w:ascii="Arial" w:cs="Arial" w:eastAsia="Arial" w:hAnsi="Arial"/>
          <w:sz w:val="15"/>
          <w:szCs w:val="15"/>
          <w:color w:val="auto"/>
        </w:rPr>
        <w:t>REGULATION FD DISCLOSURE</w:t>
      </w:r>
    </w:p>
    <w:p>
      <w:pPr>
        <w:spacing w:after="0" w:line="226" w:lineRule="exact"/>
        <w:rPr>
          <w:sz w:val="20"/>
          <w:szCs w:val="20"/>
          <w:color w:val="auto"/>
        </w:rPr>
      </w:pPr>
    </w:p>
    <w:p>
      <w:pPr>
        <w:jc w:val="both"/>
        <w:ind w:right="20" w:firstLine="579"/>
        <w:spacing w:after="0" w:line="265" w:lineRule="auto"/>
        <w:rPr>
          <w:sz w:val="20"/>
          <w:szCs w:val="20"/>
          <w:color w:val="auto"/>
        </w:rPr>
      </w:pPr>
      <w:r>
        <w:rPr>
          <w:rFonts w:ascii="Arial" w:cs="Arial" w:eastAsia="Arial" w:hAnsi="Arial"/>
          <w:sz w:val="16"/>
          <w:szCs w:val="16"/>
          <w:color w:val="auto"/>
        </w:rPr>
        <w:t>On May 25, 2017, the Company hosted a conference call related to its fiscal 2017 third quarter financial results. A copy of the slides referenced in the conference call, which is also posted on the Company's website, is being furnished to the Securities and Exchange Commission as Exhibit 99.2 attached hereto and is incorporated herein by reference.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 w:type="dxa"/>
            <w:vAlign w:val="bottom"/>
          </w:tcPr>
          <w:p>
            <w:pPr>
              <w:ind w:left="20"/>
              <w:spacing w:after="0"/>
              <w:rPr>
                <w:sz w:val="20"/>
                <w:szCs w:val="20"/>
                <w:color w:val="auto"/>
              </w:rPr>
            </w:pPr>
            <w:r>
              <w:rPr>
                <w:rFonts w:ascii="Arial" w:cs="Arial" w:eastAsia="Arial" w:hAnsi="Arial"/>
                <w:sz w:val="16"/>
                <w:szCs w:val="16"/>
                <w:color w:val="auto"/>
              </w:rPr>
              <w:t>Item 9.01</w:t>
            </w:r>
          </w:p>
        </w:tc>
        <w:tc>
          <w:tcPr>
            <w:tcW w:w="7820" w:type="dxa"/>
            <w:vAlign w:val="bottom"/>
          </w:tcPr>
          <w:p>
            <w:pPr>
              <w:ind w:left="100"/>
              <w:spacing w:after="0"/>
              <w:rPr>
                <w:sz w:val="20"/>
                <w:szCs w:val="20"/>
                <w:color w:val="auto"/>
              </w:rPr>
            </w:pPr>
            <w:r>
              <w:rPr>
                <w:rFonts w:ascii="Arial" w:cs="Arial" w:eastAsia="Arial" w:hAnsi="Arial"/>
                <w:sz w:val="16"/>
                <w:szCs w:val="16"/>
                <w:color w:val="auto"/>
              </w:rPr>
              <w:t>FINANCIAL STATEMENTS AND EXHIBITS</w:t>
            </w:r>
          </w:p>
        </w:tc>
        <w:tc>
          <w:tcPr>
            <w:tcW w:w="0" w:type="dxa"/>
            <w:vAlign w:val="bottom"/>
          </w:tcPr>
          <w:p>
            <w:pPr>
              <w:spacing w:after="0"/>
              <w:rPr>
                <w:sz w:val="1"/>
                <w:szCs w:val="1"/>
                <w:color w:val="auto"/>
              </w:rPr>
            </w:pPr>
          </w:p>
        </w:tc>
      </w:tr>
      <w:tr>
        <w:trPr>
          <w:trHeight w:val="410"/>
        </w:trPr>
        <w:tc>
          <w:tcPr>
            <w:tcW w:w="860" w:type="dxa"/>
            <w:vAlign w:val="bottom"/>
          </w:tcPr>
          <w:p>
            <w:pPr>
              <w:spacing w:after="0"/>
              <w:rPr>
                <w:sz w:val="20"/>
                <w:szCs w:val="20"/>
                <w:color w:val="auto"/>
              </w:rPr>
            </w:pPr>
            <w:r>
              <w:rPr>
                <w:rFonts w:ascii="Arial" w:cs="Arial" w:eastAsia="Arial" w:hAnsi="Arial"/>
                <w:sz w:val="16"/>
                <w:szCs w:val="16"/>
                <w:color w:val="auto"/>
              </w:rPr>
              <w:t>(d) Exhibits</w:t>
            </w:r>
          </w:p>
        </w:tc>
        <w:tc>
          <w:tcPr>
            <w:tcW w:w="7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4"/>
                <w:szCs w:val="14"/>
                <w:color w:val="auto"/>
              </w:rPr>
              <w:t>EXHIBIT</w:t>
            </w:r>
          </w:p>
        </w:tc>
        <w:tc>
          <w:tcPr>
            <w:tcW w:w="7820" w:type="dxa"/>
            <w:vAlign w:val="bottom"/>
            <w:vMerge w:val="restart"/>
          </w:tcPr>
          <w:p>
            <w:pPr>
              <w:ind w:left="34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860" w:type="dxa"/>
            <w:vAlign w:val="bottom"/>
          </w:tcPr>
          <w:p>
            <w:pPr>
              <w:ind w:left="20"/>
              <w:spacing w:after="0"/>
              <w:rPr>
                <w:sz w:val="20"/>
                <w:szCs w:val="20"/>
                <w:color w:val="auto"/>
              </w:rPr>
            </w:pPr>
            <w:r>
              <w:rPr>
                <w:rFonts w:ascii="Arial" w:cs="Arial" w:eastAsia="Arial" w:hAnsi="Arial"/>
                <w:sz w:val="14"/>
                <w:szCs w:val="14"/>
                <w:color w:val="auto"/>
              </w:rPr>
              <w:t>NUMBER</w:t>
            </w:r>
          </w:p>
        </w:tc>
        <w:tc>
          <w:tcPr>
            <w:tcW w:w="7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6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860" w:type="dxa"/>
            <w:vAlign w:val="bottom"/>
          </w:tcPr>
          <w:p>
            <w:pPr>
              <w:ind w:left="20"/>
              <w:spacing w:after="0"/>
              <w:rPr>
                <w:sz w:val="20"/>
                <w:szCs w:val="20"/>
                <w:color w:val="auto"/>
              </w:rPr>
            </w:pPr>
            <w:r>
              <w:rPr>
                <w:rFonts w:ascii="Arial" w:cs="Arial" w:eastAsia="Arial" w:hAnsi="Arial"/>
                <w:sz w:val="16"/>
                <w:szCs w:val="16"/>
                <w:color w:val="auto"/>
              </w:rPr>
              <w:t>99.1</w:t>
            </w:r>
          </w:p>
        </w:tc>
        <w:tc>
          <w:tcPr>
            <w:tcW w:w="7820" w:type="dxa"/>
            <w:vAlign w:val="bottom"/>
          </w:tcPr>
          <w:p>
            <w:pPr>
              <w:ind w:left="340"/>
              <w:spacing w:after="0"/>
              <w:rPr>
                <w:sz w:val="20"/>
                <w:szCs w:val="20"/>
                <w:color w:val="auto"/>
              </w:rPr>
            </w:pPr>
            <w:r>
              <w:rPr>
                <w:rFonts w:ascii="Arial" w:cs="Arial" w:eastAsia="Arial" w:hAnsi="Arial"/>
                <w:sz w:val="16"/>
                <w:szCs w:val="16"/>
                <w:color w:val="auto"/>
                <w:w w:val="96"/>
              </w:rPr>
              <w:t>Press Release of Brady Corporation, dated May 25, 2017, relating to third quarter fiscal 2017 financial results.</w:t>
            </w:r>
          </w:p>
        </w:tc>
        <w:tc>
          <w:tcPr>
            <w:tcW w:w="0" w:type="dxa"/>
            <w:vAlign w:val="bottom"/>
          </w:tcPr>
          <w:p>
            <w:pPr>
              <w:spacing w:after="0"/>
              <w:rPr>
                <w:sz w:val="1"/>
                <w:szCs w:val="1"/>
                <w:color w:val="auto"/>
              </w:rPr>
            </w:pPr>
          </w:p>
        </w:tc>
      </w:tr>
      <w:tr>
        <w:trPr>
          <w:trHeight w:val="301"/>
        </w:trPr>
        <w:tc>
          <w:tcPr>
            <w:tcW w:w="860" w:type="dxa"/>
            <w:vAlign w:val="bottom"/>
            <w:vMerge w:val="restart"/>
          </w:tcPr>
          <w:p>
            <w:pPr>
              <w:ind w:left="20"/>
              <w:spacing w:after="0"/>
              <w:rPr>
                <w:sz w:val="20"/>
                <w:szCs w:val="20"/>
                <w:color w:val="auto"/>
              </w:rPr>
            </w:pPr>
            <w:r>
              <w:rPr>
                <w:rFonts w:ascii="Arial" w:cs="Arial" w:eastAsia="Arial" w:hAnsi="Arial"/>
                <w:sz w:val="16"/>
                <w:szCs w:val="16"/>
                <w:color w:val="auto"/>
              </w:rPr>
              <w:t>99.2</w:t>
            </w:r>
          </w:p>
        </w:tc>
        <w:tc>
          <w:tcPr>
            <w:tcW w:w="7820" w:type="dxa"/>
            <w:vAlign w:val="bottom"/>
          </w:tcPr>
          <w:p>
            <w:pPr>
              <w:ind w:left="340"/>
              <w:spacing w:after="0"/>
              <w:rPr>
                <w:sz w:val="20"/>
                <w:szCs w:val="20"/>
                <w:color w:val="auto"/>
              </w:rPr>
            </w:pPr>
            <w:r>
              <w:rPr>
                <w:rFonts w:ascii="Arial" w:cs="Arial" w:eastAsia="Arial" w:hAnsi="Arial"/>
                <w:sz w:val="16"/>
                <w:szCs w:val="16"/>
                <w:color w:val="auto"/>
                <w:w w:val="98"/>
              </w:rPr>
              <w:t>Informational slides provided by Brady Corporation, dated May 25, 2017, relating to third quarter fiscal 2017</w:t>
            </w:r>
          </w:p>
        </w:tc>
        <w:tc>
          <w:tcPr>
            <w:tcW w:w="0" w:type="dxa"/>
            <w:vAlign w:val="bottom"/>
          </w:tcPr>
          <w:p>
            <w:pPr>
              <w:spacing w:after="0"/>
              <w:rPr>
                <w:sz w:val="1"/>
                <w:szCs w:val="1"/>
                <w:color w:val="auto"/>
              </w:rPr>
            </w:pPr>
          </w:p>
        </w:tc>
      </w:tr>
      <w:tr>
        <w:trPr>
          <w:trHeight w:val="109"/>
        </w:trPr>
        <w:tc>
          <w:tcPr>
            <w:tcW w:w="860" w:type="dxa"/>
            <w:vAlign w:val="bottom"/>
            <w:vMerge w:val="continue"/>
          </w:tcPr>
          <w:p>
            <w:pPr>
              <w:spacing w:after="0"/>
              <w:rPr>
                <w:sz w:val="9"/>
                <w:szCs w:val="9"/>
                <w:color w:val="auto"/>
              </w:rPr>
            </w:pPr>
          </w:p>
        </w:tc>
        <w:tc>
          <w:tcPr>
            <w:tcW w:w="7820" w:type="dxa"/>
            <w:vAlign w:val="bottom"/>
            <w:vMerge w:val="restart"/>
          </w:tcPr>
          <w:p>
            <w:pPr>
              <w:ind w:left="34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7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5940" w:val="left"/>
        </w:tabs>
        <w:rPr>
          <w:sz w:val="20"/>
          <w:szCs w:val="20"/>
          <w:color w:val="auto"/>
        </w:rPr>
      </w:pPr>
      <w:r>
        <w:rPr>
          <w:rFonts w:ascii="Arial" w:cs="Arial" w:eastAsia="Arial" w:hAnsi="Arial"/>
          <w:sz w:val="16"/>
          <w:szCs w:val="16"/>
          <w:color w:val="auto"/>
        </w:rPr>
        <w:t>Date: May 25, 2017</w:t>
      </w:r>
      <w:r>
        <w:rPr>
          <w:sz w:val="20"/>
          <w:szCs w:val="20"/>
          <w:color w:val="auto"/>
        </w:rPr>
        <w:tab/>
      </w:r>
      <w:r>
        <w:rPr>
          <w:rFonts w:ascii="Arial" w:cs="Arial" w:eastAsia="Arial" w:hAnsi="Arial"/>
          <w:sz w:val="15"/>
          <w:szCs w:val="15"/>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29210</wp:posOffset>
            </wp:positionV>
            <wp:extent cx="3484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Aaron J. Pearce</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Chief Financial Officer and Treasurer</w:t>
      </w:r>
    </w:p>
    <w:p>
      <w:pPr>
        <w:sectPr>
          <w:pgSz w:w="11900" w:h="16838" w:orient="portrait"/>
          <w:cols w:equalWidth="0" w:num="1">
            <w:col w:w="11440"/>
          </w:cols>
          <w:pgMar w:left="240" w:top="68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920" w:type="dxa"/>
            <w:vAlign w:val="bottom"/>
          </w:tcPr>
          <w:p>
            <w:pPr>
              <w:spacing w:after="0"/>
              <w:rPr>
                <w:sz w:val="17"/>
                <w:szCs w:val="17"/>
                <w:color w:val="auto"/>
              </w:rPr>
            </w:pPr>
          </w:p>
        </w:tc>
        <w:tc>
          <w:tcPr>
            <w:tcW w:w="7760" w:type="dxa"/>
            <w:vAlign w:val="bottom"/>
          </w:tcPr>
          <w:p>
            <w:pPr>
              <w:ind w:left="4200"/>
              <w:spacing w:after="0"/>
              <w:rPr>
                <w:sz w:val="20"/>
                <w:szCs w:val="20"/>
                <w:color w:val="auto"/>
              </w:rPr>
            </w:pPr>
            <w:r>
              <w:rPr>
                <w:rFonts w:ascii="Arial" w:cs="Arial" w:eastAsia="Arial" w:hAnsi="Arial"/>
                <w:sz w:val="16"/>
                <w:szCs w:val="16"/>
                <w:color w:val="auto"/>
              </w:rPr>
              <w:t>EXHIBIT INDEX</w:t>
            </w:r>
          </w:p>
        </w:tc>
        <w:tc>
          <w:tcPr>
            <w:tcW w:w="0" w:type="dxa"/>
            <w:vAlign w:val="bottom"/>
          </w:tcPr>
          <w:p>
            <w:pPr>
              <w:spacing w:after="0"/>
              <w:rPr>
                <w:sz w:val="1"/>
                <w:szCs w:val="1"/>
                <w:color w:val="auto"/>
              </w:rPr>
            </w:pPr>
          </w:p>
        </w:tc>
      </w:tr>
      <w:tr>
        <w:trPr>
          <w:trHeight w:val="511"/>
        </w:trPr>
        <w:tc>
          <w:tcPr>
            <w:tcW w:w="920" w:type="dxa"/>
            <w:vAlign w:val="bottom"/>
          </w:tcPr>
          <w:p>
            <w:pPr>
              <w:ind w:left="20"/>
              <w:spacing w:after="0"/>
              <w:rPr>
                <w:sz w:val="20"/>
                <w:szCs w:val="20"/>
                <w:color w:val="auto"/>
              </w:rPr>
            </w:pPr>
            <w:r>
              <w:rPr>
                <w:rFonts w:ascii="Arial" w:cs="Arial" w:eastAsia="Arial" w:hAnsi="Arial"/>
                <w:sz w:val="14"/>
                <w:szCs w:val="14"/>
                <w:color w:val="auto"/>
              </w:rPr>
              <w:t>EXHIBIT</w:t>
            </w:r>
          </w:p>
        </w:tc>
        <w:tc>
          <w:tcPr>
            <w:tcW w:w="7760" w:type="dxa"/>
            <w:vAlign w:val="bottom"/>
            <w:vMerge w:val="restart"/>
          </w:tcPr>
          <w:p>
            <w:pPr>
              <w:ind w:left="28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920" w:type="dxa"/>
            <w:vAlign w:val="bottom"/>
          </w:tcPr>
          <w:p>
            <w:pPr>
              <w:ind w:left="20"/>
              <w:spacing w:after="0"/>
              <w:rPr>
                <w:sz w:val="20"/>
                <w:szCs w:val="20"/>
                <w:color w:val="auto"/>
              </w:rPr>
            </w:pPr>
            <w:r>
              <w:rPr>
                <w:rFonts w:ascii="Arial" w:cs="Arial" w:eastAsia="Arial" w:hAnsi="Arial"/>
                <w:sz w:val="14"/>
                <w:szCs w:val="14"/>
                <w:color w:val="auto"/>
              </w:rPr>
              <w:t>NUMBER</w:t>
            </w:r>
          </w:p>
        </w:tc>
        <w:tc>
          <w:tcPr>
            <w:tcW w:w="7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2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920" w:type="dxa"/>
            <w:vAlign w:val="bottom"/>
          </w:tcPr>
          <w:p>
            <w:pPr>
              <w:ind w:left="20"/>
              <w:spacing w:after="0"/>
              <w:rPr>
                <w:sz w:val="20"/>
                <w:szCs w:val="20"/>
                <w:color w:val="auto"/>
              </w:rPr>
            </w:pPr>
            <w:r>
              <w:rPr>
                <w:rFonts w:ascii="Arial" w:cs="Arial" w:eastAsia="Arial" w:hAnsi="Arial"/>
                <w:sz w:val="16"/>
                <w:szCs w:val="16"/>
                <w:color w:val="auto"/>
              </w:rPr>
              <w:t>99.1</w:t>
            </w:r>
          </w:p>
        </w:tc>
        <w:tc>
          <w:tcPr>
            <w:tcW w:w="7760" w:type="dxa"/>
            <w:vAlign w:val="bottom"/>
          </w:tcPr>
          <w:p>
            <w:pPr>
              <w:ind w:left="280"/>
              <w:spacing w:after="0"/>
              <w:rPr>
                <w:sz w:val="20"/>
                <w:szCs w:val="20"/>
                <w:color w:val="auto"/>
              </w:rPr>
            </w:pPr>
            <w:r>
              <w:rPr>
                <w:rFonts w:ascii="Arial" w:cs="Arial" w:eastAsia="Arial" w:hAnsi="Arial"/>
                <w:sz w:val="16"/>
                <w:szCs w:val="16"/>
                <w:color w:val="auto"/>
                <w:w w:val="96"/>
              </w:rPr>
              <w:t>Press Release of Brady Corporation, dated May 25, 2017, relating to third quarter fiscal 2017 financial results.</w:t>
            </w:r>
          </w:p>
        </w:tc>
        <w:tc>
          <w:tcPr>
            <w:tcW w:w="0" w:type="dxa"/>
            <w:vAlign w:val="bottom"/>
          </w:tcPr>
          <w:p>
            <w:pPr>
              <w:spacing w:after="0"/>
              <w:rPr>
                <w:sz w:val="1"/>
                <w:szCs w:val="1"/>
                <w:color w:val="auto"/>
              </w:rPr>
            </w:pPr>
          </w:p>
        </w:tc>
      </w:tr>
      <w:tr>
        <w:trPr>
          <w:trHeight w:val="301"/>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99.2</w:t>
            </w:r>
          </w:p>
        </w:tc>
        <w:tc>
          <w:tcPr>
            <w:tcW w:w="7760" w:type="dxa"/>
            <w:vAlign w:val="bottom"/>
          </w:tcPr>
          <w:p>
            <w:pPr>
              <w:ind w:left="280"/>
              <w:spacing w:after="0"/>
              <w:rPr>
                <w:sz w:val="20"/>
                <w:szCs w:val="20"/>
                <w:color w:val="auto"/>
              </w:rPr>
            </w:pPr>
            <w:r>
              <w:rPr>
                <w:rFonts w:ascii="Arial" w:cs="Arial" w:eastAsia="Arial" w:hAnsi="Arial"/>
                <w:sz w:val="16"/>
                <w:szCs w:val="16"/>
                <w:color w:val="auto"/>
                <w:w w:val="98"/>
              </w:rPr>
              <w:t>Informational slides provided by Brady Corporation, dated May 25, 2017, relating to third quarter fiscal 2017</w:t>
            </w:r>
          </w:p>
        </w:tc>
        <w:tc>
          <w:tcPr>
            <w:tcW w:w="0" w:type="dxa"/>
            <w:vAlign w:val="bottom"/>
          </w:tcPr>
          <w:p>
            <w:pPr>
              <w:spacing w:after="0"/>
              <w:rPr>
                <w:sz w:val="1"/>
                <w:szCs w:val="1"/>
                <w:color w:val="auto"/>
              </w:rPr>
            </w:pPr>
          </w:p>
        </w:tc>
      </w:tr>
      <w:tr>
        <w:trPr>
          <w:trHeight w:val="109"/>
        </w:trPr>
        <w:tc>
          <w:tcPr>
            <w:tcW w:w="920" w:type="dxa"/>
            <w:vAlign w:val="bottom"/>
            <w:vMerge w:val="continue"/>
          </w:tcPr>
          <w:p>
            <w:pPr>
              <w:spacing w:after="0"/>
              <w:rPr>
                <w:sz w:val="9"/>
                <w:szCs w:val="9"/>
                <w:color w:val="auto"/>
              </w:rPr>
            </w:pPr>
          </w:p>
        </w:tc>
        <w:tc>
          <w:tcPr>
            <w:tcW w:w="7760" w:type="dxa"/>
            <w:vAlign w:val="bottom"/>
            <w:vMerge w:val="restart"/>
          </w:tcPr>
          <w:p>
            <w:pPr>
              <w:ind w:left="28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7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3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Ann Thornton 414-438-6887</w:t>
      </w:r>
    </w:p>
    <w:p>
      <w:pPr>
        <w:spacing w:after="0"/>
        <w:rPr>
          <w:sz w:val="20"/>
          <w:szCs w:val="20"/>
          <w:color w:val="auto"/>
        </w:rPr>
      </w:pPr>
      <w:r>
        <w:rPr>
          <w:rFonts w:ascii="Arial" w:cs="Arial" w:eastAsia="Arial" w:hAnsi="Arial"/>
          <w:sz w:val="18"/>
          <w:szCs w:val="18"/>
          <w:color w:val="auto"/>
        </w:rPr>
        <w:t>Media contact: Kate Venne 414-358-5176</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2017 Third Quarter Results and Tightens its Fiscal 2017 EPS Guidance</w:t>
      </w:r>
    </w:p>
    <w:p>
      <w:pPr>
        <w:spacing w:after="0" w:line="330" w:lineRule="exact"/>
        <w:rPr>
          <w:sz w:val="20"/>
          <w:szCs w:val="20"/>
          <w:color w:val="auto"/>
        </w:rPr>
      </w:pPr>
    </w:p>
    <w:p>
      <w:pPr>
        <w:ind w:left="580" w:right="8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Earnings per diluted Class A Nonvoting Common Share were $0.43 in the third quarter of fiscal 2017 compared to $0.42 in the same quarter of the prior year.</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Organic revenue declined 1.9 percent for the quarter ended April 30, 2017.</w:t>
      </w:r>
    </w:p>
    <w:p>
      <w:pPr>
        <w:spacing w:after="0" w:line="94"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Net debt was $8.9 million at April 30, 2017 compared to $100.9 million at April 30, 2016, providing flexibility for future investments.</w:t>
      </w:r>
    </w:p>
    <w:p>
      <w:pPr>
        <w:spacing w:after="0" w:line="94" w:lineRule="exact"/>
        <w:rPr>
          <w:rFonts w:ascii="Arial" w:cs="Arial" w:eastAsia="Arial" w:hAnsi="Arial"/>
          <w:sz w:val="16"/>
          <w:szCs w:val="16"/>
          <w:color w:val="auto"/>
        </w:rPr>
      </w:pPr>
    </w:p>
    <w:p>
      <w:pPr>
        <w:ind w:left="580" w:right="40" w:hanging="294"/>
        <w:spacing w:after="0" w:line="368"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Earnings per diluted Class A Common Share guidance for the full year ending July 31, 2017 tightened from a range of $1.75 to $1.85 to a range of $1.80 to $1.85.</w:t>
      </w:r>
    </w:p>
    <w:p>
      <w:pPr>
        <w:spacing w:after="0" w:line="246" w:lineRule="exact"/>
        <w:rPr>
          <w:sz w:val="20"/>
          <w:szCs w:val="20"/>
          <w:color w:val="auto"/>
        </w:rPr>
      </w:pPr>
    </w:p>
    <w:p>
      <w:pPr>
        <w:ind w:right="620"/>
        <w:spacing w:after="0" w:line="368" w:lineRule="auto"/>
        <w:rPr>
          <w:sz w:val="20"/>
          <w:szCs w:val="20"/>
          <w:color w:val="auto"/>
        </w:rPr>
      </w:pPr>
      <w:r>
        <w:rPr>
          <w:rFonts w:ascii="Arial" w:cs="Arial" w:eastAsia="Arial" w:hAnsi="Arial"/>
          <w:sz w:val="18"/>
          <w:szCs w:val="18"/>
          <w:color w:val="auto"/>
        </w:rPr>
        <w:t>MILWAUKEE (May 25, 2017)--Brady Corporation (NYSE: BRC) (“Brady” or “Company”), a world leader in identification solutions, today reported its financial results for its fiscal 2017 third quarter ended April 30, 2017.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April 30, 2017 Financial Results:</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earnings for the quarter ended April 30, 2017, were $22.6 million compared to $21.0 million in the same quarter last year.</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Earnings per diluted Class A Nonvoting Common Share were $0.43 for the quarter ended April 30, 2017, compared to $0.42 in the same quarter last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95" w:lineRule="exact"/>
        <w:rPr>
          <w:sz w:val="20"/>
          <w:szCs w:val="20"/>
          <w:color w:val="auto"/>
        </w:rPr>
      </w:pPr>
    </w:p>
    <w:p>
      <w:pPr>
        <w:jc w:val="both"/>
        <w:ind w:right="520" w:firstLine="579"/>
        <w:spacing w:after="0" w:line="359" w:lineRule="auto"/>
        <w:rPr>
          <w:sz w:val="20"/>
          <w:szCs w:val="20"/>
          <w:color w:val="auto"/>
        </w:rPr>
      </w:pPr>
      <w:r>
        <w:rPr>
          <w:rFonts w:ascii="Arial" w:cs="Arial" w:eastAsia="Arial" w:hAnsi="Arial"/>
          <w:sz w:val="18"/>
          <w:szCs w:val="18"/>
          <w:color w:val="auto"/>
        </w:rPr>
        <w:t>Sales for the quarter ended April 30, 2017, decreased 3.8 percent to $275.9 million compared to $286.8 million in the same quarter last year. Total organic sales decreased 1.9 percent and the impact of foreign currency translation decreased sales by 1.9 percent. By segment, organic sales decreased 0.8 percent in Identification Solutions and decreased 4.6 percent in Workplace Safety.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Period Ended April 30, 2017 Financial Results:</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earnings for the nine-month period ended April 30, 2017, were $70.4 million compared to $55.0 million in the same period last year.</w:t>
      </w:r>
    </w:p>
    <w:p>
      <w:pPr>
        <w:spacing w:after="0" w:line="95" w:lineRule="exact"/>
        <w:rPr>
          <w:sz w:val="20"/>
          <w:szCs w:val="20"/>
          <w:color w:val="auto"/>
        </w:rPr>
      </w:pPr>
    </w:p>
    <w:p>
      <w:pPr>
        <w:ind w:right="380" w:firstLine="579"/>
        <w:spacing w:after="0" w:line="349" w:lineRule="auto"/>
        <w:rPr>
          <w:sz w:val="20"/>
          <w:szCs w:val="20"/>
          <w:color w:val="auto"/>
        </w:rPr>
      </w:pPr>
      <w:r>
        <w:rPr>
          <w:rFonts w:ascii="Arial" w:cs="Arial" w:eastAsia="Arial" w:hAnsi="Arial"/>
          <w:sz w:val="18"/>
          <w:szCs w:val="18"/>
          <w:color w:val="auto"/>
        </w:rPr>
        <w:t>Earnings per diluted Class A Nonvoting Common Share were $1.36 for the nine-month period ended April 30, 2017, compared to $1.08 in the same period last year.</w:t>
      </w:r>
    </w:p>
    <w:p>
      <w:pPr>
        <w:spacing w:after="0" w:line="1" w:lineRule="exact"/>
        <w:rPr>
          <w:sz w:val="20"/>
          <w:szCs w:val="20"/>
          <w:color w:val="auto"/>
        </w:rPr>
      </w:pPr>
    </w:p>
    <w:p>
      <w:pPr>
        <w:ind w:right="180" w:firstLine="579"/>
        <w:spacing w:after="0" w:line="359" w:lineRule="auto"/>
        <w:rPr>
          <w:sz w:val="20"/>
          <w:szCs w:val="20"/>
          <w:color w:val="auto"/>
        </w:rPr>
      </w:pPr>
      <w:r>
        <w:rPr>
          <w:rFonts w:ascii="Arial" w:cs="Arial" w:eastAsia="Arial" w:hAnsi="Arial"/>
          <w:sz w:val="18"/>
          <w:szCs w:val="18"/>
          <w:color w:val="auto"/>
        </w:rPr>
        <w:t>Sales for the nine-month period ended April 30, 2017, decreased 1.7 percent to $824.1 million compared to $838.5 million in the same period last year. Total organic sales decreased 0.3 percent and foreign currency translation decreased sales by 1.4 percent. By segment, organic sales increased 0.6 percent in Identification Solutions and decreased 2.5 percent in Workplace Safety.</w:t>
      </w:r>
    </w:p>
    <w:p>
      <w:pPr>
        <w:sectPr>
          <w:pgSz w:w="11900" w:h="16838" w:orient="portrait"/>
          <w:cols w:equalWidth="0" w:num="1">
            <w:col w:w="11440"/>
          </w:cols>
          <w:pgMar w:left="240" w:top="734"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Commentary:</w:t>
      </w:r>
    </w:p>
    <w:p>
      <w:pPr>
        <w:spacing w:after="0" w:line="101" w:lineRule="exact"/>
        <w:rPr>
          <w:sz w:val="20"/>
          <w:szCs w:val="20"/>
          <w:color w:val="auto"/>
        </w:rPr>
      </w:pPr>
    </w:p>
    <w:p>
      <w:pPr>
        <w:ind w:firstLine="579"/>
        <w:spacing w:after="0" w:line="370" w:lineRule="auto"/>
        <w:rPr>
          <w:sz w:val="20"/>
          <w:szCs w:val="20"/>
          <w:color w:val="auto"/>
        </w:rPr>
      </w:pPr>
      <w:r>
        <w:rPr>
          <w:rFonts w:ascii="Arial" w:cs="Arial" w:eastAsia="Arial" w:hAnsi="Arial"/>
          <w:sz w:val="17"/>
          <w:szCs w:val="17"/>
          <w:color w:val="auto"/>
        </w:rPr>
        <w:t>“Our consistent focus on developing high-quality products, providing excellent customer service, pushing for efficiencies throughout our SG&amp;A structure, and empowering the Brady team with local ownership and accountability are the primary drivers of our improved financial results. This quarter marks our seventh consecutive quarter of year-over-year earnings growth,” said Brady’s President and Chief Executive Officer, J. Michael Nauman. “We believe that our focus on driving efficiencies combined with our organic sales initiatives and our new product pipeline is beginning to generate improved organic sales trends, and will continue to drive future profit improvements. That said, challenges in the distribution channel will impact our Workplace Safety business while we are more optimistic about growth in the fourth quarter in Identification Solutions. Looking forward, our priorities remain unchanged, which are to grow our pipeline of innovative new products, provide excellent customer service and deliver operational efficiencies. We are pleased with our ability to improve our financial performance while maintaining our focus on our long-term strategy.”</w:t>
      </w:r>
    </w:p>
    <w:p>
      <w:pPr>
        <w:spacing w:after="0" w:line="2" w:lineRule="exact"/>
        <w:rPr>
          <w:sz w:val="20"/>
          <w:szCs w:val="20"/>
          <w:color w:val="auto"/>
        </w:rPr>
      </w:pPr>
    </w:p>
    <w:p>
      <w:pPr>
        <w:ind w:right="80" w:firstLine="579"/>
        <w:spacing w:after="0" w:line="377" w:lineRule="auto"/>
        <w:rPr>
          <w:sz w:val="20"/>
          <w:szCs w:val="20"/>
          <w:color w:val="auto"/>
        </w:rPr>
      </w:pPr>
      <w:r>
        <w:rPr>
          <w:rFonts w:ascii="Arial" w:cs="Arial" w:eastAsia="Arial" w:hAnsi="Arial"/>
          <w:sz w:val="17"/>
          <w:szCs w:val="17"/>
          <w:color w:val="auto"/>
        </w:rPr>
        <w:t>“Third quarter revenues were approximately in line with our expectations coming into the quarter, finishing with an organic sales decline of 1.9 percent. Our third quarter was impacted by fewer billing days compared to the same quarter in the prior year. Organic sales were up 0.7% on a per day basis. Our ability to drive operational efficiencies and actively reduce our general and administrative structure provided financial benefits this quarter,” said Brady’s Chief Financial Officer, Aaron Pearce. “Cash generation for the quarter ended April 30, 2017 continued to be strong, as we finished with net cash provided by operating activities of $37.8 million while reducing our net debt by $28.8 million this quarter. Our strong balance sheet provides significant flexibility for future investments in new products and returning funds to our shareholders.”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Guidance:</w:t>
      </w:r>
    </w:p>
    <w:p>
      <w:pPr>
        <w:spacing w:after="0" w:line="101" w:lineRule="exact"/>
        <w:rPr>
          <w:sz w:val="20"/>
          <w:szCs w:val="20"/>
          <w:color w:val="auto"/>
        </w:rPr>
      </w:pPr>
    </w:p>
    <w:p>
      <w:pPr>
        <w:ind w:right="120" w:firstLine="579"/>
        <w:spacing w:after="0" w:line="437" w:lineRule="auto"/>
        <w:rPr>
          <w:sz w:val="20"/>
          <w:szCs w:val="20"/>
          <w:color w:val="auto"/>
        </w:rPr>
      </w:pPr>
      <w:r>
        <w:rPr>
          <w:rFonts w:ascii="Arial" w:cs="Arial" w:eastAsia="Arial" w:hAnsi="Arial"/>
          <w:sz w:val="15"/>
          <w:szCs w:val="15"/>
          <w:color w:val="auto"/>
        </w:rPr>
        <w:t>The Company is tightening its earnings per diluted Class A Common Share guidance from a range of $1.75 to $1.85 to a range of $1.80 to $1.85 for the full year ending July 31, 2017. Included in this guidance are organic sales ranging from a low single-digit decline to slightly positive growth for the year ending July 31, 2017. Offsetting this challenging revenue environment are ongoing efficiency gains in the Company’s manufacturing facilities and selling, general, and administrative expenses. This guidance is based upon foreign currency exchange rates as of April 30, 2017, a full-year income tax rate in the mid-20 percent range, depreciation and amortization expense of $28 million, and capital expenditures approximating $17 million.</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2017 third quarter financial results will be available at </w:t>
      </w:r>
      <w:r>
        <w:rPr>
          <w:rFonts w:ascii="Arial" w:cs="Arial" w:eastAsia="Arial" w:hAnsi="Arial"/>
          <w:sz w:val="15"/>
          <w:szCs w:val="15"/>
          <w:u w:val="single" w:color="auto"/>
          <w:color w:val="auto"/>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ectPr>
          <w:pgSz w:w="11900" w:h="16838" w:orient="portrait"/>
          <w:cols w:equalWidth="0" w:num="1">
            <w:col w:w="11420"/>
          </w:cols>
          <w:pgMar w:left="240" w:top="855" w:right="239" w:bottom="1440" w:gutter="0" w:footer="0" w:header="0"/>
        </w:sectPr>
      </w:pPr>
    </w:p>
    <w:bookmarkStart w:id="5" w:name="page6"/>
    <w:bookmarkEnd w:id="5"/>
    <w:p>
      <w:pPr>
        <w:ind w:right="80" w:firstLine="579"/>
        <w:spacing w:after="0" w:line="377"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2016, employed approximately 6,500 people in its worldwide businesses. Brady’s fiscal 2016 sales were approximately $1.12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r>
        <w:rPr>
          <w:rFonts w:ascii="Arial" w:cs="Arial" w:eastAsia="Arial" w:hAnsi="Arial"/>
          <w:sz w:val="17"/>
          <w:szCs w:val="17"/>
          <w:u w:val="single" w:color="auto"/>
          <w:color w:val="auto"/>
        </w:rPr>
        <w: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3"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our ability to compete effectively or to successfully execute our strategy; Brady’s ability to develop technologically advanced products that meet customer demands; difficulties in protecting our websites, networks, and systems against security breaches; deterioration or instability in the global economy and financial markets; decreased demand for our products; Brady’s ability to retain large customers; risks associated with the loss of key employees; changes in tax legislation and tax rates; Brady’s ability to execute facility consolidations and maintain acceptable operational service metrics; extensive regulations by U.S. and non-U.S. governmental and self-regulatory entities; litigation, including product liability claims; divestitures and contingent liabilities from divestitures; Brady’s ability to properly identify, integrate, and grow acquired companies; foreign currency fluctuations; potential write-offs of Brady’s substantial intangible assets; differing interests of voting and non-voting shareholders; Brady’s ability to meet certain financial covenants required by our debt agreements;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2016.</w:t>
      </w:r>
    </w:p>
    <w:p>
      <w:pPr>
        <w:spacing w:after="0" w:line="15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20"/>
          </w:cols>
          <w:pgMar w:left="240" w:top="583"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5"/>
          </w:tcPr>
          <w:p>
            <w:pPr>
              <w:ind w:left="80"/>
              <w:spacing w:after="0"/>
              <w:rPr>
                <w:sz w:val="20"/>
                <w:szCs w:val="20"/>
                <w:color w:val="auto"/>
              </w:rPr>
            </w:pPr>
            <w:r>
              <w:rPr>
                <w:rFonts w:ascii="Arial" w:cs="Arial" w:eastAsia="Arial" w:hAnsi="Arial"/>
                <w:sz w:val="14"/>
                <w:szCs w:val="14"/>
                <w:color w:val="auto"/>
              </w:rPr>
              <w:t>Three months ended April 30,</w:t>
            </w:r>
          </w:p>
        </w:tc>
        <w:tc>
          <w:tcPr>
            <w:tcW w:w="180" w:type="dxa"/>
            <w:vAlign w:val="bottom"/>
          </w:tcPr>
          <w:p>
            <w:pPr>
              <w:spacing w:after="0"/>
              <w:rPr>
                <w:sz w:val="15"/>
                <w:szCs w:val="15"/>
                <w:color w:val="auto"/>
              </w:rPr>
            </w:pPr>
          </w:p>
        </w:tc>
        <w:tc>
          <w:tcPr>
            <w:tcW w:w="2040" w:type="dxa"/>
            <w:vAlign w:val="bottom"/>
            <w:gridSpan w:val="4"/>
          </w:tcPr>
          <w:p>
            <w:pPr>
              <w:jc w:val="right"/>
              <w:ind w:right="188"/>
              <w:spacing w:after="0"/>
              <w:rPr>
                <w:sz w:val="20"/>
                <w:szCs w:val="20"/>
                <w:color w:val="auto"/>
              </w:rPr>
            </w:pPr>
            <w:r>
              <w:rPr>
                <w:rFonts w:ascii="Arial" w:cs="Arial" w:eastAsia="Arial" w:hAnsi="Arial"/>
                <w:sz w:val="14"/>
                <w:szCs w:val="14"/>
                <w:color w:val="auto"/>
                <w:w w:val="99"/>
              </w:rPr>
              <w:t>Nine months ended April 30,</w:t>
            </w:r>
          </w:p>
        </w:tc>
      </w:tr>
      <w:tr>
        <w:trPr>
          <w:trHeight w:val="30"/>
        </w:trPr>
        <w:tc>
          <w:tcPr>
            <w:tcW w:w="4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2016</w:t>
            </w:r>
          </w:p>
        </w:tc>
      </w:tr>
      <w:tr>
        <w:trPr>
          <w:trHeight w:val="30"/>
        </w:trPr>
        <w:tc>
          <w:tcPr>
            <w:tcW w:w="4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275,927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286,816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824,104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838,519</w:t>
            </w:r>
          </w:p>
        </w:tc>
      </w:tr>
      <w:tr>
        <w:trPr>
          <w:trHeight w:val="211"/>
        </w:trPr>
        <w:tc>
          <w:tcPr>
            <w:tcW w:w="414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141,373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409,679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420,835</w:t>
            </w:r>
          </w:p>
        </w:tc>
      </w:tr>
      <w:tr>
        <w:trPr>
          <w:trHeight w:val="30"/>
        </w:trPr>
        <w:tc>
          <w:tcPr>
            <w:tcW w:w="4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Gross margin</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139,909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145,443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414,425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417,684</w:t>
            </w:r>
          </w:p>
        </w:tc>
      </w:tr>
      <w:tr>
        <w:trPr>
          <w:trHeight w:val="211"/>
        </w:trPr>
        <w:tc>
          <w:tcPr>
            <w:tcW w:w="41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Research and development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9,950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26,531</w:t>
            </w: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98,409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105,794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291,128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306,678</w:t>
            </w:r>
          </w:p>
        </w:tc>
      </w:tr>
      <w:tr>
        <w:trPr>
          <w:trHeight w:val="30"/>
        </w:trPr>
        <w:tc>
          <w:tcPr>
            <w:tcW w:w="4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Total operating expenses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108,359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114,659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319,705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333,209</w:t>
            </w:r>
          </w:p>
        </w:tc>
      </w:tr>
      <w:tr>
        <w:trPr>
          <w:trHeight w:val="193"/>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Operating income</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31,550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30,784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94,720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84,475</w:t>
            </w:r>
          </w:p>
        </w:tc>
      </w:tr>
      <w:tr>
        <w:trPr>
          <w:trHeight w:val="193"/>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Other income (expense):</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Investment and other income (expense)</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(1,030)</w:t>
            </w:r>
          </w:p>
        </w:tc>
      </w:tr>
      <w:tr>
        <w:trPr>
          <w:trHeight w:val="30"/>
        </w:trPr>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Interest expense</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(6,119)</w:t>
            </w:r>
          </w:p>
        </w:tc>
      </w:tr>
      <w:tr>
        <w:trPr>
          <w:trHeight w:val="185"/>
        </w:trPr>
        <w:tc>
          <w:tcPr>
            <w:tcW w:w="4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2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Earnings before income taxes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30,628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29,667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90,715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77,326</w:t>
            </w:r>
          </w:p>
        </w:tc>
      </w:tr>
      <w:tr>
        <w:trPr>
          <w:trHeight w:val="193"/>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Income tax expense</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22,352</w:t>
            </w:r>
          </w:p>
        </w:tc>
      </w:tr>
      <w:tr>
        <w:trPr>
          <w:trHeight w:val="185"/>
        </w:trPr>
        <w:tc>
          <w:tcPr>
            <w:tcW w:w="4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3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Net earnings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22,553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70,403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54,974</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3"/>
        </w:trPr>
        <w:tc>
          <w:tcPr>
            <w:tcW w:w="4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40" w:type="dxa"/>
            <w:vAlign w:val="bottom"/>
          </w:tcPr>
          <w:p>
            <w:pPr>
              <w:ind w:left="20"/>
              <w:spacing w:after="0"/>
              <w:rPr>
                <w:sz w:val="20"/>
                <w:szCs w:val="20"/>
                <w:color w:val="auto"/>
              </w:rPr>
            </w:pPr>
            <w:r>
              <w:rPr>
                <w:rFonts w:ascii="Arial" w:cs="Arial" w:eastAsia="Arial" w:hAnsi="Arial"/>
                <w:sz w:val="14"/>
                <w:szCs w:val="14"/>
                <w:color w:val="auto"/>
              </w:rPr>
              <w:t>Net earnings per Class A Nonvoting Common Share: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0.43</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1.08</w:t>
            </w:r>
          </w:p>
        </w:tc>
      </w:tr>
      <w:tr>
        <w:trPr>
          <w:trHeight w:val="30"/>
        </w:trPr>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Dividends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0.61</w:t>
            </w:r>
          </w:p>
        </w:tc>
      </w:tr>
      <w:tr>
        <w:trPr>
          <w:trHeight w:val="193"/>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Net earnings per Class B Voting Common Share:</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1.07</w:t>
            </w:r>
          </w:p>
        </w:tc>
      </w:tr>
      <w:tr>
        <w:trPr>
          <w:trHeight w:val="30"/>
        </w:trPr>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Diluted</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Dividends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0.59</w:t>
            </w:r>
          </w:p>
        </w:tc>
      </w:tr>
      <w:tr>
        <w:trPr>
          <w:trHeight w:val="30"/>
        </w:trPr>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Basic</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51,227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50,251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50,972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50,602</w:t>
            </w: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52,201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50,505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51,882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50,747</w:t>
            </w:r>
          </w:p>
        </w:tc>
      </w:tr>
    </w:tbl>
    <w:p>
      <w:pPr>
        <w:sectPr>
          <w:pgSz w:w="11900" w:h="16838" w:orient="portrait"/>
          <w:cols w:equalWidth="0" w:num="1">
            <w:col w:w="10219"/>
          </w:cols>
          <w:pgMar w:left="240" w:top="537"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April 30, 2017</w:t>
            </w:r>
          </w:p>
        </w:tc>
        <w:tc>
          <w:tcPr>
            <w:tcW w:w="160" w:type="dxa"/>
            <w:vAlign w:val="bottom"/>
          </w:tcPr>
          <w:p>
            <w:pPr>
              <w:spacing w:after="0"/>
              <w:rPr>
                <w:sz w:val="15"/>
                <w:szCs w:val="15"/>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July 31, 2016</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9"/>
        </w:trPr>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64"/>
        </w:trPr>
        <w:tc>
          <w:tcPr>
            <w:tcW w:w="6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7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assets: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129,077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141,228</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Accounts receivable—net</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145,755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147,333</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Finished products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61,025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64,313</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5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Work-in-process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17,326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16,678</w:t>
            </w: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Raw materials and supplies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19,126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18,436</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Total inventories</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97,477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99,427</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20,343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19,436</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Total current assets</w:t>
            </w:r>
          </w:p>
        </w:tc>
        <w:tc>
          <w:tcPr>
            <w:tcW w:w="5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392,652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407,424</w:t>
            </w: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assets: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shd w:val="clear" w:color="auto" w:fill="CCEEFF"/>
              </w:rPr>
              <w:t>Goodwill</w:t>
            </w:r>
          </w:p>
        </w:tc>
        <w:tc>
          <w:tcPr>
            <w:tcW w:w="17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425,935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429,871</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Other intangible assets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54,107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59,806</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2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shd w:val="clear" w:color="auto" w:fill="CCEEFF"/>
              </w:rPr>
              <w:t>Deferred income taxes</w:t>
            </w: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26,228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27,238</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18,152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17,181</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2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shd w:val="clear" w:color="auto" w:fill="CCEEFF"/>
              </w:rPr>
              <w:t>Property, plant and equipment:</w:t>
            </w: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199"/>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Cost: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9"/>
                <w:shd w:val="clear" w:color="auto" w:fill="CCEEFF"/>
              </w:rPr>
              <w:t>Land</w:t>
            </w:r>
          </w:p>
        </w:tc>
        <w:tc>
          <w:tcPr>
            <w:tcW w:w="17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7,271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5,809</w:t>
            </w: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Buildings and improvements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95,662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95,355</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Machinery and equipment</w:t>
            </w: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257,465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256,549</w:t>
            </w: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Construction in progress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4,362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2,842</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364,760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360,555</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Less accumulated depreciation</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268,586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258,111</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Property, plant and equipment—net</w:t>
            </w:r>
          </w:p>
        </w:tc>
        <w:tc>
          <w:tcPr>
            <w:tcW w:w="2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96,174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102,444</w:t>
            </w:r>
          </w:p>
        </w:tc>
      </w:tr>
      <w:tr>
        <w:trPr>
          <w:trHeight w:val="191"/>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1,013,248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1,043,964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5453380" cy="17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3380" cy="175895"/>
                    </a:xfrm>
                    <a:prstGeom prst="rect">
                      <a:avLst/>
                    </a:prstGeom>
                    <a:noFill/>
                  </pic:spPr>
                </pic:pic>
              </a:graphicData>
            </a:graphic>
          </wp:anchor>
        </w:drawing>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4"/>
          <w:szCs w:val="14"/>
          <w:b w:val="1"/>
          <w:bCs w:val="1"/>
          <w:u w:val="single" w:color="auto"/>
          <w:color w:val="auto"/>
          <w:shd w:val="clear" w:color="auto" w:fill="CCEEFF"/>
        </w:rPr>
        <w:t>LIABILITIES AND STOCKHOLDERS’ INVESTMENT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ectPr>
          <w:pgSz w:w="11900" w:h="16838" w:orient="portrait"/>
          <w:cols w:equalWidth="0" w:num="1">
            <w:col w:w="10219"/>
          </w:cols>
          <w:pgMar w:left="240" w:top="537" w:right="1440" w:bottom="1440" w:gutter="0" w:footer="0" w:header="0"/>
        </w:sectPr>
      </w:pPr>
    </w:p>
    <w:p>
      <w:pPr>
        <w:spacing w:after="0" w:line="84" w:lineRule="exact"/>
        <w:rPr>
          <w:sz w:val="20"/>
          <w:szCs w:val="20"/>
          <w:color w:val="auto"/>
        </w:rPr>
      </w:pPr>
    </w:p>
    <w:p>
      <w:pPr>
        <w:ind w:left="340"/>
        <w:spacing w:after="0"/>
        <w:tabs>
          <w:tab w:leader="none" w:pos="5960" w:val="left"/>
        </w:tabs>
        <w:rPr>
          <w:sz w:val="20"/>
          <w:szCs w:val="20"/>
          <w:color w:val="auto"/>
        </w:rPr>
      </w:pPr>
      <w:r>
        <w:rPr>
          <w:rFonts w:ascii="Arial" w:cs="Arial" w:eastAsia="Arial" w:hAnsi="Arial"/>
          <w:sz w:val="14"/>
          <w:szCs w:val="14"/>
          <w:color w:val="auto"/>
          <w:shd w:val="clear" w:color="auto" w:fill="CCEEFF"/>
        </w:rPr>
        <w:t>Notes payable</w:t>
      </w:r>
      <w:r>
        <w:rPr>
          <w:sz w:val="20"/>
          <w:szCs w:val="20"/>
          <w:color w:val="auto"/>
        </w:rPr>
        <w:tab/>
      </w:r>
      <w:r>
        <w:rPr>
          <w:rFonts w:ascii="Arial" w:cs="Arial" w:eastAsia="Arial" w:hAnsi="Arial"/>
          <w:sz w:val="14"/>
          <w:szCs w:val="14"/>
          <w:color w:val="auto"/>
        </w:rPr>
        <w: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Wages and amounts withheld from employees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income taxes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5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shd w:val="clear" w:color="auto" w:fill="CCEEFF"/>
        </w:rPr>
        <w:t>Total current liabilities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Long-term obligations, less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shd w:val="clear" w:color="auto" w:fill="CCEEFF"/>
        </w:rPr>
        <w:t>Other liabilities</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shd w:val="clear" w:color="auto" w:fill="CCEEFF"/>
        </w:rPr>
        <w:t>Stockholders’ investment:</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260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3380" cy="260350"/>
                    </a:xfrm>
                    <a:prstGeom prst="rect">
                      <a:avLst/>
                    </a:prstGeom>
                    <a:noFill/>
                  </pic:spPr>
                </pic:pic>
              </a:graphicData>
            </a:graphic>
          </wp:anchor>
        </w:drawing>
      </w:r>
    </w:p>
    <w:p>
      <w:pPr>
        <w:spacing w:after="0" w:line="60" w:lineRule="exact"/>
        <w:rPr>
          <w:sz w:val="20"/>
          <w:szCs w:val="20"/>
          <w:color w:val="auto"/>
        </w:rPr>
      </w:pPr>
    </w:p>
    <w:p>
      <w:pPr>
        <w:ind w:left="620" w:right="180"/>
        <w:spacing w:after="0" w:line="302" w:lineRule="auto"/>
        <w:rPr>
          <w:sz w:val="20"/>
          <w:szCs w:val="20"/>
          <w:color w:val="auto"/>
        </w:rPr>
      </w:pPr>
      <w:r>
        <w:rPr>
          <w:rFonts w:ascii="Arial" w:cs="Arial" w:eastAsia="Arial" w:hAnsi="Arial"/>
          <w:sz w:val="14"/>
          <w:szCs w:val="14"/>
          <w:color w:val="auto"/>
          <w:shd w:val="clear" w:color="auto" w:fill="CCEEFF"/>
        </w:rPr>
        <w:t>Class A nonvoting common stock—Issued 51,261,487 and 51,261,487 shares, respectively and outstanding 47,738,671 and 46,920,974 shares, respectively</w:t>
      </w:r>
    </w:p>
    <w:p>
      <w:pPr>
        <w:spacing w:after="0" w:line="5"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Class B voting common stock—Issued and outstanding, 3,538,628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Additional paid-in capital</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Earnings retained in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260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3380" cy="260350"/>
                    </a:xfrm>
                    <a:prstGeom prst="rect">
                      <a:avLst/>
                    </a:prstGeom>
                    <a:noFill/>
                  </pic:spPr>
                </pic:pic>
              </a:graphicData>
            </a:graphic>
          </wp:anchor>
        </w:drawing>
      </w:r>
    </w:p>
    <w:p>
      <w:pPr>
        <w:spacing w:after="0" w:line="60" w:lineRule="exact"/>
        <w:rPr>
          <w:sz w:val="20"/>
          <w:szCs w:val="20"/>
          <w:color w:val="auto"/>
        </w:rPr>
      </w:pPr>
    </w:p>
    <w:p>
      <w:pPr>
        <w:ind w:left="340" w:right="320"/>
        <w:spacing w:after="0" w:line="302" w:lineRule="auto"/>
        <w:rPr>
          <w:sz w:val="20"/>
          <w:szCs w:val="20"/>
          <w:color w:val="auto"/>
        </w:rPr>
      </w:pPr>
      <w:r>
        <w:rPr>
          <w:rFonts w:ascii="Arial" w:cs="Arial" w:eastAsia="Arial" w:hAnsi="Arial"/>
          <w:sz w:val="14"/>
          <w:szCs w:val="14"/>
          <w:color w:val="auto"/>
          <w:shd w:val="clear" w:color="auto" w:fill="CCEEFF"/>
        </w:rPr>
        <w:t>Treasury stock—3,522,816 and 4,340,513 shares, respectively of Class A nonvoting common stock, at cost</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Other</w:t>
      </w:r>
    </w:p>
    <w:p>
      <w:pPr>
        <w:spacing w:after="0" w:line="7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stockholders’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60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3380" cy="160655"/>
                    </a:xfrm>
                    <a:prstGeom prst="rect">
                      <a:avLst/>
                    </a:prstGeom>
                    <a:noFill/>
                  </pic:spPr>
                </pic:pic>
              </a:graphicData>
            </a:graphic>
          </wp:anchor>
        </w:drawing>
      </w:r>
    </w:p>
    <w:p>
      <w:pPr>
        <w:spacing w:after="0" w:line="60" w:lineRule="exact"/>
        <w:rPr>
          <w:sz w:val="20"/>
          <w:szCs w:val="20"/>
          <w:color w:val="auto"/>
        </w:rPr>
      </w:pPr>
    </w:p>
    <w:p>
      <w:pPr>
        <w:ind w:left="20"/>
        <w:spacing w:after="0"/>
        <w:tabs>
          <w:tab w:leader="none" w:pos="5960" w:val="left"/>
        </w:tabs>
        <w:rPr>
          <w:sz w:val="20"/>
          <w:szCs w:val="20"/>
          <w:color w:val="auto"/>
        </w:rPr>
      </w:pPr>
      <w:r>
        <w:rPr>
          <w:rFonts w:ascii="Arial" w:cs="Arial" w:eastAsia="Arial" w:hAnsi="Arial"/>
          <w:sz w:val="14"/>
          <w:szCs w:val="14"/>
          <w:b w:val="1"/>
          <w:bCs w:val="1"/>
          <w:color w:val="auto"/>
          <w:shd w:val="clear" w:color="auto" w:fill="CCEEFF"/>
        </w:rPr>
        <w:t>Total</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83"/>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4,072</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4,928</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60,144</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62,245</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45,079</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45,998</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7,109</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7,403</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2,706</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6,136</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39,022</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40,017</w:t>
            </w:r>
          </w:p>
        </w:tc>
      </w:tr>
      <w:tr>
        <w:trPr>
          <w:trHeight w:val="30"/>
        </w:trPr>
        <w:tc>
          <w:tcPr>
            <w:tcW w:w="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1"/>
        </w:trPr>
        <w:tc>
          <w:tcPr>
            <w:tcW w:w="640" w:type="dxa"/>
            <w:vAlign w:val="bottom"/>
          </w:tcPr>
          <w:p>
            <w:pPr>
              <w:jc w:val="right"/>
              <w:ind w:right="108"/>
              <w:spacing w:after="0"/>
              <w:rPr>
                <w:sz w:val="20"/>
                <w:szCs w:val="20"/>
                <w:color w:val="auto"/>
              </w:rPr>
            </w:pPr>
            <w:r>
              <w:rPr>
                <w:rFonts w:ascii="Arial" w:cs="Arial" w:eastAsia="Arial" w:hAnsi="Arial"/>
                <w:sz w:val="14"/>
                <w:szCs w:val="14"/>
                <w:color w:val="auto"/>
                <w:w w:val="86"/>
              </w:rPr>
              <w:t>158,132</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166,727</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w w:val="86"/>
              </w:rPr>
              <w:t>133,894</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211,982</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57,159</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61,657</w:t>
            </w:r>
          </w:p>
        </w:tc>
      </w:tr>
      <w:tr>
        <w:trPr>
          <w:trHeight w:val="30"/>
        </w:trPr>
        <w:tc>
          <w:tcPr>
            <w:tcW w:w="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1"/>
        </w:trPr>
        <w:tc>
          <w:tcPr>
            <w:tcW w:w="640" w:type="dxa"/>
            <w:vAlign w:val="bottom"/>
          </w:tcPr>
          <w:p>
            <w:pPr>
              <w:jc w:val="right"/>
              <w:ind w:right="108"/>
              <w:spacing w:after="0"/>
              <w:rPr>
                <w:sz w:val="20"/>
                <w:szCs w:val="20"/>
                <w:color w:val="auto"/>
              </w:rPr>
            </w:pPr>
            <w:r>
              <w:rPr>
                <w:rFonts w:ascii="Arial" w:cs="Arial" w:eastAsia="Arial" w:hAnsi="Arial"/>
                <w:sz w:val="14"/>
                <w:szCs w:val="14"/>
                <w:color w:val="auto"/>
                <w:w w:val="86"/>
              </w:rPr>
              <w:t>349,185</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440,366</w:t>
            </w:r>
          </w:p>
        </w:tc>
      </w:tr>
      <w:tr>
        <w:trPr>
          <w:trHeight w:val="893"/>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513</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-699770</wp:posOffset>
            </wp:positionV>
            <wp:extent cx="8045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4545" cy="7620"/>
                    </a:xfrm>
                    <a:prstGeom prst="rect">
                      <a:avLst/>
                    </a:prstGeom>
                    <a:noFill/>
                  </pic:spPr>
                </pic:pic>
              </a:graphicData>
            </a:graphic>
          </wp:anchor>
        </w:drawing>
      </w:r>
    </w:p>
    <w:p>
      <w:pPr>
        <w:spacing w:after="0" w:line="38" w:lineRule="exact"/>
        <w:rPr>
          <w:sz w:val="20"/>
          <w:szCs w:val="20"/>
          <w:color w:val="auto"/>
        </w:rPr>
      </w:pPr>
    </w:p>
    <w:p>
      <w:pPr>
        <w:ind w:left="1780" w:hanging="1355"/>
        <w:spacing w:after="0"/>
        <w:tabs>
          <w:tab w:leader="none" w:pos="1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35</w:t>
      </w:r>
    </w:p>
    <w:p>
      <w:pPr>
        <w:spacing w:after="0" w:line="80"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4"/>
          <w:szCs w:val="14"/>
          <w:color w:val="auto"/>
        </w:rPr>
        <w:t>321,936</w:t>
      </w:r>
      <w:r>
        <w:rPr>
          <w:rFonts w:ascii="Arial" w:cs="Arial" w:eastAsia="Arial" w:hAnsi="Arial"/>
          <w:sz w:val="13"/>
          <w:szCs w:val="13"/>
          <w:color w:val="auto"/>
        </w:rPr>
        <w:t>317,001</w:t>
      </w:r>
    </w:p>
    <w:p>
      <w:pPr>
        <w:spacing w:after="0" w:line="80"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4"/>
          <w:szCs w:val="14"/>
          <w:color w:val="auto"/>
        </w:rPr>
        <w:t>492,411</w:t>
      </w:r>
      <w:r>
        <w:rPr>
          <w:rFonts w:ascii="Arial" w:cs="Arial" w:eastAsia="Arial" w:hAnsi="Arial"/>
          <w:sz w:val="13"/>
          <w:szCs w:val="13"/>
          <w:color w:val="auto"/>
        </w:rPr>
        <w:t>453,371</w:t>
      </w:r>
    </w:p>
    <w:p>
      <w:pPr>
        <w:spacing w:after="0" w:line="249"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3"/>
          <w:szCs w:val="13"/>
          <w:color w:val="auto"/>
        </w:rPr>
        <w:t>(87,493)</w:t>
      </w:r>
      <w:r>
        <w:rPr>
          <w:sz w:val="20"/>
          <w:szCs w:val="20"/>
          <w:color w:val="auto"/>
        </w:rPr>
        <w:tab/>
      </w:r>
      <w:r>
        <w:rPr>
          <w:rFonts w:ascii="Arial" w:cs="Arial" w:eastAsia="Arial" w:hAnsi="Arial"/>
          <w:sz w:val="13"/>
          <w:szCs w:val="13"/>
          <w:color w:val="auto"/>
        </w:rPr>
        <w:t>(108,714)</w:t>
      </w:r>
    </w:p>
    <w:p>
      <w:pPr>
        <w:spacing w:after="0" w:line="92"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13"/>
          <w:szCs w:val="13"/>
          <w:color w:val="auto"/>
        </w:rPr>
        <w:t>(63,339)</w:t>
      </w:r>
      <w:r>
        <w:rPr>
          <w:sz w:val="20"/>
          <w:szCs w:val="20"/>
          <w:color w:val="auto"/>
        </w:rPr>
        <w:tab/>
      </w:r>
      <w:r>
        <w:rPr>
          <w:rFonts w:ascii="Arial" w:cs="Arial" w:eastAsia="Arial" w:hAnsi="Arial"/>
          <w:sz w:val="13"/>
          <w:szCs w:val="13"/>
          <w:color w:val="auto"/>
        </w:rPr>
        <w:t>(54,745)</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(3,863)</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664,063</w:t>
      </w:r>
      <w:r>
        <w:rPr>
          <w:rFonts w:ascii="Arial" w:cs="Arial" w:eastAsia="Arial" w:hAnsi="Arial"/>
          <w:sz w:val="13"/>
          <w:szCs w:val="13"/>
          <w:color w:val="auto"/>
        </w:rPr>
        <w:t>603,598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-119380</wp:posOffset>
            </wp:positionV>
            <wp:extent cx="167005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70050" cy="7620"/>
                    </a:xfrm>
                    <a:prstGeom prst="rect">
                      <a:avLst/>
                    </a:prstGeom>
                    <a:noFill/>
                  </pic:spPr>
                </pic:pic>
              </a:graphicData>
            </a:graphic>
          </wp:anchor>
        </w:drawing>
      </w:r>
    </w:p>
    <w:p>
      <w:pPr>
        <w:spacing w:after="0" w:line="60" w:lineRule="exact"/>
        <w:rPr>
          <w:sz w:val="20"/>
          <w:szCs w:val="20"/>
          <w:color w:val="auto"/>
        </w:rPr>
      </w:pPr>
    </w:p>
    <w:p>
      <w:pPr>
        <w:spacing w:after="0"/>
        <w:tabs>
          <w:tab w:leader="none" w:pos="740" w:val="left"/>
          <w:tab w:leader="none" w:pos="1340" w:val="left"/>
        </w:tabs>
        <w:rPr>
          <w:sz w:val="20"/>
          <w:szCs w:val="20"/>
          <w:color w:val="auto"/>
        </w:rPr>
      </w:pPr>
      <w:r>
        <w:rPr>
          <w:rFonts w:ascii="Arial" w:cs="Arial" w:eastAsia="Arial" w:hAnsi="Arial"/>
          <w:sz w:val="14"/>
          <w:szCs w:val="14"/>
          <w:color w:val="auto"/>
        </w:rPr>
        <w:t>1,013,248</w:t>
        <w:tab/>
        <w:t>$</w:t>
      </w:r>
      <w:r>
        <w:rPr>
          <w:sz w:val="20"/>
          <w:szCs w:val="20"/>
          <w:color w:val="auto"/>
        </w:rPr>
        <w:tab/>
      </w:r>
      <w:r>
        <w:rPr>
          <w:rFonts w:ascii="Arial" w:cs="Arial" w:eastAsia="Arial" w:hAnsi="Arial"/>
          <w:sz w:val="13"/>
          <w:szCs w:val="13"/>
          <w:color w:val="auto"/>
        </w:rPr>
        <w:t>1,043,964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48260</wp:posOffset>
            </wp:positionV>
            <wp:extent cx="16700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70050" cy="7620"/>
                    </a:xfrm>
                    <a:prstGeom prst="rect">
                      <a:avLst/>
                    </a:prstGeom>
                    <a:noFill/>
                  </pic:spPr>
                </pic:pic>
              </a:graphicData>
            </a:graphic>
          </wp:anchor>
        </w:drawing>
      </w:r>
    </w:p>
    <w:p>
      <w:pPr>
        <w:sectPr>
          <w:pgSz w:w="11900" w:h="16838" w:orient="portrait"/>
          <w:cols w:equalWidth="0" w:num="2">
            <w:col w:w="6060" w:space="520"/>
            <w:col w:w="3639"/>
          </w:cols>
          <w:pgMar w:left="240" w:top="537" w:right="1440" w:bottom="1440" w:gutter="0" w:footer="0" w:header="0"/>
          <w:type w:val="continuous"/>
        </w:sectPr>
      </w:pPr>
    </w:p>
    <w:bookmarkStart w:id="8" w:name="page9"/>
    <w:bookmarkEnd w:id="8"/>
    <w:p>
      <w:pPr>
        <w:ind w:right="2320"/>
        <w:spacing w:after="0" w:line="271" w:lineRule="auto"/>
        <w:rPr>
          <w:sz w:val="20"/>
          <w:szCs w:val="20"/>
          <w:color w:val="auto"/>
        </w:rPr>
      </w:pPr>
      <w:r>
        <w:rPr>
          <w:rFonts w:ascii="Arial" w:cs="Arial" w:eastAsia="Arial" w:hAnsi="Arial"/>
          <w:sz w:val="14"/>
          <w:szCs w:val="14"/>
          <w:b w:val="1"/>
          <w:bCs w:val="1"/>
          <w:color w:val="auto"/>
        </w:rPr>
        <w:t>BRADY CORPORATION AND SUBSIDIARIES CONSOLIDATED STATEMENTS OF CASH FLOWS (Unaudited;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5514975" cy="160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4975" cy="1606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activities: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Stock-based compensation expense</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Changes in operating assets and liabilities:</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Inventories</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Accounts payable and accrued liabilities</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5514975" cy="153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Investing activities:</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shd w:val="clear" w:color="auto" w:fill="CCEEFF"/>
        </w:rPr>
        <w:t>Other</w:t>
      </w:r>
    </w:p>
    <w:p>
      <w:pPr>
        <w:spacing w:after="0" w:line="80"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60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4975" cy="160655"/>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shd w:val="clear" w:color="auto" w:fill="CCEEFF"/>
        </w:rPr>
        <w:t>Payment of dividends</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shd w:val="clear" w:color="auto" w:fill="CCEEFF"/>
        </w:rPr>
        <w:t>Purchase of treasury stock</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(Repayments) proceeds from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Principal payments on debt</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5514975" cy="153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48" w:lineRule="exact"/>
        <w:rPr>
          <w:sz w:val="20"/>
          <w:szCs w:val="20"/>
          <w:color w:val="auto"/>
        </w:rPr>
      </w:pPr>
    </w:p>
    <w:p>
      <w:pPr>
        <w:ind w:left="620"/>
        <w:spacing w:after="0"/>
        <w:rPr>
          <w:sz w:val="20"/>
          <w:szCs w:val="20"/>
          <w:color w:val="auto"/>
        </w:rPr>
      </w:pPr>
      <w:r>
        <w:rPr>
          <w:rFonts w:ascii="Arial" w:cs="Arial" w:eastAsia="Arial" w:hAnsi="Arial"/>
          <w:sz w:val="14"/>
          <w:szCs w:val="14"/>
          <w:color w:val="auto"/>
          <w:shd w:val="clear" w:color="auto" w:fill="CCEEFF"/>
        </w:rPr>
        <w:t>Income tax on equity-based compensation, and other</w:t>
      </w:r>
    </w:p>
    <w:p>
      <w:pPr>
        <w:spacing w:after="0" w:line="80"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60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4975" cy="160655"/>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60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4975" cy="160655"/>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auto"/>
          <w:shd w:val="clear" w:color="auto" w:fill="CCEEFF"/>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5514975" cy="153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19"/>
        <w:spacing w:after="0"/>
        <w:rPr>
          <w:sz w:val="20"/>
          <w:szCs w:val="20"/>
          <w:color w:val="auto"/>
        </w:rPr>
      </w:pPr>
      <w:r>
        <w:rPr>
          <w:rFonts w:ascii="Arial" w:cs="Arial" w:eastAsia="Arial" w:hAnsi="Arial"/>
          <w:sz w:val="14"/>
          <w:szCs w:val="14"/>
          <w:b w:val="1"/>
          <w:bCs w:val="1"/>
          <w:color w:val="auto"/>
        </w:rPr>
        <w:t>Nine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14249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24940" cy="7620"/>
                    </a:xfrm>
                    <a:prstGeom prst="rect">
                      <a:avLst/>
                    </a:prstGeom>
                    <a:noFill/>
                  </pic:spPr>
                </pic:pic>
              </a:graphicData>
            </a:graphic>
          </wp:anchor>
        </w:drawing>
      </w:r>
    </w:p>
    <w:p>
      <w:pPr>
        <w:spacing w:after="0" w:line="76" w:lineRule="exact"/>
        <w:rPr>
          <w:sz w:val="20"/>
          <w:szCs w:val="20"/>
          <w:color w:val="auto"/>
        </w:rPr>
      </w:pPr>
    </w:p>
    <w:p>
      <w:pPr>
        <w:ind w:left="380"/>
        <w:spacing w:after="0"/>
        <w:tabs>
          <w:tab w:leader="none" w:pos="1540" w:val="left"/>
        </w:tabs>
        <w:rPr>
          <w:sz w:val="20"/>
          <w:szCs w:val="20"/>
          <w:color w:val="auto"/>
        </w:rPr>
      </w:pPr>
      <w:r>
        <w:rPr>
          <w:rFonts w:ascii="Arial" w:cs="Arial" w:eastAsia="Arial" w:hAnsi="Arial"/>
          <w:sz w:val="14"/>
          <w:szCs w:val="14"/>
          <w:color w:val="auto"/>
        </w:rPr>
        <w:t>2017</w:t>
      </w:r>
      <w:r>
        <w:rPr>
          <w:sz w:val="20"/>
          <w:szCs w:val="20"/>
          <w:color w:val="auto"/>
        </w:rPr>
        <w:tab/>
      </w:r>
      <w:r>
        <w:rPr>
          <w:rFonts w:ascii="Arial" w:cs="Arial" w:eastAsia="Arial" w:hAnsi="Arial"/>
          <w:sz w:val="14"/>
          <w:szCs w:val="14"/>
          <w:color w:val="auto"/>
        </w:rPr>
        <w:t>2016</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70,403</w:t>
            </w:r>
          </w:p>
        </w:tc>
        <w:tc>
          <w:tcPr>
            <w:tcW w:w="8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54,974</w:t>
            </w:r>
          </w:p>
        </w:tc>
      </w:tr>
      <w:tr>
        <w:trPr>
          <w:trHeight w:val="482"/>
        </w:trPr>
        <w:tc>
          <w:tcPr>
            <w:tcW w:w="34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20,789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24,896</w:t>
            </w:r>
          </w:p>
        </w:tc>
      </w:tr>
      <w:tr>
        <w:trPr>
          <w:trHeight w:val="241"/>
        </w:trPr>
        <w:tc>
          <w:tcPr>
            <w:tcW w:w="34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7,445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6,247</w:t>
            </w:r>
          </w:p>
        </w:tc>
      </w:tr>
      <w:tr>
        <w:trPr>
          <w:trHeight w:val="241"/>
        </w:trPr>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(2,707)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3,169</w:t>
            </w:r>
          </w:p>
        </w:tc>
      </w:tr>
      <w:tr>
        <w:trPr>
          <w:trHeight w:val="482"/>
        </w:trPr>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4,679</w:t>
            </w:r>
          </w:p>
        </w:tc>
      </w:tr>
      <w:tr>
        <w:trPr>
          <w:trHeight w:val="241"/>
        </w:trPr>
        <w:tc>
          <w:tcPr>
            <w:tcW w:w="34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666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4,556</w:t>
            </w:r>
          </w:p>
        </w:tc>
      </w:tr>
      <w:tr>
        <w:trPr>
          <w:trHeight w:val="241"/>
        </w:trPr>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(1,987)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(734)</w:t>
            </w:r>
          </w:p>
        </w:tc>
      </w:tr>
      <w:tr>
        <w:trPr>
          <w:trHeight w:val="241"/>
        </w:trPr>
        <w:tc>
          <w:tcPr>
            <w:tcW w:w="34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3,432</w:t>
            </w:r>
          </w:p>
        </w:tc>
      </w:tr>
      <w:tr>
        <w:trPr>
          <w:trHeight w:val="241"/>
        </w:trPr>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(3,270)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(2,669)</w:t>
            </w:r>
          </w:p>
        </w:tc>
      </w:tr>
      <w:tr>
        <w:trPr>
          <w:trHeight w:val="30"/>
        </w:trPr>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1"/>
        </w:trPr>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91,162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98,550</w:t>
            </w:r>
          </w:p>
        </w:tc>
      </w:tr>
    </w:tbl>
    <w:p>
      <w:pPr>
        <w:spacing w:after="0" w:line="200" w:lineRule="exact"/>
        <w:rPr>
          <w:sz w:val="20"/>
          <w:szCs w:val="20"/>
          <w:color w:val="auto"/>
        </w:rPr>
      </w:pPr>
    </w:p>
    <w:p>
      <w:pPr>
        <w:spacing w:after="0" w:line="353" w:lineRule="exact"/>
        <w:rPr>
          <w:sz w:val="20"/>
          <w:szCs w:val="20"/>
          <w:color w:val="auto"/>
        </w:rPr>
      </w:pPr>
    </w:p>
    <w:p>
      <w:pPr>
        <w:ind w:left="560"/>
        <w:spacing w:after="0"/>
        <w:tabs>
          <w:tab w:leader="none" w:pos="1780" w:val="left"/>
        </w:tabs>
        <w:rPr>
          <w:sz w:val="20"/>
          <w:szCs w:val="20"/>
          <w:color w:val="auto"/>
        </w:rPr>
      </w:pPr>
      <w:r>
        <w:rPr>
          <w:rFonts w:ascii="Arial" w:cs="Arial" w:eastAsia="Arial" w:hAnsi="Arial"/>
          <w:sz w:val="13"/>
          <w:szCs w:val="13"/>
          <w:color w:val="auto"/>
        </w:rPr>
        <w:t>(10,856)</w:t>
      </w:r>
      <w:r>
        <w:rPr>
          <w:sz w:val="20"/>
          <w:szCs w:val="20"/>
          <w:color w:val="auto"/>
        </w:rPr>
        <w:tab/>
      </w:r>
      <w:r>
        <w:rPr>
          <w:rFonts w:ascii="Arial" w:cs="Arial" w:eastAsia="Arial" w:hAnsi="Arial"/>
          <w:sz w:val="13"/>
          <w:szCs w:val="13"/>
          <w:color w:val="auto"/>
        </w:rPr>
        <w:t>(7,468)</w:t>
      </w:r>
    </w:p>
    <w:p>
      <w:pPr>
        <w:spacing w:after="0" w:line="92" w:lineRule="exact"/>
        <w:rPr>
          <w:sz w:val="20"/>
          <w:szCs w:val="20"/>
          <w:color w:val="auto"/>
        </w:rPr>
      </w:pPr>
    </w:p>
    <w:p>
      <w:pPr>
        <w:ind w:left="1840" w:hanging="986"/>
        <w:spacing w:after="0"/>
        <w:tabs>
          <w:tab w:leader="none" w:pos="1840" w:val="left"/>
        </w:tabs>
        <w:numPr>
          <w:ilvl w:val="0"/>
          <w:numId w:val="5"/>
        </w:numPr>
        <w:rPr>
          <w:rFonts w:ascii="Arial" w:cs="Arial" w:eastAsia="Arial" w:hAnsi="Arial"/>
          <w:sz w:val="14"/>
          <w:szCs w:val="14"/>
          <w:color w:val="auto"/>
        </w:rPr>
      </w:pPr>
      <w:r>
        <w:rPr>
          <w:rFonts w:ascii="Arial" w:cs="Arial" w:eastAsia="Arial" w:hAnsi="Arial"/>
          <w:sz w:val="14"/>
          <w:szCs w:val="14"/>
          <w:color w:val="auto"/>
        </w:rPr>
        <w:t>1,987</w:t>
      </w:r>
    </w:p>
    <w:p>
      <w:pPr>
        <w:spacing w:after="0" w:line="80"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(10,818)</w:t>
      </w:r>
      <w:r>
        <w:rPr>
          <w:rFonts w:ascii="Arial" w:cs="Arial" w:eastAsia="Arial" w:hAnsi="Arial"/>
          <w:sz w:val="13"/>
          <w:szCs w:val="13"/>
          <w:color w:val="auto"/>
        </w:rPr>
        <w:t>(5,481)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142494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24940" cy="762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560" w:type="dxa"/>
        <w:tblCellMar>
          <w:top w:w="0" w:type="dxa"/>
          <w:left w:w="0" w:type="dxa"/>
          <w:bottom w:w="0" w:type="dxa"/>
          <w:right w:w="0" w:type="dxa"/>
        </w:tblCellMar>
      </w:tblPr>
      <w:tr>
        <w:trPr>
          <w:trHeight w:val="183"/>
        </w:trPr>
        <w:tc>
          <w:tcPr>
            <w:tcW w:w="820" w:type="dxa"/>
            <w:vAlign w:val="bottom"/>
          </w:tcPr>
          <w:p>
            <w:pPr>
              <w:jc w:val="right"/>
              <w:ind w:right="268"/>
              <w:spacing w:after="0"/>
              <w:rPr>
                <w:sz w:val="20"/>
                <w:szCs w:val="20"/>
                <w:color w:val="auto"/>
              </w:rPr>
            </w:pPr>
            <w:r>
              <w:rPr>
                <w:rFonts w:ascii="Arial" w:cs="Arial" w:eastAsia="Arial" w:hAnsi="Arial"/>
                <w:sz w:val="14"/>
                <w:szCs w:val="14"/>
                <w:color w:val="auto"/>
                <w:w w:val="88"/>
              </w:rPr>
              <w:t>(31,362)</w:t>
            </w:r>
          </w:p>
        </w:tc>
        <w:tc>
          <w:tcPr>
            <w:tcW w:w="840" w:type="dxa"/>
            <w:vAlign w:val="bottom"/>
          </w:tcPr>
          <w:p>
            <w:pPr>
              <w:jc w:val="right"/>
              <w:spacing w:after="0"/>
              <w:rPr>
                <w:sz w:val="20"/>
                <w:szCs w:val="20"/>
                <w:color w:val="auto"/>
              </w:rPr>
            </w:pPr>
            <w:r>
              <w:rPr>
                <w:rFonts w:ascii="Arial" w:cs="Arial" w:eastAsia="Arial" w:hAnsi="Arial"/>
                <w:sz w:val="14"/>
                <w:szCs w:val="14"/>
                <w:color w:val="auto"/>
              </w:rPr>
              <w:t>(30,603)</w:t>
            </w:r>
          </w:p>
        </w:tc>
      </w:tr>
      <w:tr>
        <w:trPr>
          <w:trHeight w:val="241"/>
        </w:trPr>
        <w:tc>
          <w:tcPr>
            <w:tcW w:w="820" w:type="dxa"/>
            <w:vAlign w:val="bottom"/>
          </w:tcPr>
          <w:p>
            <w:pPr>
              <w:jc w:val="right"/>
              <w:ind w:right="308"/>
              <w:spacing w:after="0"/>
              <w:rPr>
                <w:sz w:val="20"/>
                <w:szCs w:val="20"/>
                <w:color w:val="auto"/>
              </w:rPr>
            </w:pPr>
            <w:r>
              <w:rPr>
                <w:rFonts w:ascii="Arial" w:cs="Arial" w:eastAsia="Arial" w:hAnsi="Arial"/>
                <w:sz w:val="14"/>
                <w:szCs w:val="14"/>
                <w:color w:val="auto"/>
                <w:w w:val="97"/>
              </w:rPr>
              <w:t>18,674</w:t>
            </w:r>
          </w:p>
        </w:tc>
        <w:tc>
          <w:tcPr>
            <w:tcW w:w="840" w:type="dxa"/>
            <w:vAlign w:val="bottom"/>
          </w:tcPr>
          <w:p>
            <w:pPr>
              <w:jc w:val="right"/>
              <w:spacing w:after="0"/>
              <w:rPr>
                <w:sz w:val="20"/>
                <w:szCs w:val="20"/>
                <w:color w:val="auto"/>
              </w:rPr>
            </w:pPr>
            <w:r>
              <w:rPr>
                <w:rFonts w:ascii="Arial" w:cs="Arial" w:eastAsia="Arial" w:hAnsi="Arial"/>
                <w:sz w:val="14"/>
                <w:szCs w:val="14"/>
                <w:color w:val="auto"/>
              </w:rPr>
              <w:t>663</w:t>
            </w:r>
          </w:p>
        </w:tc>
      </w:tr>
    </w:tbl>
    <w:p>
      <w:pPr>
        <w:spacing w:after="0" w:line="5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(23,552)</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(60,415)</w:t>
      </w:r>
      <w:r>
        <w:rPr>
          <w:rFonts w:ascii="Arial" w:cs="Arial" w:eastAsia="Arial" w:hAnsi="Arial"/>
          <w:sz w:val="12"/>
          <w:szCs w:val="12"/>
          <w:color w:val="auto"/>
        </w:rPr>
        <w:t>28,819</w:t>
      </w:r>
    </w:p>
    <w:p>
      <w:pPr>
        <w:spacing w:after="0" w:line="80" w:lineRule="exact"/>
        <w:rPr>
          <w:sz w:val="20"/>
          <w:szCs w:val="20"/>
          <w:color w:val="auto"/>
        </w:rPr>
      </w:pPr>
    </w:p>
    <w:p>
      <w:pPr>
        <w:ind w:left="560"/>
        <w:spacing w:after="0"/>
        <w:tabs>
          <w:tab w:leader="none" w:pos="1700" w:val="left"/>
        </w:tabs>
        <w:rPr>
          <w:sz w:val="20"/>
          <w:szCs w:val="20"/>
          <w:color w:val="auto"/>
        </w:rPr>
      </w:pPr>
      <w:r>
        <w:rPr>
          <w:rFonts w:ascii="Arial" w:cs="Arial" w:eastAsia="Arial" w:hAnsi="Arial"/>
          <w:sz w:val="13"/>
          <w:szCs w:val="13"/>
          <w:color w:val="auto"/>
        </w:rPr>
        <w:t>(16,371)</w:t>
      </w:r>
      <w:r>
        <w:rPr>
          <w:sz w:val="20"/>
          <w:szCs w:val="20"/>
          <w:color w:val="auto"/>
        </w:rPr>
        <w:tab/>
      </w:r>
      <w:r>
        <w:rPr>
          <w:rFonts w:ascii="Arial" w:cs="Arial" w:eastAsia="Arial" w:hAnsi="Arial"/>
          <w:sz w:val="13"/>
          <w:szCs w:val="13"/>
          <w:color w:val="auto"/>
        </w:rPr>
        <w:t>(42,514)</w:t>
      </w:r>
    </w:p>
    <w:p>
      <w:pPr>
        <w:spacing w:after="0" w:line="8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(803)</w:t>
      </w:r>
    </w:p>
    <w:p>
      <w:pPr>
        <w:spacing w:after="0" w:line="80" w:lineRule="exact"/>
        <w:rPr>
          <w:sz w:val="20"/>
          <w:szCs w:val="20"/>
          <w:color w:val="auto"/>
        </w:rPr>
      </w:pPr>
    </w:p>
    <w:p>
      <w:pPr>
        <w:ind w:left="1800" w:hanging="1066"/>
        <w:spacing w:after="0"/>
        <w:tabs>
          <w:tab w:leader="none" w:pos="1800" w:val="left"/>
        </w:tabs>
        <w:numPr>
          <w:ilvl w:val="0"/>
          <w:numId w:val="8"/>
        </w:numPr>
        <w:rPr>
          <w:rFonts w:ascii="Arial" w:cs="Arial" w:eastAsia="Arial" w:hAnsi="Arial"/>
          <w:sz w:val="13"/>
          <w:szCs w:val="13"/>
          <w:color w:val="auto"/>
        </w:rPr>
      </w:pPr>
      <w:r>
        <w:rPr>
          <w:rFonts w:ascii="Arial" w:cs="Arial" w:eastAsia="Arial" w:hAnsi="Arial"/>
          <w:sz w:val="13"/>
          <w:szCs w:val="13"/>
          <w:color w:val="auto"/>
        </w:rPr>
        <w:t>(1,238)</w:t>
      </w:r>
    </w:p>
    <w:p>
      <w:pPr>
        <w:spacing w:after="0" w:line="91" w:lineRule="exact"/>
        <w:rPr>
          <w:rFonts w:ascii="Arial" w:cs="Arial" w:eastAsia="Arial" w:hAnsi="Arial"/>
          <w:sz w:val="13"/>
          <w:szCs w:val="13"/>
          <w:color w:val="auto"/>
        </w:rPr>
      </w:pPr>
    </w:p>
    <w:p>
      <w:pPr>
        <w:ind w:left="560"/>
        <w:spacing w:after="0"/>
        <w:rPr>
          <w:rFonts w:ascii="Arial" w:cs="Arial" w:eastAsia="Arial" w:hAnsi="Arial"/>
          <w:sz w:val="13"/>
          <w:szCs w:val="13"/>
          <w:color w:val="auto"/>
        </w:rPr>
      </w:pPr>
      <w:r>
        <w:rPr>
          <w:rFonts w:ascii="Arial" w:cs="Arial" w:eastAsia="Arial" w:hAnsi="Arial"/>
          <w:sz w:val="14"/>
          <w:szCs w:val="14"/>
          <w:color w:val="auto"/>
        </w:rPr>
        <w:t>(89,986)</w:t>
      </w:r>
      <w:r>
        <w:rPr>
          <w:rFonts w:ascii="Arial" w:cs="Arial" w:eastAsia="Arial" w:hAnsi="Arial"/>
          <w:sz w:val="13"/>
          <w:szCs w:val="13"/>
          <w:color w:val="auto"/>
        </w:rPr>
        <w:t>(69,228)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142494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24940" cy="7620"/>
                    </a:xfrm>
                    <a:prstGeom prst="rect">
                      <a:avLst/>
                    </a:prstGeom>
                    <a:noFill/>
                  </pic:spPr>
                </pic:pic>
              </a:graphicData>
            </a:graphic>
          </wp:anchor>
        </w:drawing>
      </w:r>
    </w:p>
    <w:p>
      <w:pPr>
        <w:spacing w:after="0" w:line="314" w:lineRule="exact"/>
        <w:rPr>
          <w:sz w:val="20"/>
          <w:szCs w:val="20"/>
          <w:color w:val="auto"/>
        </w:rPr>
      </w:pPr>
    </w:p>
    <w:p>
      <w:pPr>
        <w:ind w:left="620"/>
        <w:spacing w:after="0"/>
        <w:tabs>
          <w:tab w:leader="none" w:pos="1820" w:val="left"/>
        </w:tabs>
        <w:rPr>
          <w:sz w:val="20"/>
          <w:szCs w:val="20"/>
          <w:color w:val="auto"/>
        </w:rPr>
      </w:pPr>
      <w:r>
        <w:rPr>
          <w:rFonts w:ascii="Arial" w:cs="Arial" w:eastAsia="Arial" w:hAnsi="Arial"/>
          <w:sz w:val="14"/>
          <w:szCs w:val="14"/>
          <w:color w:val="auto"/>
        </w:rPr>
        <w:t>(2,509)</w:t>
      </w:r>
      <w:r>
        <w:rPr>
          <w:sz w:val="20"/>
          <w:szCs w:val="20"/>
          <w:color w:val="auto"/>
        </w:rPr>
        <w:tab/>
      </w:r>
      <w:r>
        <w:rPr>
          <w:rFonts w:ascii="Arial" w:cs="Arial" w:eastAsia="Arial" w:hAnsi="Arial"/>
          <w:sz w:val="14"/>
          <w:szCs w:val="14"/>
          <w:color w:val="auto"/>
        </w:rPr>
        <w:t>3,263</w:t>
      </w:r>
    </w:p>
    <w:p>
      <w:pPr>
        <w:spacing w:after="0" w:line="334"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4"/>
          <w:szCs w:val="14"/>
          <w:color w:val="auto"/>
        </w:rPr>
        <w:t>(12,151)</w:t>
      </w:r>
      <w:r>
        <w:rPr>
          <w:sz w:val="20"/>
          <w:szCs w:val="20"/>
          <w:color w:val="auto"/>
        </w:rPr>
        <w:tab/>
      </w:r>
      <w:r>
        <w:rPr>
          <w:rFonts w:ascii="Arial" w:cs="Arial" w:eastAsia="Arial" w:hAnsi="Arial"/>
          <w:sz w:val="14"/>
          <w:szCs w:val="14"/>
          <w:color w:val="auto"/>
        </w:rPr>
        <w:t>27,104</w:t>
      </w:r>
    </w:p>
    <w:p>
      <w:pPr>
        <w:spacing w:after="0" w:line="80" w:lineRule="exact"/>
        <w:rPr>
          <w:sz w:val="20"/>
          <w:szCs w:val="20"/>
          <w:color w:val="auto"/>
        </w:rPr>
      </w:pPr>
    </w:p>
    <w:p>
      <w:pPr>
        <w:ind w:left="520"/>
        <w:spacing w:after="0"/>
        <w:tabs>
          <w:tab w:leader="none" w:pos="1680" w:val="left"/>
        </w:tabs>
        <w:rPr>
          <w:sz w:val="20"/>
          <w:szCs w:val="20"/>
          <w:color w:val="auto"/>
        </w:rPr>
      </w:pPr>
      <w:r>
        <w:rPr>
          <w:rFonts w:ascii="Arial" w:cs="Arial" w:eastAsia="Arial" w:hAnsi="Arial"/>
          <w:sz w:val="14"/>
          <w:szCs w:val="14"/>
          <w:color w:val="auto"/>
        </w:rPr>
        <w:t>141,228</w:t>
      </w:r>
      <w:r>
        <w:rPr>
          <w:sz w:val="20"/>
          <w:szCs w:val="20"/>
          <w:color w:val="auto"/>
        </w:rPr>
        <w:tab/>
      </w:r>
      <w:r>
        <w:rPr>
          <w:rFonts w:ascii="Arial" w:cs="Arial" w:eastAsia="Arial" w:hAnsi="Arial"/>
          <w:sz w:val="14"/>
          <w:szCs w:val="14"/>
          <w:color w:val="auto"/>
        </w:rPr>
        <w:t>114,492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wp:posOffset>
            </wp:positionV>
            <wp:extent cx="142494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2494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3779"/>
          </w:cols>
          <w:pgMar w:left="240" w:top="537" w:right="1440" w:bottom="1440" w:gutter="0" w:footer="0" w:header="0"/>
        </w:sectPr>
      </w:pPr>
    </w:p>
    <w:p>
      <w:pPr>
        <w:spacing w:after="0" w:line="134" w:lineRule="exact"/>
        <w:rPr>
          <w:sz w:val="20"/>
          <w:szCs w:val="20"/>
          <w:color w:val="auto"/>
        </w:rPr>
      </w:pPr>
    </w:p>
    <w:p>
      <w:pPr>
        <w:ind w:left="20"/>
        <w:spacing w:after="0"/>
        <w:tabs>
          <w:tab w:leader="none" w:pos="6440" w:val="left"/>
          <w:tab w:leader="none" w:pos="6940" w:val="left"/>
          <w:tab w:leader="none" w:pos="7620" w:val="left"/>
          <w:tab w:leader="none" w:pos="8120" w:val="left"/>
        </w:tabs>
        <w:rPr>
          <w:sz w:val="20"/>
          <w:szCs w:val="20"/>
          <w:color w:val="auto"/>
        </w:rPr>
      </w:pPr>
      <w:r>
        <w:rPr>
          <w:rFonts w:ascii="Arial" w:cs="Arial" w:eastAsia="Arial" w:hAnsi="Arial"/>
          <w:sz w:val="14"/>
          <w:szCs w:val="14"/>
          <w:color w:val="auto"/>
          <w:shd w:val="clear" w:color="auto" w:fill="CCEEFF"/>
        </w:rPr>
        <w:t>Cash and cash equivalents, end of period</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129,077</w:t>
        <w:tab/>
        <w:t>$</w:t>
      </w:r>
      <w:r>
        <w:rPr>
          <w:sz w:val="20"/>
          <w:szCs w:val="20"/>
          <w:color w:val="auto"/>
        </w:rPr>
        <w:tab/>
      </w:r>
      <w:r>
        <w:rPr>
          <w:rFonts w:ascii="Arial" w:cs="Arial" w:eastAsia="Arial" w:hAnsi="Arial"/>
          <w:sz w:val="12"/>
          <w:szCs w:val="12"/>
          <w:color w:val="auto"/>
        </w:rPr>
        <w:t>141,596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48260</wp:posOffset>
            </wp:positionV>
            <wp:extent cx="142494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24940" cy="7620"/>
                    </a:xfrm>
                    <a:prstGeom prst="rect">
                      <a:avLst/>
                    </a:prstGeom>
                    <a:noFill/>
                  </pic:spPr>
                </pic:pic>
              </a:graphicData>
            </a:graphic>
          </wp:anchor>
        </w:drawing>
      </w:r>
    </w:p>
    <w:p>
      <w:pPr>
        <w:sectPr>
          <w:pgSz w:w="11900" w:h="16838" w:orient="portrait"/>
          <w:cols w:equalWidth="0" w:num="1">
            <w:col w:w="10219"/>
          </w:cols>
          <w:pgMar w:left="240" w:top="537" w:right="1440" w:bottom="1440" w:gutter="0" w:footer="0" w:header="0"/>
          <w:type w:val="continuous"/>
        </w:sectPr>
      </w:pPr>
    </w:p>
    <w:bookmarkStart w:id="9" w:name="page10"/>
    <w:bookmarkEnd w:id="9"/>
    <w:p>
      <w:pPr>
        <w:ind w:right="100"/>
        <w:spacing w:after="0" w:line="271" w:lineRule="auto"/>
        <w:rPr>
          <w:sz w:val="20"/>
          <w:szCs w:val="20"/>
          <w:color w:val="auto"/>
        </w:rPr>
      </w:pPr>
      <w:r>
        <w:rPr>
          <w:rFonts w:ascii="Arial" w:cs="Arial" w:eastAsia="Arial" w:hAnsi="Arial"/>
          <w:sz w:val="14"/>
          <w:szCs w:val="14"/>
          <w:b w:val="1"/>
          <w:bCs w:val="1"/>
          <w:color w:val="auto"/>
        </w:rPr>
        <w:t>BRADY CORPORATION AND SUBSIDIARIES SEGMENT INFORMATION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SALES TO EXTERNAL CUSTOMERS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ID Solutions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Workplace Safety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SALES INFORMATION</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shd w:val="clear" w:color="auto" w:fill="CCEEFF"/>
        </w:rPr>
        <w:t>ID Solutions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Organic</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Currency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shd w:val="clear" w:color="auto" w:fill="CCEEFF"/>
        </w:rPr>
        <w:t>Workplace Safety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Organic</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Currency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shd w:val="clear" w:color="auto" w:fill="CCEEFF"/>
        </w:rPr>
        <w:t>Total Company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Organic</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Currency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SEGMENT PROFIT</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ID Solutions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Workplace Safety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Total</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SEGMENT PROFIT AS A PERCENT OF SALES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ID Solutions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Workplace Safety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segment profit</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Unallocated amounts: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Administrative costs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Investment and other income (expense)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Interest expense</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Pr>
          <w:p>
            <w:pPr>
              <w:spacing w:after="0"/>
              <w:rPr>
                <w:sz w:val="16"/>
                <w:szCs w:val="16"/>
                <w:color w:val="auto"/>
              </w:rPr>
            </w:pPr>
          </w:p>
        </w:tc>
        <w:tc>
          <w:tcPr>
            <w:tcW w:w="22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April 30,</w:t>
            </w:r>
          </w:p>
        </w:tc>
        <w:tc>
          <w:tcPr>
            <w:tcW w:w="220" w:type="dxa"/>
            <w:vAlign w:val="bottom"/>
          </w:tcPr>
          <w:p>
            <w:pPr>
              <w:spacing w:after="0"/>
              <w:rPr>
                <w:sz w:val="16"/>
                <w:szCs w:val="16"/>
                <w:color w:val="auto"/>
              </w:rPr>
            </w:pPr>
          </w:p>
        </w:tc>
        <w:tc>
          <w:tcPr>
            <w:tcW w:w="21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w w:val="98"/>
              </w:rPr>
              <w:t>Nine months ended April 30,</w:t>
            </w:r>
          </w:p>
        </w:tc>
      </w:tr>
      <w:tr>
        <w:trPr>
          <w:trHeight w:val="30"/>
        </w:trPr>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2016</w:t>
            </w:r>
          </w:p>
        </w:tc>
      </w:tr>
      <w:tr>
        <w:trPr>
          <w:trHeight w:val="30"/>
        </w:trPr>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44"/>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196,880</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201,482</w:t>
            </w:r>
          </w:p>
        </w:tc>
        <w:tc>
          <w:tcPr>
            <w:tcW w:w="8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589,106</w:t>
            </w:r>
          </w:p>
        </w:tc>
        <w:tc>
          <w:tcPr>
            <w:tcW w:w="10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592,282</w:t>
            </w:r>
          </w:p>
        </w:tc>
      </w:tr>
      <w:tr>
        <w:trPr>
          <w:trHeight w:val="241"/>
        </w:trPr>
        <w:tc>
          <w:tcPr>
            <w:tcW w:w="200" w:type="dxa"/>
            <w:vAlign w:val="bottom"/>
          </w:tcPr>
          <w:p>
            <w:pPr>
              <w:spacing w:after="0"/>
              <w:rPr>
                <w:sz w:val="20"/>
                <w:szCs w:val="20"/>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79,047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85,334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234,998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246,237</w:t>
            </w:r>
          </w:p>
        </w:tc>
      </w:tr>
      <w:tr>
        <w:trPr>
          <w:trHeight w:val="30"/>
        </w:trPr>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275,927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286,816</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824,104</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838,519</w:t>
            </w:r>
          </w:p>
        </w:tc>
      </w:tr>
      <w:tr>
        <w:trPr>
          <w:trHeight w:val="30"/>
        </w:trPr>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-642620</wp:posOffset>
            </wp:positionV>
            <wp:extent cx="5499735" cy="160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99735" cy="16065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-328930</wp:posOffset>
            </wp:positionV>
            <wp:extent cx="5499735" cy="153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99735" cy="15303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-14605</wp:posOffset>
            </wp:positionV>
            <wp:extent cx="5499735" cy="175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99735" cy="17589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314325</wp:posOffset>
            </wp:positionV>
            <wp:extent cx="5499735" cy="153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99735" cy="15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41"/>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0"/>
        </w:trPr>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30"/>
        </w:trPr>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28"/>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41"/>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30"/>
        </w:trPr>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0.8 %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30"/>
        </w:trPr>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28"/>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41"/>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30"/>
        </w:trPr>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30"/>
        </w:trPr>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82"/>
        </w:trPr>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32,633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31,898</w:t>
            </w:r>
          </w:p>
        </w:tc>
        <w:tc>
          <w:tcPr>
            <w:tcW w:w="8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94,676</w:t>
            </w:r>
          </w:p>
        </w:tc>
        <w:tc>
          <w:tcPr>
            <w:tcW w:w="10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80,385</w:t>
            </w:r>
          </w:p>
        </w:tc>
      </w:tr>
      <w:tr>
        <w:trPr>
          <w:trHeight w:val="241"/>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5,120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6,012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17,615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21,690</w:t>
            </w:r>
          </w:p>
        </w:tc>
      </w:tr>
      <w:tr>
        <w:trPr>
          <w:trHeight w:val="30"/>
        </w:trPr>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37,753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37,910</w:t>
            </w:r>
          </w:p>
        </w:tc>
        <w:tc>
          <w:tcPr>
            <w:tcW w:w="80" w:type="dxa"/>
            <w:vAlign w:val="bottom"/>
          </w:tcPr>
          <w:p>
            <w:pPr>
              <w:spacing w:after="0"/>
              <w:rPr>
                <w:sz w:val="16"/>
                <w:szCs w:val="16"/>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112,291</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102,075</w:t>
            </w:r>
          </w:p>
        </w:tc>
      </w:tr>
      <w:tr>
        <w:trPr>
          <w:trHeight w:val="30"/>
        </w:trPr>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28"/>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15.8 %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16.1 %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13.6 %</w:t>
            </w:r>
          </w:p>
        </w:tc>
      </w:tr>
      <w:tr>
        <w:trPr>
          <w:trHeight w:val="241"/>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8.8 %</w:t>
            </w:r>
          </w:p>
        </w:tc>
      </w:tr>
      <w:tr>
        <w:trPr>
          <w:trHeight w:val="30"/>
        </w:trPr>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13.6 %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12.2 %</w:t>
            </w:r>
          </w:p>
        </w:tc>
      </w:tr>
      <w:tr>
        <w:trPr>
          <w:trHeight w:val="30"/>
        </w:trPr>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501"/>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 April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w w:val="99"/>
              </w:rPr>
              <w:t>Nine months ended April 30,</w:t>
            </w:r>
          </w:p>
        </w:tc>
      </w:tr>
      <w:tr>
        <w:trPr>
          <w:trHeight w:val="30"/>
        </w:trPr>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3"/>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2016</w:t>
            </w:r>
          </w:p>
        </w:tc>
      </w:tr>
      <w:tr>
        <w:trPr>
          <w:trHeight w:val="30"/>
        </w:trPr>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37,753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37,910</w:t>
            </w:r>
          </w:p>
        </w:tc>
        <w:tc>
          <w:tcPr>
            <w:tcW w:w="80" w:type="dxa"/>
            <w:vAlign w:val="bottom"/>
          </w:tcPr>
          <w:p>
            <w:pPr>
              <w:spacing w:after="0"/>
              <w:rPr>
                <w:sz w:val="16"/>
                <w:szCs w:val="16"/>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112,291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102,075</w:t>
            </w:r>
          </w:p>
        </w:tc>
      </w:tr>
      <w:tr>
        <w:trPr>
          <w:trHeight w:val="482"/>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(6,203)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(17,571)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(17,600)</w:t>
            </w:r>
          </w:p>
        </w:tc>
      </w:tr>
      <w:tr>
        <w:trPr>
          <w:trHeight w:val="241"/>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(1,030)</w:t>
            </w:r>
          </w:p>
        </w:tc>
      </w:tr>
      <w:tr>
        <w:trPr>
          <w:trHeight w:val="241"/>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(1,375)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(6,119)</w:t>
            </w:r>
          </w:p>
        </w:tc>
      </w:tr>
      <w:tr>
        <w:trPr>
          <w:trHeight w:val="30"/>
        </w:trPr>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30,628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29,667</w:t>
            </w:r>
          </w:p>
        </w:tc>
        <w:tc>
          <w:tcPr>
            <w:tcW w:w="80" w:type="dxa"/>
            <w:vAlign w:val="bottom"/>
          </w:tcPr>
          <w:p>
            <w:pPr>
              <w:spacing w:after="0"/>
              <w:rPr>
                <w:sz w:val="16"/>
                <w:szCs w:val="16"/>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90,715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77,326</w:t>
            </w:r>
          </w:p>
        </w:tc>
      </w:tr>
      <w:tr>
        <w:trPr>
          <w:trHeight w:val="30"/>
        </w:trPr>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-4487545</wp:posOffset>
            </wp:positionV>
            <wp:extent cx="5499735" cy="153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99735" cy="15303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-4173855</wp:posOffset>
            </wp:positionV>
            <wp:extent cx="5499735" cy="168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99735" cy="16827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-3851910</wp:posOffset>
            </wp:positionV>
            <wp:extent cx="5499735" cy="153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99735" cy="15303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-3538220</wp:posOffset>
            </wp:positionV>
            <wp:extent cx="5499735" cy="168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99735" cy="16827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-3216275</wp:posOffset>
            </wp:positionV>
            <wp:extent cx="5499735" cy="153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99735" cy="15303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-2902585</wp:posOffset>
            </wp:positionV>
            <wp:extent cx="5499735" cy="175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99735" cy="17589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-2573020</wp:posOffset>
            </wp:positionV>
            <wp:extent cx="5499735" cy="153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99735" cy="15303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-2266315</wp:posOffset>
            </wp:positionV>
            <wp:extent cx="5499735" cy="160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99735" cy="16065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-1937385</wp:posOffset>
            </wp:positionV>
            <wp:extent cx="5499735" cy="153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99735" cy="15303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-1630680</wp:posOffset>
            </wp:positionV>
            <wp:extent cx="5499735" cy="160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99735" cy="16065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-941705</wp:posOffset>
            </wp:positionV>
            <wp:extent cx="5507355" cy="153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07355" cy="15303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-635000</wp:posOffset>
            </wp:positionV>
            <wp:extent cx="5507355" cy="153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07355" cy="15303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-328930</wp:posOffset>
            </wp:positionV>
            <wp:extent cx="5507355" cy="153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ectPr>
          <w:pgSz w:w="11900" w:h="16838" w:orient="portrait"/>
          <w:cols w:equalWidth="0" w:num="2">
            <w:col w:w="3140" w:space="640"/>
            <w:col w:w="6439"/>
          </w:cols>
          <w:pgMar w:left="240" w:top="537" w:right="1440"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35"/>
    </w:lvl>
  </w:abstractNum>
  <w:abstractNum w:abstractNumId="3">
    <w:nsid w:val="507ED7AB"/>
    <w:multiLevelType w:val="hybridMultilevel"/>
    <w:lvl w:ilvl="0">
      <w:lvlJc w:val="left"/>
      <w:lvlText w:val="\emdash "/>
      <w:numFmt w:val="bullet"/>
      <w:start w:val="1"/>
    </w:lvl>
  </w:abstractNum>
  <w:abstractNum w:abstractNumId="4">
    <w:nsid w:val="2EB141F2"/>
    <w:multiLevelType w:val="hybridMultilevel"/>
    <w:lvl w:ilvl="0">
      <w:lvlJc w:val="left"/>
      <w:lvlText w:val="%1"/>
      <w:numFmt w:val="decimal"/>
      <w:start w:val="38"/>
    </w:lvl>
  </w:abstractNum>
  <w:abstractNum w:abstractNumId="5">
    <w:nsid w:val="41B71EFB"/>
    <w:multiLevelType w:val="hybridMultilevel"/>
    <w:lvl w:ilvl="0">
      <w:lvlJc w:val="left"/>
      <w:lvlText w:val="\emdash "/>
      <w:numFmt w:val="bullet"/>
      <w:start w:val="1"/>
    </w:lvl>
  </w:abstractNum>
  <w:abstractNum w:abstractNumId="6">
    <w:nsid w:val="79E2A9E3"/>
    <w:multiLevelType w:val="hybridMultilevel"/>
    <w:lvl w:ilvl="0">
      <w:lvlJc w:val="left"/>
      <w:lvlText w:val="\emdash "/>
      <w:numFmt w:val="bullet"/>
      <w:start w:val="1"/>
    </w:lvl>
  </w:abstractNum>
  <w:abstractNum w:abstractNumId="7">
    <w:nsid w:val="7545E146"/>
    <w:multiLevelType w:val="hybridMultilevel"/>
    <w:lvl w:ilvl="0">
      <w:lvlJc w:val="left"/>
      <w:lvlText w:val="(%1)"/>
      <w:numFmt w:val="decimal"/>
      <w:start w:val="5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2019-12-05T12:10:21Z</dcterms:created>
  <dcterms:modified xsi:type="dcterms:W3CDTF">2019-12-05T12:10:21Z</dcterms:modified>
</cp:coreProperties>
</file>