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147955</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139065</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5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5380" w:type="dxa"/>
            <w:vAlign w:val="bottom"/>
          </w:tcPr>
          <w:p>
            <w:pPr>
              <w:jc w:val="right"/>
              <w:ind w:right="2299"/>
              <w:spacing w:after="0"/>
              <w:rPr>
                <w:sz w:val="20"/>
                <w:szCs w:val="20"/>
                <w:color w:val="auto"/>
              </w:rPr>
            </w:pPr>
            <w:r>
              <w:rPr>
                <w:rFonts w:ascii="Times New Roman" w:cs="Times New Roman" w:eastAsia="Times New Roman" w:hAnsi="Times New Roman"/>
                <w:sz w:val="18"/>
                <w:szCs w:val="18"/>
                <w:b w:val="1"/>
                <w:bCs w:val="1"/>
                <w:color w:val="auto"/>
              </w:rPr>
              <w:t>1-14959</w:t>
            </w:r>
          </w:p>
        </w:tc>
      </w:tr>
      <w:tr>
        <w:trPr>
          <w:trHeight w:val="182"/>
        </w:trPr>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60" w:type="dxa"/>
            <w:vAlign w:val="bottom"/>
          </w:tcPr>
          <w:p>
            <w:pPr>
              <w:spacing w:after="0"/>
              <w:rPr>
                <w:sz w:val="15"/>
                <w:szCs w:val="15"/>
                <w:color w:val="auto"/>
              </w:rPr>
            </w:pPr>
          </w:p>
        </w:tc>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r>
      <w:tr>
        <w:trPr>
          <w:trHeight w:val="842"/>
        </w:trPr>
        <w:tc>
          <w:tcPr>
            <w:tcW w:w="5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5380" w:type="dxa"/>
            <w:vAlign w:val="bottom"/>
          </w:tcPr>
          <w:p>
            <w:pPr>
              <w:spacing w:after="0"/>
              <w:rPr>
                <w:sz w:val="24"/>
                <w:szCs w:val="24"/>
                <w:color w:val="auto"/>
              </w:rPr>
            </w:pPr>
          </w:p>
        </w:tc>
      </w:tr>
      <w:tr>
        <w:trPr>
          <w:trHeight w:val="238"/>
        </w:trPr>
        <w:tc>
          <w:tcPr>
            <w:tcW w:w="5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Milwaukee, Wisconsin</w:t>
            </w:r>
          </w:p>
        </w:tc>
        <w:tc>
          <w:tcPr>
            <w:tcW w:w="5380" w:type="dxa"/>
            <w:vAlign w:val="bottom"/>
          </w:tcPr>
          <w:p>
            <w:pPr>
              <w:jc w:val="right"/>
              <w:ind w:right="2379"/>
              <w:spacing w:after="0"/>
              <w:rPr>
                <w:sz w:val="20"/>
                <w:szCs w:val="20"/>
                <w:color w:val="auto"/>
              </w:rPr>
            </w:pPr>
            <w:r>
              <w:rPr>
                <w:rFonts w:ascii="Times New Roman" w:cs="Times New Roman" w:eastAsia="Times New Roman" w:hAnsi="Times New Roman"/>
                <w:sz w:val="18"/>
                <w:szCs w:val="18"/>
                <w:b w:val="1"/>
                <w:bCs w:val="1"/>
                <w:color w:val="auto"/>
              </w:rPr>
              <w:t>53223</w:t>
            </w:r>
          </w:p>
        </w:tc>
      </w:tr>
      <w:tr>
        <w:trPr>
          <w:trHeight w:val="182"/>
        </w:trPr>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0" w:type="dxa"/>
            <w:vAlign w:val="bottom"/>
          </w:tcPr>
          <w:p>
            <w:pPr>
              <w:spacing w:after="0"/>
              <w:rPr>
                <w:sz w:val="15"/>
                <w:szCs w:val="15"/>
                <w:color w:val="auto"/>
              </w:rPr>
            </w:pPr>
          </w:p>
        </w:tc>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Andrew T. Gorman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(414) 358-6600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93" w:lineRule="exact"/>
        <w:rPr>
          <w:sz w:val="24"/>
          <w:szCs w:val="24"/>
          <w:color w:val="auto"/>
        </w:rPr>
      </w:pPr>
    </w:p>
    <w:p>
      <w:pPr>
        <w:ind w:left="500" w:right="3760" w:hanging="474"/>
        <w:spacing w:after="0" w:line="266"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2021</w:t>
      </w:r>
    </w:p>
    <w:p>
      <w:pPr>
        <w:spacing w:after="0" w:line="95" w:lineRule="exact"/>
        <w:rPr>
          <w:sz w:val="24"/>
          <w:szCs w:val="24"/>
          <w:color w:val="auto"/>
        </w:rPr>
      </w:pPr>
    </w:p>
    <w:p>
      <w:pPr>
        <w:ind w:left="500" w:hanging="474"/>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w:t>
      </w:r>
    </w:p>
    <w:p>
      <w:pPr>
        <w:spacing w:after="0" w:line="15"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__________.</w:t>
      </w:r>
    </w:p>
    <w:p>
      <w:pPr>
        <w:sectPr>
          <w:pgSz w:w="11900" w:h="16838" w:orient="portrait"/>
          <w:cols w:equalWidth="0" w:num="1">
            <w:col w:w="11220"/>
          </w:cols>
          <w:pgMar w:left="320" w:top="983"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3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Brady Corporation and its subsidiaries (“Brady,” “Company,” “we,” “us,” “our”) have developed and maintain an active initiative to identify sources of materials used in our products that contain metallic forms of tin, tantalum, tungsten or gold (“3TG Minerals” or “Conflict Minerals”), and to determine whether any such materials directly or indirectly fund or benefit armed groups in the Democratic Republic of the Congo (“DRC”) or an adjoining country (the “Covered Countries”). For calendar year 2021, Brady has conducted its reasonable country of origin inquiry (“RCOI”) in good faith for the products manufactured, or contracted to manufacture, by the Company where 3TG Minerals are necessary to the functionality or production of such products. We also conducted due diligence on the source and chain of custody of 3TG Minerals in our supply chain. Based on information received through its RCOI and due diligence program, Brady does not have evidence that 3TG Minerals used in its products, directly or indirectly, fund the armed groups in the DRC and the Covered Countries. However, our due diligence with our suppliers is ongoing with continuous improvement in our supply chain transparency and responsible sourcing of materials contained in our products.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Through our RCOI described in our Conflict Minerals Report, several suppliers disclosed to us that their only sources of 3TG Minerals were from scrap/recycled materials identified in their supply chains, and, as such, did not require due diligence. Brady has reason to believe that 3TG Minerals used in its products do not solely originate from recycled or scrap sources. This determination is included in the attached Conflict Minerals Report.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Disclosure</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For calendar year 2021, Brady Corporation is filing a Conflict Minerals Report which is attached as Exhibit 1.01 in Item 2.01 and is also publicly available on our website at the below link.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https://www.bradyid.com/corporate/supplier-information</w:t>
      </w:r>
    </w:p>
    <w:p>
      <w:pPr>
        <w:spacing w:after="0" w:line="289"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2.01</w:t>
        <w:tab/>
        <w:t>Resource Extraction Issuer Disclosure and Report</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 Conflict Minerals Report as required by Items 1.01 and 1.02 of this Form SD for calendar year ended December 31, 2021.</w:t>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BRADY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377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AARON J. PEARCE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19, 2022</w:t>
            </w:r>
          </w:p>
        </w:tc>
      </w:tr>
      <w:tr>
        <w:trPr>
          <w:trHeight w:val="218"/>
        </w:trPr>
        <w:tc>
          <w:tcPr>
            <w:tcW w:w="5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Aaron J. Pearce</w:t>
            </w:r>
          </w:p>
        </w:tc>
        <w:tc>
          <w:tcPr>
            <w:tcW w:w="1340" w:type="dxa"/>
            <w:vAlign w:val="bottom"/>
          </w:tcPr>
          <w:p>
            <w:pPr>
              <w:spacing w:after="0"/>
              <w:rPr>
                <w:sz w:val="18"/>
                <w:szCs w:val="18"/>
                <w:color w:val="auto"/>
              </w:rPr>
            </w:pPr>
          </w:p>
        </w:tc>
        <w:tc>
          <w:tcPr>
            <w:tcW w:w="4540" w:type="dxa"/>
            <w:vAlign w:val="bottom"/>
            <w:tcBorders>
              <w:top w:val="single" w:sz="8" w:color="auto"/>
            </w:tcBorders>
          </w:tcPr>
          <w:p>
            <w:pPr>
              <w:spacing w:after="0"/>
              <w:rPr>
                <w:sz w:val="18"/>
                <w:szCs w:val="18"/>
                <w:color w:val="auto"/>
              </w:rPr>
            </w:pPr>
          </w:p>
        </w:tc>
      </w:tr>
      <w:tr>
        <w:trPr>
          <w:trHeight w:val="234"/>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4540" w:type="dxa"/>
            <w:vAlign w:val="bottom"/>
          </w:tcPr>
          <w:p>
            <w:pPr>
              <w:spacing w:after="0"/>
              <w:rPr>
                <w:sz w:val="20"/>
                <w:szCs w:val="20"/>
                <w:color w:val="auto"/>
              </w:rPr>
            </w:pPr>
          </w:p>
        </w:tc>
      </w:tr>
    </w:tbl>
    <w:p>
      <w:pPr>
        <w:sectPr>
          <w:pgSz w:w="11900" w:h="16838" w:orient="portrait"/>
          <w:cols w:equalWidth="0" w:num="1">
            <w:col w:w="11240"/>
          </w:cols>
          <w:pgMar w:left="320" w:top="1130" w:right="339" w:bottom="1440" w:gutter="0" w:footer="0" w:header="0"/>
        </w:sectPr>
      </w:pPr>
    </w:p>
    <w:bookmarkStart w:id="3" w:name="page4"/>
    <w:bookmarkEnd w:id="3"/>
    <w:p>
      <w:pPr>
        <w:ind w:left="97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9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Brady Corporation</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200" w:lineRule="exact"/>
        <w:rPr>
          <w:sz w:val="20"/>
          <w:szCs w:val="20"/>
          <w:color w:val="auto"/>
        </w:rPr>
      </w:pPr>
    </w:p>
    <w:p>
      <w:pPr>
        <w:spacing w:after="0" w:line="273" w:lineRule="exact"/>
        <w:rPr>
          <w:sz w:val="20"/>
          <w:szCs w:val="20"/>
          <w:color w:val="auto"/>
        </w:rPr>
      </w:pPr>
    </w:p>
    <w:p>
      <w:pPr>
        <w:ind w:left="400" w:hanging="378"/>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56" w:lineRule="exact"/>
        <w:rPr>
          <w:rFonts w:ascii="Times New Roman" w:cs="Times New Roman" w:eastAsia="Times New Roman" w:hAnsi="Times New Roman"/>
          <w:sz w:val="18"/>
          <w:szCs w:val="18"/>
          <w:b w:val="1"/>
          <w:bCs w:val="1"/>
          <w:color w:val="auto"/>
        </w:rPr>
      </w:pPr>
    </w:p>
    <w:p>
      <w:pPr>
        <w:jc w:val="both"/>
        <w:ind w:left="4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report has been prepared by management of Brady Corporation (hereinafter referred to as “Brady,” the “Company,” “we,” “us,” or “our”) pursuant to Rule 13p-1 under the Securities Exchange Act of 1934 as amended, for the reporting period January 1 to December 31, 2021. The report discusses efforts undertaken by Brady to determine whether our products contain cassiterite, columbite-tantalite, gold, wolframite, or other derivatives, which are limited to metallic forms of tin, tantalum, tungsten and gold (collectively, “3TG Minerals”), and further, to determine whether any such materials directly or indirectly fund or benefit armed groups in the Democratic Republic of the Congo or any adjacent countries</w:t>
      </w:r>
    </w:p>
    <w:p>
      <w:pPr>
        <w:spacing w:after="0" w:line="7" w:lineRule="exact"/>
        <w:rPr>
          <w:rFonts w:ascii="Times New Roman" w:cs="Times New Roman" w:eastAsia="Times New Roman" w:hAnsi="Times New Roman"/>
          <w:sz w:val="18"/>
          <w:szCs w:val="18"/>
          <w:b w:val="1"/>
          <w:bCs w:val="1"/>
          <w:color w:val="auto"/>
        </w:rPr>
      </w:pPr>
    </w:p>
    <w:p>
      <w:pPr>
        <w:ind w:left="4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(“Covered Countries”). The scope of the reasonable country of origin inquiry (“RCOI”) and due diligence efforts discussed includes products both sourced directly by, and manufactured for Brady in calendar year 2021.</w:t>
      </w:r>
    </w:p>
    <w:p>
      <w:pPr>
        <w:spacing w:after="0" w:line="188" w:lineRule="exact"/>
        <w:rPr>
          <w:rFonts w:ascii="Times New Roman" w:cs="Times New Roman" w:eastAsia="Times New Roman" w:hAnsi="Times New Roman"/>
          <w:sz w:val="18"/>
          <w:szCs w:val="18"/>
          <w:b w:val="1"/>
          <w:bCs w:val="1"/>
          <w:color w:val="auto"/>
        </w:rPr>
      </w:pPr>
    </w:p>
    <w:p>
      <w:pPr>
        <w:ind w:left="4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statements below are based on the activities performed to date in good faith by Brady and are based on information available at the time of this filing.</w:t>
      </w:r>
    </w:p>
    <w:p>
      <w:pPr>
        <w:spacing w:after="0" w:line="229" w:lineRule="exact"/>
        <w:rPr>
          <w:rFonts w:ascii="Times New Roman" w:cs="Times New Roman" w:eastAsia="Times New Roman" w:hAnsi="Times New Roman"/>
          <w:sz w:val="18"/>
          <w:szCs w:val="18"/>
          <w:b w:val="1"/>
          <w:bCs w:val="1"/>
          <w:color w:val="auto"/>
        </w:rPr>
      </w:pPr>
    </w:p>
    <w:p>
      <w:pPr>
        <w:jc w:val="both"/>
        <w:ind w:left="4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Brady manufactures, or contracts to manufacture, products that contain materials or components that use 3TG Minerals. Due to the depth of its supply chain, Brady is far removed from the sources of ore from which these metals are produced and the smelters/refiners that process them. We do not purchase raw ore or unrefined minerals and conduct no purchasing activities directly in the Covered Countries. The efforts undertaken by Brady to identify the country(ies) of origin of those ores reflect our circumstances and position in the supply chain, which is multiple steps removed</w:t>
      </w:r>
    </w:p>
    <w:p>
      <w:pPr>
        <w:spacing w:after="0" w:line="4" w:lineRule="exact"/>
        <w:rPr>
          <w:rFonts w:ascii="Times New Roman" w:cs="Times New Roman" w:eastAsia="Times New Roman" w:hAnsi="Times New Roman"/>
          <w:sz w:val="18"/>
          <w:szCs w:val="18"/>
          <w:b w:val="1"/>
          <w:bCs w:val="1"/>
          <w:color w:val="auto"/>
        </w:rPr>
      </w:pPr>
    </w:p>
    <w:p>
      <w:pPr>
        <w:ind w:left="40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the smelter or mine. The information available globally on the traceability and sourcing of these ores is limited at this time, and this situation is not unique to Brady.</w:t>
      </w:r>
    </w:p>
    <w:p>
      <w:pPr>
        <w:spacing w:after="0" w:line="172" w:lineRule="exact"/>
        <w:rPr>
          <w:sz w:val="20"/>
          <w:szCs w:val="20"/>
          <w:color w:val="auto"/>
        </w:rPr>
      </w:pPr>
    </w:p>
    <w:p>
      <w:pPr>
        <w:ind w:left="400" w:hanging="394"/>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w:t>
      </w:r>
    </w:p>
    <w:p>
      <w:pPr>
        <w:spacing w:after="0" w:line="256"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2021 RCOI began with identifying the products we manufacture or contract to manufacture that have a possibility of containing 3TG Minerals,</w:t>
      </w:r>
    </w:p>
    <w:p>
      <w:pPr>
        <w:spacing w:after="0" w:line="49" w:lineRule="exact"/>
        <w:rPr>
          <w:rFonts w:ascii="Times New Roman" w:cs="Times New Roman" w:eastAsia="Times New Roman" w:hAnsi="Times New Roman"/>
          <w:sz w:val="18"/>
          <w:szCs w:val="18"/>
          <w:b w:val="1"/>
          <w:bCs w:val="1"/>
          <w:color w:val="auto"/>
        </w:rPr>
      </w:pPr>
    </w:p>
    <w:p>
      <w:pPr>
        <w:jc w:val="both"/>
        <w:ind w:left="40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 where 3TG Minerals are required for the functionality or production of such products. In 2021, Brady expanded the scope of the review of its product lines by evaluating new products and their material suppliers during the filing year, and where there was uncertainty about whether a particular product potentially contained 3TG Minerals, it was included in the 2021 inquiries. The potential suppliers of the 3TG Minerals that may</w:t>
      </w:r>
    </w:p>
    <w:p>
      <w:pPr>
        <w:spacing w:after="0" w:line="1" w:lineRule="exact"/>
        <w:rPr>
          <w:rFonts w:ascii="Times New Roman" w:cs="Times New Roman" w:eastAsia="Times New Roman" w:hAnsi="Times New Roman"/>
          <w:sz w:val="18"/>
          <w:szCs w:val="18"/>
          <w:b w:val="1"/>
          <w:bCs w:val="1"/>
          <w:color w:val="auto"/>
        </w:rPr>
      </w:pPr>
    </w:p>
    <w:p>
      <w:pPr>
        <w:ind w:lef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 contained in such products were determined to be “in scope.” The exact nature of the parts and materials identified in our products that may contain 3TG Minerals ranged over a broad spectrum of items, but were heavily concentrated in electronics and workplace safety products.</w:t>
      </w:r>
    </w:p>
    <w:p>
      <w:pPr>
        <w:spacing w:after="0" w:line="188"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Brady conducted its RCOI of those suppliers deemed in scope, using the Conflict Materials Reporting Template (CMRT v 6.1), which is the</w:t>
      </w:r>
    </w:p>
    <w:p>
      <w:pPr>
        <w:spacing w:after="0" w:line="49" w:lineRule="exact"/>
        <w:rPr>
          <w:rFonts w:ascii="Times New Roman" w:cs="Times New Roman" w:eastAsia="Times New Roman" w:hAnsi="Times New Roman"/>
          <w:sz w:val="18"/>
          <w:szCs w:val="18"/>
          <w:b w:val="1"/>
          <w:bCs w:val="1"/>
          <w:color w:val="auto"/>
        </w:rPr>
      </w:pPr>
    </w:p>
    <w:p>
      <w:pPr>
        <w:jc w:val="both"/>
        <w:ind w:left="400"/>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Responsible Minerals Initiative (RMI) reporting template. The supplier responses received were reviewed for completeness and consistency. We also verified “No 3TG content declarations” on a random basis to provide additional assurance of the claims made by suppliers. In certain other</w:t>
      </w:r>
    </w:p>
    <w:p>
      <w:pPr>
        <w:spacing w:after="0" w:line="1" w:lineRule="exact"/>
        <w:rPr>
          <w:rFonts w:ascii="Times New Roman" w:cs="Times New Roman" w:eastAsia="Times New Roman" w:hAnsi="Times New Roman"/>
          <w:sz w:val="18"/>
          <w:szCs w:val="18"/>
          <w:b w:val="1"/>
          <w:bCs w:val="1"/>
          <w:color w:val="auto"/>
        </w:rPr>
      </w:pPr>
    </w:p>
    <w:p>
      <w:pPr>
        <w:ind w:left="40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instances, suppliers were required to provide clarifications or additional detail where responses were incomplete or in need of explanation. Our RCOI process included an escalation procedure seeking information from non-responsive suppliers resulting in 100% in-scope supplier responses.</w:t>
      </w:r>
    </w:p>
    <w:p>
      <w:pPr>
        <w:spacing w:after="0" w:line="216" w:lineRule="exact"/>
        <w:rPr>
          <w:rFonts w:ascii="Times New Roman" w:cs="Times New Roman" w:eastAsia="Times New Roman" w:hAnsi="Times New Roman"/>
          <w:sz w:val="18"/>
          <w:szCs w:val="18"/>
          <w:b w:val="1"/>
          <w:bCs w:val="1"/>
          <w:color w:val="auto"/>
        </w:rPr>
      </w:pPr>
    </w:p>
    <w:p>
      <w:pPr>
        <w:ind w:lef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2021, 227 unique smelters were identified as potentially being part of our supply chain. In addition, Brady undertook due diligence on the identified smelters to determine their status regarding conflict minerals.</w:t>
      </w:r>
    </w:p>
    <w:p>
      <w:pPr>
        <w:spacing w:after="0" w:line="188"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such, we believe our process was reasonably designed and performed in good faith.</w:t>
      </w:r>
    </w:p>
    <w:p>
      <w:pPr>
        <w:spacing w:after="0" w:line="200" w:lineRule="exact"/>
        <w:rPr>
          <w:sz w:val="20"/>
          <w:szCs w:val="20"/>
          <w:color w:val="auto"/>
        </w:rPr>
      </w:pPr>
    </w:p>
    <w:p>
      <w:pPr>
        <w:spacing w:after="0" w:line="36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500" w:top="887" w:right="339" w:bottom="1440" w:gutter="0" w:footer="0" w:header="0"/>
        </w:sectPr>
      </w:pPr>
    </w:p>
    <w:bookmarkStart w:id="4" w:name="page5"/>
    <w:bookmarkEnd w:id="4"/>
    <w:p>
      <w:pPr>
        <w:ind w:left="380" w:hanging="374"/>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 of Due Diligence Measures</w:t>
      </w:r>
    </w:p>
    <w:p>
      <w:pPr>
        <w:spacing w:after="0" w:line="256" w:lineRule="exact"/>
        <w:rPr>
          <w:rFonts w:ascii="Times New Roman" w:cs="Times New Roman" w:eastAsia="Times New Roman" w:hAnsi="Times New Roman"/>
          <w:sz w:val="18"/>
          <w:szCs w:val="18"/>
          <w:b w:val="1"/>
          <w:bCs w:val="1"/>
          <w:color w:val="auto"/>
        </w:rPr>
      </w:pPr>
    </w:p>
    <w:p>
      <w:pPr>
        <w:jc w:val="both"/>
        <w:ind w:lef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Brady designed its 3TG Minerals compliance procedures based on, and in conformity with, the five step framework the OECD Due Diligence Guidance for Responsible Supply Chains of Minerals from Conflict-Affected and High-Risk Areas: Third Edition, and related supplements on tin, tungsten, tantalum, and the supplement on gold, as these relate to our position in the supply chain as a downstream user.</w:t>
      </w:r>
    </w:p>
    <w:p>
      <w:pPr>
        <w:spacing w:after="0" w:line="202"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1: Establish strong company management systems</w:t>
      </w:r>
    </w:p>
    <w:p>
      <w:pPr>
        <w:spacing w:after="0" w:line="27"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2: Identify and assess risks in the supply chain</w:t>
      </w:r>
    </w:p>
    <w:p>
      <w:pPr>
        <w:spacing w:after="0" w:line="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4: Support independent third-party audits of smelter/refiner's due diligence practices</w:t>
      </w:r>
    </w:p>
    <w:p>
      <w:pPr>
        <w:spacing w:after="0" w:line="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5: Report annually on supply chain due diligence</w:t>
      </w:r>
    </w:p>
    <w:p>
      <w:pPr>
        <w:spacing w:after="0" w:line="22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Measures Performed by Brady Corporation</w:t>
      </w:r>
    </w:p>
    <w:p>
      <w:pPr>
        <w:spacing w:after="0" w:line="22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are the due diligence measures performed by Brady with respect to the reporting year:</w:t>
      </w:r>
    </w:p>
    <w:p>
      <w:pPr>
        <w:spacing w:after="0" w:line="248" w:lineRule="exact"/>
        <w:rPr>
          <w:rFonts w:ascii="Times New Roman" w:cs="Times New Roman" w:eastAsia="Times New Roman" w:hAnsi="Times New Roman"/>
          <w:sz w:val="18"/>
          <w:szCs w:val="18"/>
          <w:b w:val="1"/>
          <w:bCs w:val="1"/>
          <w:color w:val="auto"/>
        </w:rPr>
      </w:pPr>
    </w:p>
    <w:p>
      <w:pPr>
        <w:ind w:left="800" w:hanging="405"/>
        <w:spacing w:after="0"/>
        <w:tabs>
          <w:tab w:leader="none" w:pos="80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1-Maintain strong company management systems</w:t>
      </w:r>
    </w:p>
    <w:p>
      <w:pPr>
        <w:spacing w:after="0" w:line="256" w:lineRule="exact"/>
        <w:rPr>
          <w:rFonts w:ascii="Times New Roman" w:cs="Times New Roman" w:eastAsia="Times New Roman" w:hAnsi="Times New Roman"/>
          <w:sz w:val="18"/>
          <w:szCs w:val="18"/>
          <w:b w:val="1"/>
          <w:bCs w:val="1"/>
          <w:color w:val="auto"/>
        </w:rPr>
      </w:pPr>
    </w:p>
    <w:p>
      <w:pPr>
        <w:ind w:left="1120" w:right="220" w:hanging="320"/>
        <w:spacing w:after="0" w:line="260" w:lineRule="auto"/>
        <w:tabs>
          <w:tab w:leader="none" w:pos="1116" w:val="left"/>
        </w:tabs>
        <w:numPr>
          <w:ilvl w:val="3"/>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Brady maintains an internal conflict minerals team involving sourcing and global product compliance staff. The focus of this team is to implement our conflict minerals program and ensure compliance.</w:t>
      </w:r>
    </w:p>
    <w:p>
      <w:pPr>
        <w:spacing w:after="0" w:line="1" w:lineRule="exact"/>
        <w:rPr>
          <w:rFonts w:ascii="Arial" w:cs="Arial" w:eastAsia="Arial" w:hAnsi="Arial"/>
          <w:sz w:val="18"/>
          <w:szCs w:val="18"/>
          <w:color w:val="auto"/>
        </w:rPr>
      </w:pPr>
    </w:p>
    <w:p>
      <w:pPr>
        <w:ind w:left="1120" w:right="120" w:hanging="320"/>
        <w:spacing w:after="0" w:line="25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maintains a Conflict Minerals Policy, which is available on our company website (see link below) in addition to our due diligence process for assessing the chain of custody of 3TG Minerals.</w:t>
      </w: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https://www.bradyid.com/corporate/supplier-information</w:t>
      </w:r>
    </w:p>
    <w:p>
      <w:pPr>
        <w:spacing w:after="0" w:line="9" w:lineRule="exact"/>
        <w:rPr>
          <w:rFonts w:ascii="Times New Roman" w:cs="Times New Roman" w:eastAsia="Times New Roman" w:hAnsi="Times New Roman"/>
          <w:sz w:val="18"/>
          <w:szCs w:val="18"/>
          <w:color w:val="auto"/>
        </w:rPr>
      </w:pPr>
    </w:p>
    <w:p>
      <w:pPr>
        <w:ind w:left="1120" w:right="540" w:hanging="320"/>
        <w:spacing w:after="0" w:line="25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engagement – Brady conducted internal training to educate relevant employees in our conflict minerals program including reporting obligations.</w:t>
      </w:r>
    </w:p>
    <w:p>
      <w:pPr>
        <w:ind w:left="1120" w:hanging="320"/>
        <w:spacing w:after="0"/>
        <w:tabs>
          <w:tab w:leader="none" w:pos="112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engagement – Brady communicated the requirements of the conflict minerals rule to its suppliers regarding 3TG Minerals.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minerals team reports on our conflict minerals program to relevant business leaders and the head of Global Compliance.</w:t>
      </w:r>
    </w:p>
    <w:p>
      <w:pPr>
        <w:spacing w:after="0" w:line="9" w:lineRule="exact"/>
        <w:rPr>
          <w:rFonts w:ascii="Times New Roman" w:cs="Times New Roman" w:eastAsia="Times New Roman" w:hAnsi="Times New Roman"/>
          <w:sz w:val="18"/>
          <w:szCs w:val="18"/>
          <w:color w:val="auto"/>
        </w:rPr>
      </w:pPr>
    </w:p>
    <w:p>
      <w:pPr>
        <w:ind w:left="1120" w:right="80" w:hanging="320"/>
        <w:spacing w:after="0" w:line="25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mechanism to enable the reporting of and response to any customer facing questions related to conflict minerals and other supply chain matters.</w:t>
      </w:r>
    </w:p>
    <w:p>
      <w:pPr>
        <w:ind w:left="1120" w:right="860" w:hanging="320"/>
        <w:spacing w:after="0" w:line="26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retain conflict minerals program documentation in accordance with the Company’s existing corporate retention policy and procedures.</w:t>
      </w:r>
    </w:p>
    <w:p>
      <w:pPr>
        <w:spacing w:after="0" w:line="204"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2-Identify and assess risk in the supply chain</w:t>
      </w:r>
    </w:p>
    <w:p>
      <w:pPr>
        <w:spacing w:after="0" w:line="256" w:lineRule="exact"/>
        <w:rPr>
          <w:rFonts w:ascii="Times New Roman" w:cs="Times New Roman" w:eastAsia="Times New Roman" w:hAnsi="Times New Roman"/>
          <w:sz w:val="18"/>
          <w:szCs w:val="18"/>
          <w:b w:val="1"/>
          <w:bCs w:val="1"/>
          <w:color w:val="auto"/>
        </w:rPr>
      </w:pPr>
    </w:p>
    <w:p>
      <w:pPr>
        <w:ind w:left="1120" w:hanging="320"/>
        <w:spacing w:after="0" w:line="261"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Brady conflict minerals team conducted a detailed review of the products manufactured or contracted to be manufactured during the reporting year 2021 to identify products that may be in scope of the rule.</w:t>
      </w:r>
    </w:p>
    <w:p>
      <w:pPr>
        <w:ind w:left="1120" w:hanging="320"/>
        <w:spacing w:after="0"/>
        <w:tabs>
          <w:tab w:leader="none" w:pos="112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identified the direct suppliers of products or components that may contain 3TG Minerals.</w:t>
      </w:r>
    </w:p>
    <w:p>
      <w:pPr>
        <w:spacing w:after="0" w:line="9" w:lineRule="exact"/>
        <w:rPr>
          <w:rFonts w:ascii="Times New Roman" w:cs="Times New Roman" w:eastAsia="Times New Roman" w:hAnsi="Times New Roman"/>
          <w:sz w:val="18"/>
          <w:szCs w:val="18"/>
          <w:color w:val="auto"/>
        </w:rPr>
      </w:pPr>
    </w:p>
    <w:p>
      <w:pPr>
        <w:jc w:val="both"/>
        <w:ind w:left="1120" w:hanging="320"/>
        <w:spacing w:after="0" w:line="25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conducted supply chain surveys of the in scope suppliers using the industry-developed CMRT and requested that suppliers conduct their own 3TG Mineral inquiries to identify smelters and refineries as well as the country of origin of 3TG Minerals in products that are supplied to Brady.</w:t>
      </w:r>
    </w:p>
    <w:p>
      <w:pPr>
        <w:spacing w:after="0" w:line="1"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followed up with non-responding direct suppliers and also worked to clarify and validate the responses from the suppliers.</w:t>
      </w:r>
    </w:p>
    <w:p>
      <w:pPr>
        <w:spacing w:after="0" w:line="9" w:lineRule="exact"/>
        <w:rPr>
          <w:rFonts w:ascii="Times New Roman" w:cs="Times New Roman" w:eastAsia="Times New Roman" w:hAnsi="Times New Roman"/>
          <w:sz w:val="18"/>
          <w:szCs w:val="18"/>
          <w:color w:val="auto"/>
        </w:rPr>
      </w:pPr>
    </w:p>
    <w:p>
      <w:pPr>
        <w:ind w:left="1120" w:hanging="320"/>
        <w:spacing w:after="0" w:line="26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smelter listings supplied by responding suppliers with the RMI list of validated conflict free and verified facilities. Further smelter confirmation was conducted using a commercially available smelter verification service.</w:t>
      </w:r>
    </w:p>
    <w:p>
      <w:pPr>
        <w:spacing w:after="0" w:line="204"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3-Design and implement a strategy to respond to identified risks</w:t>
      </w:r>
    </w:p>
    <w:p>
      <w:pPr>
        <w:spacing w:after="0" w:line="256" w:lineRule="exact"/>
        <w:rPr>
          <w:rFonts w:ascii="Times New Roman" w:cs="Times New Roman" w:eastAsia="Times New Roman" w:hAnsi="Times New Roman"/>
          <w:sz w:val="18"/>
          <w:szCs w:val="18"/>
          <w:b w:val="1"/>
          <w:bCs w:val="1"/>
          <w:color w:val="auto"/>
        </w:rPr>
      </w:pPr>
    </w:p>
    <w:p>
      <w:pPr>
        <w:ind w:left="1120" w:hanging="320"/>
        <w:spacing w:after="0" w:line="282" w:lineRule="auto"/>
        <w:tabs>
          <w:tab w:leader="none" w:pos="113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has a risk management plan that addresses known issues with suppliers that do not meet the requirements of Brady’s corporate sourcing policy.</w:t>
      </w:r>
    </w:p>
    <w:p>
      <w:pPr>
        <w:spacing w:after="0" w:line="200" w:lineRule="exact"/>
        <w:rPr>
          <w:sz w:val="20"/>
          <w:szCs w:val="20"/>
          <w:color w:val="auto"/>
        </w:rPr>
      </w:pPr>
    </w:p>
    <w:p>
      <w:pPr>
        <w:spacing w:after="0" w:line="29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500" w:top="1130" w:right="339" w:bottom="1440" w:gutter="0" w:footer="0" w:header="0"/>
        </w:sectPr>
      </w:pPr>
    </w:p>
    <w:bookmarkStart w:id="5" w:name="page6"/>
    <w:bookmarkEnd w:id="5"/>
    <w:p>
      <w:pPr>
        <w:ind w:left="1120" w:hanging="320"/>
        <w:spacing w:after="0" w:line="282" w:lineRule="auto"/>
        <w:tabs>
          <w:tab w:leader="none" w:pos="114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minerals team reports to relevant business leaders and the head of Global Compliance on the status of direct supplier responses.</w:t>
      </w:r>
    </w:p>
    <w:p>
      <w:pPr>
        <w:spacing w:after="0" w:line="184"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4-Support independent third-party audits of smelter/refiners' due diligence practices</w:t>
      </w:r>
    </w:p>
    <w:p>
      <w:pPr>
        <w:spacing w:after="0" w:line="256" w:lineRule="exact"/>
        <w:rPr>
          <w:rFonts w:ascii="Times New Roman" w:cs="Times New Roman" w:eastAsia="Times New Roman" w:hAnsi="Times New Roman"/>
          <w:sz w:val="18"/>
          <w:szCs w:val="18"/>
          <w:b w:val="1"/>
          <w:bCs w:val="1"/>
          <w:color w:val="auto"/>
        </w:rPr>
      </w:pPr>
    </w:p>
    <w:p>
      <w:pPr>
        <w:jc w:val="both"/>
        <w:ind w:left="1120" w:hanging="320"/>
        <w:spacing w:after="0" w:line="257" w:lineRule="auto"/>
        <w:tabs>
          <w:tab w:leader="none" w:pos="113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relies on RMI’s published lists of smelters and refiners that have been audited by various industry groups. Brady is many steps removed from the mining of 3TG Minerals. We do not purchase raw ore or unrefined 3TG Minerals, and we do not conduct any purchasing activities in the Covered Countries.</w:t>
      </w:r>
    </w:p>
    <w:p>
      <w:pPr>
        <w:spacing w:after="0" w:line="1" w:lineRule="exact"/>
        <w:rPr>
          <w:rFonts w:ascii="Times New Roman" w:cs="Times New Roman" w:eastAsia="Times New Roman" w:hAnsi="Times New Roman"/>
          <w:sz w:val="18"/>
          <w:szCs w:val="18"/>
          <w:color w:val="auto"/>
        </w:rPr>
      </w:pPr>
    </w:p>
    <w:p>
      <w:pPr>
        <w:ind w:left="1120" w:hanging="320"/>
        <w:spacing w:after="0" w:line="260" w:lineRule="auto"/>
        <w:tabs>
          <w:tab w:leader="none" w:pos="111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supported the development and implementation of independent third-party audits of smelters/refiners through our Conflict Minerals Policy and procurement practices, which encourage suppliers to purchase materials from audited smelters/refiners.</w:t>
      </w:r>
    </w:p>
    <w:p>
      <w:pPr>
        <w:spacing w:after="0" w:line="204"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5-Report on supply chain due diligence</w:t>
      </w:r>
    </w:p>
    <w:p>
      <w:pPr>
        <w:spacing w:after="0" w:line="269" w:lineRule="exact"/>
        <w:rPr>
          <w:rFonts w:ascii="Times New Roman" w:cs="Times New Roman" w:eastAsia="Times New Roman" w:hAnsi="Times New Roman"/>
          <w:sz w:val="18"/>
          <w:szCs w:val="18"/>
          <w:b w:val="1"/>
          <w:bCs w:val="1"/>
          <w:color w:val="auto"/>
        </w:rPr>
      </w:pPr>
    </w:p>
    <w:p>
      <w:pPr>
        <w:ind w:left="1120" w:right="3600" w:hanging="320"/>
        <w:spacing w:after="0" w:line="509" w:lineRule="auto"/>
        <w:tabs>
          <w:tab w:leader="none" w:pos="1109" w:val="left"/>
        </w:tabs>
        <w:numPr>
          <w:ilvl w:val="1"/>
          <w:numId w:val="6"/>
        </w:numPr>
        <w:rPr>
          <w:rFonts w:ascii="Arial" w:cs="Arial" w:eastAsia="Arial" w:hAnsi="Arial"/>
          <w:sz w:val="20"/>
          <w:szCs w:val="20"/>
          <w:color w:val="auto"/>
        </w:rPr>
      </w:pPr>
      <w:r>
        <w:rPr>
          <w:rFonts w:ascii="Times New Roman" w:cs="Times New Roman" w:eastAsia="Times New Roman" w:hAnsi="Times New Roman"/>
          <w:sz w:val="18"/>
          <w:szCs w:val="18"/>
          <w:color w:val="auto"/>
        </w:rPr>
        <w:t xml:space="preserve">Brady has publicly communicated its Conflict Minerals Policy on our company website. </w:t>
      </w:r>
      <w:r>
        <w:rPr>
          <w:rFonts w:ascii="Times New Roman" w:cs="Times New Roman" w:eastAsia="Times New Roman" w:hAnsi="Times New Roman"/>
          <w:sz w:val="18"/>
          <w:szCs w:val="18"/>
          <w:u w:val="single" w:color="auto"/>
          <w:color w:val="0000FF"/>
        </w:rPr>
        <w:t>https://www.bradyid.com/corporate/supplier-information</w:t>
      </w:r>
    </w:p>
    <w:p>
      <w:pPr>
        <w:spacing w:after="0" w:line="18" w:lineRule="exact"/>
        <w:rPr>
          <w:rFonts w:ascii="Arial" w:cs="Arial" w:eastAsia="Arial" w:hAnsi="Arial"/>
          <w:sz w:val="20"/>
          <w:szCs w:val="20"/>
          <w:color w:val="auto"/>
        </w:rPr>
      </w:pPr>
    </w:p>
    <w:p>
      <w:pPr>
        <w:ind w:left="1120" w:right="1300" w:hanging="320"/>
        <w:spacing w:after="0" w:line="502" w:lineRule="auto"/>
        <w:tabs>
          <w:tab w:leader="none" w:pos="1109" w:val="left"/>
        </w:tabs>
        <w:numPr>
          <w:ilvl w:val="1"/>
          <w:numId w:val="6"/>
        </w:numPr>
        <w:rPr>
          <w:rFonts w:ascii="Arial" w:cs="Arial" w:eastAsia="Arial" w:hAnsi="Arial"/>
          <w:sz w:val="20"/>
          <w:szCs w:val="20"/>
          <w:color w:val="auto"/>
        </w:rPr>
      </w:pPr>
      <w:r>
        <w:rPr>
          <w:rFonts w:ascii="Times New Roman" w:cs="Times New Roman" w:eastAsia="Times New Roman" w:hAnsi="Times New Roman"/>
          <w:sz w:val="18"/>
          <w:szCs w:val="18"/>
          <w:color w:val="auto"/>
        </w:rPr>
        <w:t xml:space="preserve">Brady’s Form SD and Conflict Minerals Report were filed with the SEC and are also available on our company website. </w:t>
      </w:r>
      <w:r>
        <w:rPr>
          <w:rFonts w:ascii="Times New Roman" w:cs="Times New Roman" w:eastAsia="Times New Roman" w:hAnsi="Times New Roman"/>
          <w:sz w:val="18"/>
          <w:szCs w:val="18"/>
          <w:u w:val="single" w:color="auto"/>
          <w:color w:val="0000FF"/>
        </w:rPr>
        <w:t>https://www.bradyid.com/corporate/supplier-information</w:t>
      </w:r>
    </w:p>
    <w:p>
      <w:pPr>
        <w:ind w:left="400"/>
        <w:spacing w:after="0"/>
        <w:rPr>
          <w:sz w:val="20"/>
          <w:szCs w:val="20"/>
          <w:color w:val="auto"/>
        </w:rPr>
      </w:pPr>
      <w:r>
        <w:rPr>
          <w:rFonts w:ascii="Times New Roman" w:cs="Times New Roman" w:eastAsia="Times New Roman" w:hAnsi="Times New Roman"/>
          <w:sz w:val="18"/>
          <w:szCs w:val="18"/>
          <w:b w:val="1"/>
          <w:bCs w:val="1"/>
          <w:color w:val="auto"/>
        </w:rPr>
        <w:t>Results of the Due Diligence measures</w:t>
      </w:r>
    </w:p>
    <w:p>
      <w:pPr>
        <w:spacing w:after="0" w:line="256"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Brady’s due diligence on the source and chain of custody of necessary 3TG Minerals contained in its products revealed that a majority of smelters identified in our supply chain are either conformant or low risk. However, not all smelters in global mineral supply chains have been audited or re-audited yet. In addition, the compliance or operational status of certain smelters/refiners may have changed since December 31, 2021. Brady is working with its suppliers to ensure that all the smelters in its supply chain comply with the requirements of the rule. Additional due diligence is on-going, since most suppliers provided a company-level and not product-level declaration.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Product Description; Processing Facilities</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scope of our inquiry covered the following products, which we believe are the most likely to contain metallic forms of 3TG Minerals:</w:t>
      </w:r>
    </w:p>
    <w:p>
      <w:pPr>
        <w:spacing w:after="0" w:line="252" w:lineRule="exact"/>
        <w:rPr>
          <w:sz w:val="20"/>
          <w:szCs w:val="20"/>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Inkjet and thermal transfer printers—both handheld and desktop models—containing electronic parts;</w:t>
      </w:r>
    </w:p>
    <w:p>
      <w:pPr>
        <w:spacing w:after="0" w:line="27"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Labels and tapes for thermal transfer printing, some of which are in cassettes containing electronic parts;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Preprinted labels and tapes, some with external coating, pipe and wire markers, and metal asset tags;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signs and traffic signs;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Pads for medical applications and sorbent materials for environmental clean-up;</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Lock-out / tag-out devices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Visitor identification badges, badge holders and lanyards, and wristbands; and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Die-cut materials for the telecommunications industry, primarily plastics and polyester foams.</w:t>
      </w:r>
    </w:p>
    <w:p>
      <w:pPr>
        <w:spacing w:after="0" w:line="234"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Brady also sells products that are purchased “as is” from manufacturers and not manufactured, or contracted to be manufactured, or whose design and bill of materials is not influenced in any way by Brady. These include traffic cones and barriers, barrier and perimeter tapes, and certain lock-out/tag-out devices. Brady also develops software for products that is factory-installed or downloadable. All of the foregoing products are not within the scope of this report.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500" w:top="891" w:right="339" w:bottom="1440" w:gutter="0" w:footer="0" w:header="0"/>
        </w:sectPr>
      </w:pPr>
    </w:p>
    <w:bookmarkStart w:id="6" w:name="page7"/>
    <w:bookmarkEnd w:id="6"/>
    <w:p>
      <w:pPr>
        <w:ind w:left="400"/>
        <w:spacing w:after="0" w:line="282" w:lineRule="auto"/>
        <w:rPr>
          <w:sz w:val="20"/>
          <w:szCs w:val="20"/>
          <w:color w:val="auto"/>
        </w:rPr>
      </w:pPr>
      <w:r>
        <w:rPr>
          <w:rFonts w:ascii="Times New Roman" w:cs="Times New Roman" w:eastAsia="Times New Roman" w:hAnsi="Times New Roman"/>
          <w:sz w:val="18"/>
          <w:szCs w:val="18"/>
          <w:color w:val="auto"/>
        </w:rPr>
        <w:t>The smelting and refining facilities used to process the 3TG Minerals that were identified by our suppliers are listed in Appendix 1 and the potential countries of origin of the 3TG Minerals are listed in Appendix 2 to this Conflict Minerals Report.</w:t>
      </w:r>
    </w:p>
    <w:p>
      <w:pPr>
        <w:spacing w:after="0" w:line="185" w:lineRule="exact"/>
        <w:rPr>
          <w:sz w:val="20"/>
          <w:szCs w:val="20"/>
          <w:color w:val="auto"/>
        </w:rPr>
      </w:pPr>
    </w:p>
    <w:p>
      <w:pPr>
        <w:ind w:left="360" w:hanging="354"/>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Steps to Improve Due Diligence</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will continue to communicate our expectations and information requirements regarding 3TG Minerals to our direct suppliers, as a part of our</w:t>
      </w:r>
    </w:p>
    <w:p>
      <w:pPr>
        <w:spacing w:after="0" w:line="50" w:lineRule="exact"/>
        <w:rPr>
          <w:sz w:val="20"/>
          <w:szCs w:val="20"/>
          <w:color w:val="auto"/>
        </w:rPr>
      </w:pPr>
    </w:p>
    <w:p>
      <w:pPr>
        <w:jc w:val="both"/>
        <w:ind w:left="400"/>
        <w:spacing w:after="0" w:line="273" w:lineRule="auto"/>
        <w:rPr>
          <w:sz w:val="20"/>
          <w:szCs w:val="20"/>
          <w:color w:val="auto"/>
        </w:rPr>
      </w:pPr>
      <w:r>
        <w:rPr>
          <w:rFonts w:ascii="Times New Roman" w:cs="Times New Roman" w:eastAsia="Times New Roman" w:hAnsi="Times New Roman"/>
          <w:sz w:val="18"/>
          <w:szCs w:val="18"/>
          <w:color w:val="auto"/>
        </w:rPr>
        <w:t>supplier compliance program. Brady has incorporated detailed discussions of conflict minerals in our supplier manual, which is distributed to all suppliers, and in our specifications for all new parts. We also include conflict minerals information in discussions with our suppliers, including</w:t>
      </w:r>
    </w:p>
    <w:p>
      <w:pPr>
        <w:spacing w:after="0" w:line="2" w:lineRule="exact"/>
        <w:rPr>
          <w:sz w:val="20"/>
          <w:szCs w:val="20"/>
          <w:color w:val="auto"/>
        </w:rPr>
      </w:pPr>
    </w:p>
    <w:p>
      <w:pPr>
        <w:jc w:val="both"/>
        <w:ind w:left="400"/>
        <w:spacing w:after="0" w:line="305" w:lineRule="auto"/>
        <w:rPr>
          <w:sz w:val="20"/>
          <w:szCs w:val="20"/>
          <w:color w:val="auto"/>
        </w:rPr>
      </w:pPr>
      <w:r>
        <w:rPr>
          <w:rFonts w:ascii="Times New Roman" w:cs="Times New Roman" w:eastAsia="Times New Roman" w:hAnsi="Times New Roman"/>
          <w:sz w:val="18"/>
          <w:szCs w:val="18"/>
          <w:color w:val="auto"/>
        </w:rPr>
        <w:t>discussions regarding relevant policies, procedures and practices. We will continue to monitor changes in circumstances that may impact the facts or our determination regarding the source of our 3TG Minerals. Over time, we anticipate that the amount of information globally on the traceability</w:t>
      </w: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and sourcing of these ores will increase and improve our knowledge. We will continue to make further inquiries to our direct suppliers with the goals of assessing our supply chain, including existing and new suppliers, and improving our understanding of each 3TG Mineral supply chain. In addition, we will continue to monitor the smelters in our supply chain that are currently participating in audit programs for their “conflict-free” status.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Independent Private Sector Audit</w:t>
      </w:r>
    </w:p>
    <w:p>
      <w:pPr>
        <w:spacing w:after="0" w:line="256"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Pursuant to SEC rules and related guidance, an independent private sector audit was not required for Brady’s Conflict Minerals Report for calendar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500" w:top="891" w:right="339" w:bottom="1440" w:gutter="0" w:footer="0" w:header="0"/>
        </w:sectPr>
      </w:pPr>
    </w:p>
    <w:bookmarkStart w:id="7" w:name="page8"/>
    <w:bookmarkEnd w:id="7"/>
    <w:p>
      <w:pPr>
        <w:ind w:left="5180"/>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Smelters/Refiners Identified by Suppliers Identified in Brady’s Supply Chain</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400" w:type="dxa"/>
            <w:vAlign w:val="bottom"/>
            <w:tcBorders>
              <w:top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3480" w:type="dxa"/>
            <w:vAlign w:val="bottom"/>
            <w:tcBorders>
              <w:top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Country Location</w:t>
            </w:r>
          </w:p>
        </w:tc>
        <w:tc>
          <w:tcPr>
            <w:tcW w:w="1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Entity ID</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8853 S.p.A.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CID002763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Agosi AG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CID000035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CID000019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CID002560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CID000041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Argor-Heraeus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CID000077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Pretec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CID000924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USA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CID000920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Asaka Riken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CID000090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AG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CID000113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Bangalore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CID002863</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Bangko Sentral ng Pilipinas (Central Bank of the</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CID000128</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4"/>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Boliden AB</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CID000157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 Hafner GmbH +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CID000176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CID000185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Cendres + Metaux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CID000189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Chimet S.p.A.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CID000233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Chugai Mining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CID000264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CID000401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DSC (Do Sung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CID000359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CID000425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CID003424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CID003425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Emirates Gold DMCC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CID002561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Geib Refining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CID002459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CID002243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Heimerle + Meule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CID000694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CID000711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CID000707</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Inner Mongolia Qiankun Gold and Silver Refinery Share</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CID000801</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CID000807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Istanbul Gold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CID000814</w:t>
            </w:r>
          </w:p>
        </w:tc>
      </w:tr>
      <w:tr>
        <w:trPr>
          <w:trHeight w:val="864"/>
        </w:trPr>
        <w:tc>
          <w:tcPr>
            <w:tcW w:w="1580" w:type="dxa"/>
            <w:vAlign w:val="bottom"/>
          </w:tcPr>
          <w:p>
            <w:pPr>
              <w:spacing w:after="0"/>
              <w:rPr>
                <w:sz w:val="24"/>
                <w:szCs w:val="24"/>
                <w:color w:val="auto"/>
              </w:rPr>
            </w:pPr>
          </w:p>
        </w:tc>
        <w:tc>
          <w:tcPr>
            <w:tcW w:w="44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5</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1130" w:right="67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Italpreziosi</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CID002765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Mint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CID000823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Copper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CID000855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CID000937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Kazzinc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CID000957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CID000969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Kojima Chemicals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CID000981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Zinc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CID002605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L'Orfebre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ANDORRA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CID002762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LS-NIKKO Copper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CID001078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 Metal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CID000689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Marsam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CID002606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CID001113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Matsuda Sangyo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CID001119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CID003575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CID001149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CID001152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CID001147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CID001153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CID001157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CID001161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CID001188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CID001193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MMTC-PAMP India Pvt.,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CID001220</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CID001236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NH Recytech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CID003189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Nihon Material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CID001259</w:t>
            </w:r>
          </w:p>
        </w:tc>
      </w:tr>
      <w:tr>
        <w:trPr>
          <w:trHeight w:val="211"/>
        </w:trPr>
        <w:tc>
          <w:tcPr>
            <w:tcW w:w="158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Ogussa Osterreichische Gold- und Silber-Scheideanstalt</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CID002779</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GmbH</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4"/>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CID001325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PAMP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CID001352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CHILE</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CID002919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CID001397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PX Precinox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CID001498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Rand Refinery (Pty)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CID001512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REMONDIS PMR B.V.</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 Canadian Mint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CID001534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SAAMP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CID002761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Safimet S.p.A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CID002973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SAFINA 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CZECHIA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CID002290</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Samduck Precious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CID001555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CID001585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CID001916</w:t>
            </w:r>
          </w:p>
        </w:tc>
      </w:tr>
    </w:tbl>
    <w:p>
      <w:pPr>
        <w:spacing w:after="0" w:line="200" w:lineRule="exact"/>
        <w:rPr>
          <w:sz w:val="20"/>
          <w:szCs w:val="20"/>
          <w:color w:val="auto"/>
        </w:rPr>
      </w:pPr>
    </w:p>
    <w:p>
      <w:pPr>
        <w:sectPr>
          <w:pgSz w:w="11900" w:h="16838" w:orient="portrait"/>
          <w:cols w:equalWidth="0" w:num="1">
            <w:col w:w="10900"/>
          </w:cols>
          <w:pgMar w:left="320" w:top="916" w:right="6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900"/>
          </w:cols>
          <w:pgMar w:left="320" w:top="916" w:right="679" w:bottom="1440" w:gutter="0" w:footer="0" w:header="0"/>
          <w:type w:val="continuous"/>
        </w:sectPr>
      </w:pPr>
    </w:p>
    <w:bookmarkStart w:id="9" w:name="page10"/>
    <w:bookmarkEnd w:id="9"/>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CID001622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CID001736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CID001761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CID001798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SungEel HiMetal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CID002918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T.C.A S.p.A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CID001875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Tokuriki Honten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CID001938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TOO Tau-Ken-Altyn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Torecom</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CID001955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CID001993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Valcambi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CID002003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CID002030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WIELAND Edelmetalle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Yamakin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CID002100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Yokohama Metal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CID002129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CID002224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AMG Brasil</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CID001076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CID000211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 Block Metals,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CID000460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Hermsdorf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CID002492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CID002842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CID000914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Tanbre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CID000917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KEMET de Mexico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CID002539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CID001163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Mineracao Taboca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CID001175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CID001192</w:t>
            </w:r>
          </w:p>
        </w:tc>
      </w:tr>
      <w:tr>
        <w:trPr>
          <w:trHeight w:val="864"/>
        </w:trPr>
        <w:tc>
          <w:tcPr>
            <w:tcW w:w="1580" w:type="dxa"/>
            <w:vAlign w:val="bottom"/>
          </w:tcPr>
          <w:p>
            <w:pPr>
              <w:spacing w:after="0"/>
              <w:rPr>
                <w:sz w:val="24"/>
                <w:szCs w:val="24"/>
                <w:color w:val="auto"/>
              </w:rPr>
            </w:pPr>
          </w:p>
        </w:tc>
        <w:tc>
          <w:tcPr>
            <w:tcW w:w="44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7</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CID001277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NPM Silmet 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ESTONIA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CID001200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QuantumClean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CID001508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CID002707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CID003583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CID001769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Taki Chemical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CID001869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Japan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Telex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CID001891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CID001969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CID000616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CID001522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Alpha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CID000228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CID003190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Tin Group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CID001070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CRM Synergies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CID000402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 Vinto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CID000438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Estanho de Rondonia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CID000448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Fenix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CID000538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CID001908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CID000555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CID003116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CID001231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Luna Smelter,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CID003387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CID003379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CID002468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CID001105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Metallic Resources,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CID001142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Metallo Belgium N.V.</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Metallo Spain S.L.U.</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Mineracao Taboca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CID001173</w:t>
            </w:r>
          </w:p>
        </w:tc>
      </w:tr>
      <w:tr>
        <w:trPr>
          <w:trHeight w:val="864"/>
        </w:trPr>
        <w:tc>
          <w:tcPr>
            <w:tcW w:w="1580" w:type="dxa"/>
            <w:vAlign w:val="bottom"/>
          </w:tcPr>
          <w:p>
            <w:pPr>
              <w:spacing w:after="0"/>
              <w:rPr>
                <w:sz w:val="24"/>
                <w:szCs w:val="24"/>
                <w:color w:val="auto"/>
              </w:rPr>
            </w:pPr>
          </w:p>
        </w:tc>
        <w:tc>
          <w:tcPr>
            <w:tcW w:w="44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8</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Minsur</w:t>
            </w:r>
          </w:p>
        </w:tc>
        <w:tc>
          <w:tcPr>
            <w:tcW w:w="640" w:type="dxa"/>
            <w:vAlign w:val="bottom"/>
            <w:tcBorders>
              <w:top w:val="single" w:sz="8" w:color="auto"/>
              <w:bottom w:val="single" w:sz="8" w:color="auto"/>
              <w:right w:val="single" w:sz="8" w:color="auto"/>
            </w:tcBorders>
          </w:tcPr>
          <w:p>
            <w:pPr>
              <w:spacing w:after="0"/>
              <w:rPr>
                <w:sz w:val="22"/>
                <w:szCs w:val="22"/>
                <w:color w:val="auto"/>
              </w:rPr>
            </w:pP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CID001191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Novosibirsk Processing Plant Ltd.</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CID001305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CID001314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CID001337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Artha Cipta Langgeng</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CID001399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CID001406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Serumpun</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CID003205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Menara Cipta Mulia</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CID002835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Stania Prima</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CID001453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Prima Timah Utama</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CID003381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Refined Bangka Tin</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CID001460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Stanindo Inti Perkasa</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Kundur</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CID001477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Mentok</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Tinindo Inter Nusa</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CID001490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CID002706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Rui Da Hung</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CID001539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Soft Metais Ltda.</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CID001758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 Nguyen Mining and Metallurgy Co., Ltd.</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CID002834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Thaisarco</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CID001898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CID003325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CID002036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A.L.M.T. Corp.</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CID000004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ACL Metais Eireli</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CID002833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Chenzhou Diamond Tungsten Products Co., Ltd.</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CID002641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Cronimet Brasil Ltda</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Ganmin RareMetal Co., Ltd.</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CID003401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CID003609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Haichuang Tungsten Co., Ltd.</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CID002645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Huaxing Tungsten Products Co., Ltd.</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CID000875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64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CID002494</w:t>
            </w:r>
          </w:p>
        </w:tc>
      </w:tr>
      <w:tr>
        <w:trPr>
          <w:trHeight w:val="864"/>
        </w:trPr>
        <w:tc>
          <w:tcPr>
            <w:tcW w:w="1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Tungsten &amp; Powders Corp.</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CID000568</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CID000218</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Tungsten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CID002541</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CID003417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CID000766</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Chunchang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CID000769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Hydrometallurg, JSC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CID002649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New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CID000825</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CID002551</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CID002321</w:t>
            </w:r>
          </w:p>
        </w:tc>
      </w:tr>
      <w:tr>
        <w:trPr>
          <w:trHeight w:val="211"/>
        </w:trPr>
        <w:tc>
          <w:tcPr>
            <w:tcW w:w="1580" w:type="dxa"/>
            <w:vAlign w:val="bottom"/>
            <w:tcBorders>
              <w:left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CID002318</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CID002316</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CID003408</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Fallon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CID000966</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Huntsville</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CID000105</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KGETS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CID003388</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Lianyou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CID003407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Masan High-Tech Materials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CID002543</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Moliren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CID002845</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Niagara Refining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CID002827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CID002542</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CID002724</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CID002044</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CID002320</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CID002082</w:t>
            </w:r>
          </w:p>
        </w:tc>
      </w:tr>
      <w:tr>
        <w:trPr>
          <w:trHeight w:val="211"/>
        </w:trPr>
        <w:tc>
          <w:tcPr>
            <w:tcW w:w="1580" w:type="dxa"/>
            <w:vAlign w:val="bottom"/>
            <w:tcBorders>
              <w:left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Xinfeng Huarui Tungsten &amp; Molybdenum New Material</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CID002830</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320" w:top="916" w:right="67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406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Appendix 2</w:t>
            </w:r>
          </w:p>
        </w:tc>
      </w:tr>
      <w:tr>
        <w:trPr>
          <w:trHeight w:val="459"/>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Countries of Origin*</w:t>
            </w:r>
          </w:p>
        </w:tc>
        <w:tc>
          <w:tcPr>
            <w:tcW w:w="4060" w:type="dxa"/>
            <w:vAlign w:val="bottom"/>
          </w:tcPr>
          <w:p>
            <w:pPr>
              <w:spacing w:after="0"/>
              <w:rPr>
                <w:sz w:val="24"/>
                <w:szCs w:val="24"/>
                <w:color w:val="auto"/>
              </w:rPr>
            </w:pPr>
          </w:p>
        </w:tc>
      </w:tr>
      <w:tr>
        <w:trPr>
          <w:trHeight w:val="121"/>
        </w:trPr>
        <w:tc>
          <w:tcPr>
            <w:tcW w:w="356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Argentina</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Austria</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Mongolia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Belgium</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Mozambique</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Benin</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Myanmar</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Namibia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Niger</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Burundi</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Nigeria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Colombia</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Portugal</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Cuba</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Ecuador</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Sierra Leone</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Eritrea</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Ethiopia</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Korea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France</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Swaziland</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Ghana</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Guinea</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Guyana</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Tanzania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Uganda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 of Great Britain and Northern Ireland</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Kazakhstan</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Kyrgyzstan</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Laos</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Madagascar</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Zimbabwe</w:t>
            </w: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22222"/>
        </w:rPr>
        <w:t>*The information provided in this list is based on supplier declarations. However, Brady is many steps removed from the mines and smelters, there are many tiers of suppliers in our supply chain, and there is uncertainty as to whether ore from these countries would be present in our supply chain. Brady continues to work with our suppliers, and use publicly available information as well as commercially available services to take corrective actions as needed to further improve our due diligence as it relates to supply chain transparency.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9"/>
    </w:lvl>
  </w:abstractNum>
  <w:abstractNum w:abstractNumId="3">
    <w:nsid w:val="507ED7AB"/>
    <w:multiLevelType w:val="hybridMultilevel"/>
    <w:lvl w:ilvl="0">
      <w:lvlJc w:val="left"/>
      <w:lvlText w:val="%1."/>
      <w:numFmt w:val="upperLetter"/>
      <w:start w:val="35"/>
    </w:lvl>
  </w:abstractNum>
  <w:abstractNum w:abstractNumId="4">
    <w:nsid w:val="2EB141F2"/>
    <w:multiLevelType w:val="hybridMultilevel"/>
    <w:lvl w:ilvl="0">
      <w:lvlJc w:val="left"/>
      <w:lvlText w:val="%1."/>
      <w:numFmt w:val="upperLetter"/>
      <w:start w:val="6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2022-05-19T14:56:13Z</dcterms:created>
  <dcterms:modified xsi:type="dcterms:W3CDTF">2022-05-19T14:56:13Z</dcterms:modified>
</cp:coreProperties>
</file>