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27, 2008</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0" w:right="239" w:bottom="1440" w:gutter="0" w:footer="0" w:header="0"/>
        </w:sectPr>
      </w:pPr>
    </w:p>
    <w:p>
      <w:pPr>
        <w:spacing w:after="0" w:line="19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spacing w:after="0" w:line="18"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spacing w:after="0" w:line="18"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0" w:right="2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Milwaukee, Wisconsin 53223</w:t>
      </w: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190"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17"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82"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Item 7.01, “Regulation FD Disclosure,” which information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104"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color w:val="auto"/>
        </w:rPr>
        <w:t>On October 27, 2008, Brady Corporation (the “Corporation”) made available on its website a presentation containing supplemental financial information for fiscal years 2007 and 2008 reflecting the new segment reporting that the Corporation adopted in the fourth quarter of fiscal 2008. The presentation is furnished herewith as Exhibit 99.1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08"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8890</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Presentation of Brady Corporation dated October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27, 2008</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11430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ind w:left="550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4" w:right="459" w:bottom="1440" w:gutter="0" w:footer="0" w:header="0"/>
        </w:sectPr>
      </w:pPr>
    </w:p>
    <w:bookmarkStart w:id="3" w:name="page4"/>
    <w:bookmarkEnd w:id="3"/>
    <w:p>
      <w:pPr>
        <w:spacing w:after="0" w:line="1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8890</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Presentation of Brady Corporation dated October 27, 2008.</w:t>
      </w:r>
    </w:p>
    <w:p>
      <w:pPr>
        <w:sectPr>
          <w:pgSz w:w="11900" w:h="16838" w:orient="portrait"/>
          <w:cols w:equalWidth="0" w:num="1">
            <w:col w:w="10219"/>
          </w:cols>
          <w:pgMar w:left="240" w:top="1440" w:right="1440" w:bottom="1440" w:gutter="0" w:footer="0" w:header="0"/>
        </w:sectPr>
      </w:pPr>
    </w:p>
    <w:bookmarkStart w:id="4" w:name="page5"/>
    <w:bookmarkEnd w:id="4"/>
    <w:p>
      <w:pPr>
        <w:ind w:left="9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131445</wp:posOffset>
            </wp:positionV>
            <wp:extent cx="7250430" cy="446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46151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650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50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66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667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450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4507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2019-12-13T14:24:46Z</dcterms:created>
  <dcterms:modified xsi:type="dcterms:W3CDTF">2019-12-13T14:24:46Z</dcterms:modified>
</cp:coreProperties>
</file>