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 xml:space="preserve">Washington, D.C. </w:t>
      </w:r>
      <w:r>
        <w:rPr>
          <w:rFonts w:ascii="Times New Roman" w:cs="Times New Roman" w:eastAsia="Times New Roman" w:hAnsi="Times New Roman"/>
          <w:sz w:val="17"/>
          <w:szCs w:val="17"/>
          <w:b w:val="1"/>
          <w:bCs w:val="1"/>
          <w:color w:val="auto"/>
        </w:rPr>
        <w:t>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1530985</wp:posOffset>
            </wp:positionH>
            <wp:positionV relativeFrom="paragraph">
              <wp:posOffset>51435</wp:posOffset>
            </wp:positionV>
            <wp:extent cx="40887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088765" cy="8255"/>
                    </a:xfrm>
                    <a:prstGeom prst="rect">
                      <a:avLst/>
                    </a:prstGeom>
                    <a:noFill/>
                  </pic:spPr>
                </pic:pic>
              </a:graphicData>
            </a:graphic>
          </wp:anchor>
        </w:drawing>
      </w:r>
    </w:p>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1530985</wp:posOffset>
            </wp:positionH>
            <wp:positionV relativeFrom="paragraph">
              <wp:posOffset>43815</wp:posOffset>
            </wp:positionV>
            <wp:extent cx="40887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088765"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ind w:left="640" w:hanging="614"/>
        <w:spacing w:after="0"/>
        <w:tabs>
          <w:tab w:leader="none" w:pos="640" w:val="left"/>
        </w:tabs>
        <w:numPr>
          <w:ilvl w:val="0"/>
          <w:numId w:val="1"/>
        </w:numPr>
        <w:rPr>
          <w:rFonts w:ascii="MS PGothic" w:cs="MS PGothic" w:eastAsia="MS PGothic" w:hAnsi="MS PGothic"/>
          <w:sz w:val="25"/>
          <w:szCs w:val="25"/>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10"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4"/>
          <w:szCs w:val="14"/>
          <w:b w:val="1"/>
          <w:bCs w:val="1"/>
          <w:color w:val="auto"/>
        </w:rPr>
        <w:t>For the fiscal year ended July 31, 2020</w:t>
      </w:r>
    </w:p>
    <w:p>
      <w:pPr>
        <w:spacing w:after="0" w:line="109" w:lineRule="exact"/>
        <w:rPr>
          <w:sz w:val="24"/>
          <w:szCs w:val="24"/>
          <w:color w:val="auto"/>
        </w:rPr>
      </w:pPr>
    </w:p>
    <w:p>
      <w:pPr>
        <w:ind w:left="5520"/>
        <w:spacing w:after="0"/>
        <w:rPr>
          <w:sz w:val="20"/>
          <w:szCs w:val="20"/>
          <w:color w:val="auto"/>
        </w:rPr>
      </w:pPr>
      <w:r>
        <w:rPr>
          <w:rFonts w:ascii="Times New Roman" w:cs="Times New Roman" w:eastAsia="Times New Roman" w:hAnsi="Times New Roman"/>
          <w:sz w:val="14"/>
          <w:szCs w:val="14"/>
          <w:b w:val="1"/>
          <w:bCs w:val="1"/>
          <w:color w:val="auto"/>
        </w:rPr>
        <w:t>OR</w:t>
      </w:r>
    </w:p>
    <w:p>
      <w:pPr>
        <w:ind w:left="640" w:hanging="614"/>
        <w:spacing w:after="0" w:line="181" w:lineRule="auto"/>
        <w:tabs>
          <w:tab w:leader="none" w:pos="640" w:val="left"/>
        </w:tabs>
        <w:numPr>
          <w:ilvl w:val="0"/>
          <w:numId w:val="2"/>
        </w:numPr>
        <w:rPr>
          <w:rFonts w:ascii="MS PGothic" w:cs="MS PGothic" w:eastAsia="MS PGothic" w:hAnsi="MS PGothic"/>
          <w:sz w:val="39"/>
          <w:szCs w:val="39"/>
          <w:color w:val="auto"/>
          <w:vertAlign w:val="subscript"/>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55" w:lineRule="exact"/>
        <w:rPr>
          <w:sz w:val="24"/>
          <w:szCs w:val="24"/>
          <w:color w:val="auto"/>
        </w:rPr>
      </w:pPr>
    </w:p>
    <w:tbl>
      <w:tblPr>
        <w:tblLayout w:type="fixed"/>
        <w:tblInd w:w="2380" w:type="dxa"/>
        <w:tblCellMar>
          <w:top w:w="0" w:type="dxa"/>
          <w:left w:w="0" w:type="dxa"/>
          <w:bottom w:w="0" w:type="dxa"/>
          <w:right w:w="0" w:type="dxa"/>
        </w:tblCellMar>
      </w:tblPr>
      <w:tr>
        <w:trPr>
          <w:trHeight w:val="238"/>
        </w:trPr>
        <w:tc>
          <w:tcPr>
            <w:tcW w:w="4520" w:type="dxa"/>
            <w:vAlign w:val="bottom"/>
          </w:tcPr>
          <w:p>
            <w:pPr>
              <w:ind w:left="132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18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324"/>
        </w:trPr>
        <w:tc>
          <w:tcPr>
            <w:tcW w:w="4520" w:type="dxa"/>
            <w:vAlign w:val="bottom"/>
          </w:tcPr>
          <w:p>
            <w:pPr>
              <w:ind w:left="1960"/>
              <w:spacing w:after="0"/>
              <w:rPr>
                <w:sz w:val="20"/>
                <w:szCs w:val="20"/>
                <w:color w:val="auto"/>
              </w:rPr>
            </w:pPr>
            <w:r>
              <w:rPr>
                <w:rFonts w:ascii="Times New Roman" w:cs="Times New Roman" w:eastAsia="Times New Roman" w:hAnsi="Times New Roman"/>
                <w:sz w:val="18"/>
                <w:szCs w:val="18"/>
                <w:b w:val="1"/>
                <w:bCs w:val="1"/>
                <w:color w:val="auto"/>
              </w:rPr>
              <w:t>Commission file number 1-14959</w:t>
            </w:r>
          </w:p>
        </w:tc>
        <w:tc>
          <w:tcPr>
            <w:tcW w:w="1860" w:type="dxa"/>
            <w:vAlign w:val="bottom"/>
          </w:tcPr>
          <w:p>
            <w:pPr>
              <w:spacing w:after="0"/>
              <w:rPr>
                <w:sz w:val="24"/>
                <w:szCs w:val="24"/>
                <w:color w:val="auto"/>
              </w:rPr>
            </w:pPr>
          </w:p>
        </w:tc>
      </w:tr>
      <w:tr>
        <w:trPr>
          <w:trHeight w:val="81"/>
        </w:trPr>
        <w:tc>
          <w:tcPr>
            <w:tcW w:w="4520" w:type="dxa"/>
            <w:vAlign w:val="bottom"/>
            <w:tcBorders>
              <w:bottom w:val="single" w:sz="8" w:color="auto"/>
            </w:tcBorders>
          </w:tcPr>
          <w:p>
            <w:pPr>
              <w:spacing w:after="0"/>
              <w:rPr>
                <w:sz w:val="7"/>
                <w:szCs w:val="7"/>
                <w:color w:val="auto"/>
              </w:rPr>
            </w:pPr>
          </w:p>
        </w:tc>
        <w:tc>
          <w:tcPr>
            <w:tcW w:w="1860" w:type="dxa"/>
            <w:vAlign w:val="bottom"/>
            <w:tcBorders>
              <w:bottom w:val="single" w:sz="8" w:color="auto"/>
            </w:tcBorders>
          </w:tcPr>
          <w:p>
            <w:pPr>
              <w:spacing w:after="0"/>
              <w:rPr>
                <w:sz w:val="7"/>
                <w:szCs w:val="7"/>
                <w:color w:val="auto"/>
              </w:rPr>
            </w:pPr>
          </w:p>
        </w:tc>
      </w:tr>
    </w:tbl>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BRADY CORPORATION</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1548130</wp:posOffset>
            </wp:positionH>
            <wp:positionV relativeFrom="paragraph">
              <wp:posOffset>56515</wp:posOffset>
            </wp:positionV>
            <wp:extent cx="4037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03733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p>
      <w:pPr>
        <w:spacing w:after="0" w:line="375" w:lineRule="exact"/>
        <w:rPr>
          <w:sz w:val="24"/>
          <w:szCs w:val="24"/>
          <w:color w:val="auto"/>
        </w:rPr>
      </w:pPr>
    </w:p>
    <w:p>
      <w:pPr>
        <w:ind w:left="2320"/>
        <w:spacing w:after="0"/>
        <w:rPr>
          <w:sz w:val="20"/>
          <w:szCs w:val="20"/>
          <w:color w:val="auto"/>
        </w:rPr>
      </w:pPr>
      <w:r>
        <w:rPr>
          <w:rFonts w:ascii="Times New Roman" w:cs="Times New Roman" w:eastAsia="Times New Roman" w:hAnsi="Times New Roman"/>
          <w:sz w:val="14"/>
          <w:szCs w:val="14"/>
          <w:b w:val="1"/>
          <w:bCs w:val="1"/>
          <w:color w:val="auto"/>
        </w:rPr>
        <w:t>Wisconsin</w:t>
      </w:r>
    </w:p>
    <w:p>
      <w:pPr>
        <w:spacing w:after="0" w:line="20" w:lineRule="exact"/>
        <w:rPr>
          <w:sz w:val="24"/>
          <w:szCs w:val="24"/>
          <w:color w:val="auto"/>
        </w:rPr>
      </w:pPr>
      <w:r>
        <w:rPr>
          <w:sz w:val="24"/>
          <w:szCs w:val="24"/>
          <w:color w:val="auto"/>
        </w:rPr>
        <w:br w:type="column"/>
      </w:r>
    </w:p>
    <w:p>
      <w:pPr>
        <w:spacing w:after="0" w:line="3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39-0178960</w:t>
      </w:r>
    </w:p>
    <w:p>
      <w:pPr>
        <w:spacing w:after="0" w:line="42" w:lineRule="exact"/>
        <w:rPr>
          <w:sz w:val="24"/>
          <w:szCs w:val="24"/>
          <w:color w:val="auto"/>
        </w:rPr>
      </w:pPr>
    </w:p>
    <w:p>
      <w:pPr>
        <w:sectPr>
          <w:pgSz w:w="11900" w:h="16838" w:orient="portrait"/>
          <w:cols w:equalWidth="0" w:num="2">
            <w:col w:w="7060" w:space="720"/>
            <w:col w:w="3460"/>
          </w:cols>
          <w:pgMar w:left="320" w:top="225" w:right="339" w:bottom="1440" w:gutter="0" w:footer="0" w:header="0"/>
          <w:type w:val="continuous"/>
        </w:sectPr>
      </w:pPr>
    </w:p>
    <w:p>
      <w:pPr>
        <w:ind w:left="78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p>
      <w:pPr>
        <w:spacing w:after="0" w:line="200" w:lineRule="exact"/>
        <w:rPr>
          <w:sz w:val="24"/>
          <w:szCs w:val="24"/>
          <w:color w:val="auto"/>
        </w:rPr>
      </w:pPr>
    </w:p>
    <w:p>
      <w:pPr>
        <w:sectPr>
          <w:pgSz w:w="11900" w:h="16838" w:orient="portrait"/>
          <w:cols w:equalWidth="0" w:num="2">
            <w:col w:w="6360" w:space="720"/>
            <w:col w:w="4160"/>
          </w:cols>
          <w:pgMar w:left="320" w:top="225" w:right="339" w:bottom="1440" w:gutter="0" w:footer="0" w:header="0"/>
          <w:type w:val="continuous"/>
        </w:sectPr>
      </w:pP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6555 West Good Hope Road</w:t>
      </w:r>
    </w:p>
    <w:p>
      <w:pPr>
        <w:sectPr>
          <w:pgSz w:w="11900" w:h="16838" w:orient="portrait"/>
          <w:cols w:equalWidth="0" w:num="1">
            <w:col w:w="11240"/>
          </w:cols>
          <w:pgMar w:left="320" w:top="225" w:right="339" w:bottom="1440" w:gutter="0" w:footer="0" w:header="0"/>
          <w:type w:val="continuous"/>
        </w:sectPr>
      </w:pPr>
    </w:p>
    <w:p>
      <w:pPr>
        <w:spacing w:after="0" w:line="42"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4"/>
          <w:szCs w:val="14"/>
          <w:b w:val="1"/>
          <w:bCs w:val="1"/>
          <w:color w:val="auto"/>
        </w:rPr>
        <w:t>Milwaukee, Wisconsin</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53223</w:t>
      </w:r>
    </w:p>
    <w:p>
      <w:pPr>
        <w:spacing w:after="0" w:line="42" w:lineRule="exact"/>
        <w:rPr>
          <w:sz w:val="24"/>
          <w:szCs w:val="24"/>
          <w:color w:val="auto"/>
        </w:rPr>
      </w:pPr>
    </w:p>
    <w:p>
      <w:pPr>
        <w:sectPr>
          <w:pgSz w:w="11900" w:h="16838" w:orient="portrait"/>
          <w:cols w:equalWidth="0" w:num="2">
            <w:col w:w="6040" w:space="420"/>
            <w:col w:w="4780"/>
          </w:cols>
          <w:pgMar w:left="320" w:top="225" w:right="339" w:bottom="1440" w:gutter="0" w:footer="0" w:header="0"/>
          <w:type w:val="continuous"/>
        </w:sectPr>
      </w:pPr>
    </w:p>
    <w:p>
      <w:pPr>
        <w:ind w:left="40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29"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4"/>
          <w:szCs w:val="14"/>
          <w:b w:val="1"/>
          <w:bCs w:val="1"/>
          <w:color w:val="auto"/>
        </w:rPr>
        <w:t>(414) 358-6600</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1419225</wp:posOffset>
            </wp:positionH>
            <wp:positionV relativeFrom="paragraph">
              <wp:posOffset>56515</wp:posOffset>
            </wp:positionV>
            <wp:extent cx="4217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17670" cy="8255"/>
                    </a:xfrm>
                    <a:prstGeom prst="rect">
                      <a:avLst/>
                    </a:prstGeom>
                    <a:noFill/>
                  </pic:spPr>
                </pic:pic>
              </a:graphicData>
            </a:graphic>
          </wp:anchor>
        </w:drawing>
      </w:r>
    </w:p>
    <w:p>
      <w:pPr>
        <w:spacing w:after="0" w:line="16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211"/>
        </w:trPr>
        <w:tc>
          <w:tcPr>
            <w:tcW w:w="360" w:type="dxa"/>
            <w:vAlign w:val="bottom"/>
            <w:tcBorders>
              <w:right w:val="single" w:sz="8" w:color="auto"/>
            </w:tcBorders>
          </w:tcPr>
          <w:p>
            <w:pPr>
              <w:spacing w:after="0"/>
              <w:rPr>
                <w:sz w:val="18"/>
                <w:szCs w:val="18"/>
                <w:color w:val="auto"/>
              </w:rPr>
            </w:pPr>
          </w:p>
        </w:tc>
        <w:tc>
          <w:tcPr>
            <w:tcW w:w="45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0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160" w:type="dxa"/>
            <w:vAlign w:val="bottom"/>
            <w:tcBorders>
              <w:top w:val="single" w:sz="8" w:color="auto"/>
              <w:bottom w:val="single" w:sz="8" w:color="auto"/>
              <w:right w:val="single" w:sz="8" w:color="auto"/>
            </w:tcBorders>
          </w:tcPr>
          <w:p>
            <w:pPr>
              <w:spacing w:after="0"/>
              <w:rPr>
                <w:sz w:val="18"/>
                <w:szCs w:val="18"/>
                <w:color w:val="auto"/>
              </w:rPr>
            </w:pPr>
          </w:p>
        </w:tc>
        <w:tc>
          <w:tcPr>
            <w:tcW w:w="388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96"/>
        </w:trPr>
        <w:tc>
          <w:tcPr>
            <w:tcW w:w="360" w:type="dxa"/>
            <w:vAlign w:val="bottom"/>
            <w:tcBorders>
              <w:right w:val="single" w:sz="8" w:color="auto"/>
            </w:tcBorders>
          </w:tcPr>
          <w:p>
            <w:pPr>
              <w:spacing w:after="0"/>
              <w:rPr>
                <w:sz w:val="17"/>
                <w:szCs w:val="17"/>
                <w:color w:val="auto"/>
              </w:rPr>
            </w:pPr>
          </w:p>
        </w:tc>
        <w:tc>
          <w:tcPr>
            <w:tcW w:w="4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Class A Nonvoting Common Stock, par value $0.01 per share</w:t>
            </w:r>
          </w:p>
        </w:tc>
        <w:tc>
          <w:tcPr>
            <w:tcW w:w="2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BRC</w:t>
            </w:r>
          </w:p>
        </w:tc>
        <w:tc>
          <w:tcPr>
            <w:tcW w:w="160" w:type="dxa"/>
            <w:vAlign w:val="bottom"/>
            <w:tcBorders>
              <w:bottom w:val="single" w:sz="8" w:color="auto"/>
              <w:right w:val="single" w:sz="8" w:color="auto"/>
            </w:tcBorders>
          </w:tcPr>
          <w:p>
            <w:pPr>
              <w:spacing w:after="0"/>
              <w:rPr>
                <w:sz w:val="17"/>
                <w:szCs w:val="17"/>
                <w:color w:val="auto"/>
              </w:rPr>
            </w:pPr>
          </w:p>
        </w:tc>
        <w:tc>
          <w:tcPr>
            <w:tcW w:w="38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New York Stock Exchange</w:t>
            </w:r>
          </w:p>
        </w:tc>
      </w:tr>
      <w:tr>
        <w:trPr>
          <w:trHeight w:val="326"/>
        </w:trPr>
        <w:tc>
          <w:tcPr>
            <w:tcW w:w="4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 None</w:t>
            </w:r>
          </w:p>
        </w:tc>
        <w:tc>
          <w:tcPr>
            <w:tcW w:w="2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319"/>
        </w:trPr>
        <w:tc>
          <w:tcPr>
            <w:tcW w:w="69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4040" w:type="dxa"/>
            <w:vAlign w:val="bottom"/>
            <w:gridSpan w:val="2"/>
          </w:tcPr>
          <w:p>
            <w:pPr>
              <w:spacing w:after="0" w:line="184"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p>
        </w:tc>
      </w:tr>
      <w:tr>
        <w:trPr>
          <w:trHeight w:val="297"/>
        </w:trPr>
        <w:tc>
          <w:tcPr>
            <w:tcW w:w="69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tc>
        <w:tc>
          <w:tcPr>
            <w:tcW w:w="4040" w:type="dxa"/>
            <w:vAlign w:val="bottom"/>
            <w:gridSpan w:val="2"/>
          </w:tcPr>
          <w:p>
            <w:pPr>
              <w:ind w:left="120"/>
              <w:spacing w:after="0" w:line="184"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p>
        </w:tc>
      </w:tr>
    </w:tbl>
    <w:p>
      <w:pPr>
        <w:spacing w:after="0" w:line="60" w:lineRule="exact"/>
        <w:rPr>
          <w:sz w:val="24"/>
          <w:szCs w:val="24"/>
          <w:color w:val="auto"/>
        </w:rPr>
      </w:pPr>
    </w:p>
    <w:p>
      <w:pPr>
        <w:jc w:val="both"/>
        <w:ind w:right="20"/>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jc w:val="both"/>
        <w:ind w:right="20"/>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jc w:val="both"/>
        <w:ind w:right="20"/>
        <w:spacing w:after="0" w:line="263"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360" w:type="dxa"/>
        <w:tblCellMar>
          <w:top w:w="0" w:type="dxa"/>
          <w:left w:w="0" w:type="dxa"/>
          <w:bottom w:w="0" w:type="dxa"/>
          <w:right w:w="0" w:type="dxa"/>
        </w:tblCellMar>
      </w:tblPr>
      <w:tr>
        <w:trPr>
          <w:trHeight w:val="212"/>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1160" w:type="dxa"/>
            <w:vAlign w:val="bottom"/>
            <w:vMerge w:val="restart"/>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27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Accelerated filer</w:t>
            </w:r>
          </w:p>
        </w:tc>
        <w:tc>
          <w:tcPr>
            <w:tcW w:w="840" w:type="dxa"/>
            <w:vAlign w:val="bottom"/>
            <w:vMerge w:val="restart"/>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27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Emerging growth company</w:t>
            </w:r>
          </w:p>
        </w:tc>
        <w:tc>
          <w:tcPr>
            <w:tcW w:w="320" w:type="dxa"/>
            <w:vAlign w:val="bottom"/>
            <w:vMerge w:val="restart"/>
          </w:tcPr>
          <w:p>
            <w:pPr>
              <w:ind w:left="160"/>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105"/>
        </w:trPr>
        <w:tc>
          <w:tcPr>
            <w:tcW w:w="18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27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2760" w:type="dxa"/>
            <w:vAlign w:val="bottom"/>
          </w:tcPr>
          <w:p>
            <w:pPr>
              <w:spacing w:after="0"/>
              <w:rPr>
                <w:sz w:val="9"/>
                <w:szCs w:val="9"/>
                <w:color w:val="auto"/>
              </w:rPr>
            </w:pPr>
          </w:p>
        </w:tc>
        <w:tc>
          <w:tcPr>
            <w:tcW w:w="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4"/>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1160" w:type="dxa"/>
            <w:vAlign w:val="bottom"/>
          </w:tcPr>
          <w:p>
            <w:pPr>
              <w:ind w:left="560"/>
              <w:spacing w:after="0" w:line="161" w:lineRule="exact"/>
              <w:rPr>
                <w:sz w:val="20"/>
                <w:szCs w:val="20"/>
                <w:color w:val="auto"/>
              </w:rPr>
            </w:pPr>
            <w:r>
              <w:rPr>
                <w:rFonts w:ascii="MS PGothic" w:cs="MS PGothic" w:eastAsia="MS PGothic" w:hAnsi="MS PGothic"/>
                <w:sz w:val="16"/>
                <w:szCs w:val="16"/>
                <w:color w:val="auto"/>
              </w:rPr>
              <w:t>☐</w:t>
            </w:r>
          </w:p>
        </w:tc>
        <w:tc>
          <w:tcPr>
            <w:tcW w:w="27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84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2760" w:type="dxa"/>
            <w:vAlign w:val="bottom"/>
          </w:tcPr>
          <w:p>
            <w:pPr>
              <w:spacing w:after="0"/>
              <w:rPr>
                <w:sz w:val="22"/>
                <w:szCs w:val="22"/>
                <w:color w:val="auto"/>
              </w:rPr>
            </w:pPr>
          </w:p>
        </w:tc>
        <w:tc>
          <w:tcPr>
            <w:tcW w:w="320" w:type="dxa"/>
            <w:vAlign w:val="bottom"/>
            <w:vMerge w:val="restart"/>
          </w:tcPr>
          <w:p>
            <w:pPr>
              <w:ind w:left="160"/>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170"/>
        </w:trPr>
        <w:tc>
          <w:tcPr>
            <w:tcW w:w="932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w:t>
            </w:r>
          </w:p>
        </w:tc>
        <w:tc>
          <w:tcPr>
            <w:tcW w:w="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revised financial accounting standards provided pursuant to Section 13(a) of the Exchange Act.</w:t>
            </w:r>
          </w:p>
        </w:tc>
        <w:tc>
          <w:tcPr>
            <w:tcW w:w="8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79" w:lineRule="exact"/>
        <w:rPr>
          <w:sz w:val="24"/>
          <w:szCs w:val="24"/>
          <w:color w:val="auto"/>
        </w:rPr>
      </w:pPr>
    </w:p>
    <w:p>
      <w:pPr>
        <w:jc w:val="both"/>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44" w:lineRule="exact"/>
        <w:rPr>
          <w:sz w:val="24"/>
          <w:szCs w:val="24"/>
          <w:color w:val="auto"/>
        </w:rPr>
      </w:pPr>
    </w:p>
    <w:p>
      <w:pPr>
        <w:spacing w:after="0" w:line="184" w:lineRule="exact"/>
        <w:tabs>
          <w:tab w:leader="none" w:pos="6060" w:val="left"/>
          <w:tab w:leader="none" w:pos="664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6"/>
          <w:szCs w:val="16"/>
          <w:color w:val="auto"/>
        </w:rPr>
        <w:t>☑</w:t>
      </w:r>
    </w:p>
    <w:p>
      <w:pPr>
        <w:spacing w:after="0" w:line="130"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aggregate market value of the non-voting common stock held by non-affiliates of the registrant as of January 31, 2020, was approximately $2,613,354,710 based on the closing sale price of $55.37 per share on that date as reported for the New York Stock Exchange. As of September 14, 2020, there were 48,466,712 outstanding shares of Class A Nonvoting Common Stock (the “Class A Common Stock”), and 3,538,628 shares of Class B Common Stock. The Class B Common Stock, all of which is held by affiliates of the registrant, is the only voting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572770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5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INDEX</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20" w:type="dxa"/>
            <w:vAlign w:val="bottom"/>
            <w:gridSpan w:val="5"/>
          </w:tcPr>
          <w:p>
            <w:pPr>
              <w:jc w:val="center"/>
              <w:ind w:right="443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14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48"/>
        </w:trPr>
        <w:tc>
          <w:tcPr>
            <w:tcW w:w="4600" w:type="dxa"/>
            <w:vAlign w:val="bottom"/>
            <w:gridSpan w:val="3"/>
            <w:vMerge w:val="restart"/>
          </w:tcPr>
          <w:p>
            <w:pPr>
              <w:ind w:left="20"/>
              <w:spacing w:after="0"/>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Item.1 Business</w:t>
              </w:r>
            </w:hyperlink>
          </w:p>
        </w:tc>
        <w:tc>
          <w:tcPr>
            <w:tcW w:w="580" w:type="dxa"/>
            <w:vAlign w:val="bottom"/>
            <w:tcBorders>
              <w:top w:val="single" w:sz="8" w:color="auto"/>
              <w:bottom w:val="single" w:sz="8" w:color="auto"/>
            </w:tcBorders>
            <w:vMerge w:val="restart"/>
          </w:tcPr>
          <w:p>
            <w:pPr>
              <w:spacing w:after="0"/>
              <w:rPr>
                <w:sz w:val="4"/>
                <w:szCs w:val="4"/>
                <w:color w:val="auto"/>
              </w:rPr>
            </w:pPr>
          </w:p>
        </w:tc>
        <w:tc>
          <w:tcPr>
            <w:tcW w:w="4580" w:type="dxa"/>
            <w:vAlign w:val="bottom"/>
            <w:gridSpan w:val="3"/>
            <w:vMerge w:val="restart"/>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4600" w:type="dxa"/>
            <w:vAlign w:val="bottom"/>
            <w:gridSpan w:val="3"/>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4580" w:type="dxa"/>
            <w:vAlign w:val="bottom"/>
            <w:gridSpan w:val="3"/>
            <w:vMerge w:val="continue"/>
          </w:tcPr>
          <w:p>
            <w:pPr>
              <w:spacing w:after="0"/>
              <w:rPr>
                <w:sz w:val="18"/>
                <w:szCs w:val="18"/>
                <w:color w:val="auto"/>
              </w:rPr>
            </w:pPr>
          </w:p>
        </w:tc>
        <w:tc>
          <w:tcPr>
            <w:tcW w:w="1480" w:type="dxa"/>
            <w:vAlign w:val="bottom"/>
          </w:tcPr>
          <w:p>
            <w:pPr>
              <w:jc w:val="right"/>
              <w:spacing w:after="0"/>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3</w:t>
              </w:r>
            </w:hyperlink>
          </w:p>
        </w:tc>
        <w:tc>
          <w:tcPr>
            <w:tcW w:w="0" w:type="dxa"/>
            <w:vAlign w:val="bottom"/>
          </w:tcPr>
          <w:p>
            <w:pPr>
              <w:spacing w:after="0"/>
              <w:rPr>
                <w:sz w:val="1"/>
                <w:szCs w:val="1"/>
                <w:color w:val="auto"/>
              </w:rPr>
            </w:pPr>
          </w:p>
        </w:tc>
      </w:tr>
      <w:tr>
        <w:trPr>
          <w:trHeight w:val="229"/>
        </w:trPr>
        <w:tc>
          <w:tcPr>
            <w:tcW w:w="9760" w:type="dxa"/>
            <w:vAlign w:val="bottom"/>
            <w:gridSpan w:val="7"/>
          </w:tcPr>
          <w:p>
            <w:pPr>
              <w:ind w:left="360"/>
              <w:spacing w:after="0"/>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General Development of Business</w:t>
              </w:r>
            </w:hyperlink>
          </w:p>
        </w:tc>
        <w:tc>
          <w:tcPr>
            <w:tcW w:w="1480" w:type="dxa"/>
            <w:vAlign w:val="bottom"/>
          </w:tcPr>
          <w:p>
            <w:pPr>
              <w:jc w:val="right"/>
              <w:spacing w:after="0"/>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3</w:t>
              </w:r>
            </w:hyperlink>
          </w:p>
        </w:tc>
        <w:tc>
          <w:tcPr>
            <w:tcW w:w="0" w:type="dxa"/>
            <w:vAlign w:val="bottom"/>
          </w:tcPr>
          <w:p>
            <w:pPr>
              <w:spacing w:after="0"/>
              <w:rPr>
                <w:sz w:val="1"/>
                <w:szCs w:val="1"/>
                <w:color w:val="auto"/>
              </w:rPr>
            </w:pPr>
          </w:p>
        </w:tc>
      </w:tr>
      <w:tr>
        <w:trPr>
          <w:trHeight w:val="230"/>
        </w:trPr>
        <w:tc>
          <w:tcPr>
            <w:tcW w:w="9760" w:type="dxa"/>
            <w:vAlign w:val="bottom"/>
            <w:gridSpan w:val="7"/>
          </w:tcPr>
          <w:p>
            <w:pPr>
              <w:ind w:left="360"/>
              <w:spacing w:after="0"/>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Narrative Description of Business</w:t>
              </w:r>
            </w:hyperlink>
          </w:p>
        </w:tc>
        <w:tc>
          <w:tcPr>
            <w:tcW w:w="1480" w:type="dxa"/>
            <w:vAlign w:val="bottom"/>
          </w:tcPr>
          <w:p>
            <w:pPr>
              <w:jc w:val="right"/>
              <w:spacing w:after="0"/>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4</w:t>
              </w:r>
            </w:hyperlink>
          </w:p>
        </w:tc>
        <w:tc>
          <w:tcPr>
            <w:tcW w:w="0" w:type="dxa"/>
            <w:vAlign w:val="bottom"/>
          </w:tcPr>
          <w:p>
            <w:pPr>
              <w:spacing w:after="0"/>
              <w:rPr>
                <w:sz w:val="1"/>
                <w:szCs w:val="1"/>
                <w:color w:val="auto"/>
              </w:rPr>
            </w:pPr>
          </w:p>
        </w:tc>
      </w:tr>
      <w:tr>
        <w:trPr>
          <w:trHeight w:val="229"/>
        </w:trPr>
        <w:tc>
          <w:tcPr>
            <w:tcW w:w="9760" w:type="dxa"/>
            <w:vAlign w:val="bottom"/>
            <w:gridSpan w:val="7"/>
          </w:tcPr>
          <w:p>
            <w:pPr>
              <w:ind w:left="680"/>
              <w:spacing w:after="0"/>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Overview</w:t>
              </w:r>
            </w:hyperlink>
          </w:p>
        </w:tc>
        <w:tc>
          <w:tcPr>
            <w:tcW w:w="1480" w:type="dxa"/>
            <w:vAlign w:val="bottom"/>
          </w:tcPr>
          <w:p>
            <w:pPr>
              <w:jc w:val="right"/>
              <w:spacing w:after="0"/>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4</w:t>
              </w:r>
            </w:hyperlink>
          </w:p>
        </w:tc>
        <w:tc>
          <w:tcPr>
            <w:tcW w:w="0" w:type="dxa"/>
            <w:vAlign w:val="bottom"/>
          </w:tcPr>
          <w:p>
            <w:pPr>
              <w:spacing w:after="0"/>
              <w:rPr>
                <w:sz w:val="1"/>
                <w:szCs w:val="1"/>
                <w:color w:val="auto"/>
              </w:rPr>
            </w:pPr>
          </w:p>
        </w:tc>
      </w:tr>
      <w:tr>
        <w:trPr>
          <w:trHeight w:val="230"/>
        </w:trPr>
        <w:tc>
          <w:tcPr>
            <w:tcW w:w="9760" w:type="dxa"/>
            <w:vAlign w:val="bottom"/>
            <w:gridSpan w:val="7"/>
          </w:tcPr>
          <w:p>
            <w:pPr>
              <w:ind w:left="680"/>
              <w:spacing w:after="0"/>
              <w:rPr>
                <w:rFonts w:ascii="Times New Roman" w:cs="Times New Roman" w:eastAsia="Times New Roman" w:hAnsi="Times New Roman"/>
                <w:sz w:val="18"/>
                <w:szCs w:val="18"/>
                <w:color w:val="0000FF"/>
              </w:rPr>
            </w:pPr>
            <w:hyperlink w:anchor="page5">
              <w:r>
                <w:rPr>
                  <w:rFonts w:ascii="Times New Roman" w:cs="Times New Roman" w:eastAsia="Times New Roman" w:hAnsi="Times New Roman"/>
                  <w:sz w:val="18"/>
                  <w:szCs w:val="18"/>
                  <w:color w:val="0000FF"/>
                </w:rPr>
                <w:t>Research and Development</w:t>
              </w:r>
            </w:hyperlink>
          </w:p>
        </w:tc>
        <w:tc>
          <w:tcPr>
            <w:tcW w:w="1480" w:type="dxa"/>
            <w:vAlign w:val="bottom"/>
          </w:tcPr>
          <w:p>
            <w:pPr>
              <w:jc w:val="right"/>
              <w:spacing w:after="0"/>
              <w:rPr>
                <w:rFonts w:ascii="Times New Roman" w:cs="Times New Roman" w:eastAsia="Times New Roman" w:hAnsi="Times New Roman"/>
                <w:sz w:val="18"/>
                <w:szCs w:val="18"/>
                <w:color w:val="0000FF"/>
              </w:rPr>
            </w:pPr>
            <w:hyperlink w:anchor="page5">
              <w:r>
                <w:rPr>
                  <w:rFonts w:ascii="Times New Roman" w:cs="Times New Roman" w:eastAsia="Times New Roman" w:hAnsi="Times New Roman"/>
                  <w:sz w:val="18"/>
                  <w:szCs w:val="18"/>
                  <w:color w:val="0000FF"/>
                </w:rPr>
                <w:t>5</w:t>
              </w:r>
            </w:hyperlink>
          </w:p>
        </w:tc>
        <w:tc>
          <w:tcPr>
            <w:tcW w:w="0" w:type="dxa"/>
            <w:vAlign w:val="bottom"/>
          </w:tcPr>
          <w:p>
            <w:pPr>
              <w:spacing w:after="0"/>
              <w:rPr>
                <w:sz w:val="1"/>
                <w:szCs w:val="1"/>
                <w:color w:val="auto"/>
              </w:rPr>
            </w:pPr>
          </w:p>
        </w:tc>
      </w:tr>
      <w:tr>
        <w:trPr>
          <w:trHeight w:val="229"/>
        </w:trPr>
        <w:tc>
          <w:tcPr>
            <w:tcW w:w="9760" w:type="dxa"/>
            <w:vAlign w:val="bottom"/>
            <w:gridSpan w:val="7"/>
          </w:tcPr>
          <w:p>
            <w:pPr>
              <w:ind w:left="680"/>
              <w:spacing w:after="0"/>
              <w:rPr>
                <w:rFonts w:ascii="Times New Roman" w:cs="Times New Roman" w:eastAsia="Times New Roman" w:hAnsi="Times New Roman"/>
                <w:sz w:val="18"/>
                <w:szCs w:val="18"/>
                <w:color w:val="0000FF"/>
              </w:rPr>
            </w:pPr>
            <w:hyperlink w:anchor="page6">
              <w:r>
                <w:rPr>
                  <w:rFonts w:ascii="Times New Roman" w:cs="Times New Roman" w:eastAsia="Times New Roman" w:hAnsi="Times New Roman"/>
                  <w:sz w:val="18"/>
                  <w:szCs w:val="18"/>
                  <w:color w:val="0000FF"/>
                </w:rPr>
                <w:t>Operations</w:t>
              </w:r>
            </w:hyperlink>
          </w:p>
        </w:tc>
        <w:tc>
          <w:tcPr>
            <w:tcW w:w="1480" w:type="dxa"/>
            <w:vAlign w:val="bottom"/>
          </w:tcPr>
          <w:p>
            <w:pPr>
              <w:jc w:val="right"/>
              <w:spacing w:after="0"/>
              <w:rPr>
                <w:rFonts w:ascii="Times New Roman" w:cs="Times New Roman" w:eastAsia="Times New Roman" w:hAnsi="Times New Roman"/>
                <w:sz w:val="18"/>
                <w:szCs w:val="18"/>
                <w:color w:val="0000FF"/>
              </w:rPr>
            </w:pPr>
            <w:hyperlink w:anchor="page6">
              <w:r>
                <w:rPr>
                  <w:rFonts w:ascii="Times New Roman" w:cs="Times New Roman" w:eastAsia="Times New Roman" w:hAnsi="Times New Roman"/>
                  <w:sz w:val="18"/>
                  <w:szCs w:val="18"/>
                  <w:color w:val="0000FF"/>
                </w:rPr>
                <w:t>6</w:t>
              </w:r>
            </w:hyperlink>
          </w:p>
        </w:tc>
        <w:tc>
          <w:tcPr>
            <w:tcW w:w="0" w:type="dxa"/>
            <w:vAlign w:val="bottom"/>
          </w:tcPr>
          <w:p>
            <w:pPr>
              <w:spacing w:after="0"/>
              <w:rPr>
                <w:sz w:val="1"/>
                <w:szCs w:val="1"/>
                <w:color w:val="auto"/>
              </w:rPr>
            </w:pPr>
          </w:p>
        </w:tc>
      </w:tr>
      <w:tr>
        <w:trPr>
          <w:trHeight w:val="229"/>
        </w:trPr>
        <w:tc>
          <w:tcPr>
            <w:tcW w:w="9760" w:type="dxa"/>
            <w:vAlign w:val="bottom"/>
            <w:gridSpan w:val="7"/>
          </w:tcPr>
          <w:p>
            <w:pPr>
              <w:ind w:left="680"/>
              <w:spacing w:after="0"/>
              <w:rPr>
                <w:rFonts w:ascii="Times New Roman" w:cs="Times New Roman" w:eastAsia="Times New Roman" w:hAnsi="Times New Roman"/>
                <w:sz w:val="18"/>
                <w:szCs w:val="18"/>
                <w:color w:val="0000FF"/>
              </w:rPr>
            </w:pPr>
            <w:hyperlink w:anchor="page6">
              <w:r>
                <w:rPr>
                  <w:rFonts w:ascii="Times New Roman" w:cs="Times New Roman" w:eastAsia="Times New Roman" w:hAnsi="Times New Roman"/>
                  <w:sz w:val="18"/>
                  <w:szCs w:val="18"/>
                  <w:color w:val="0000FF"/>
                </w:rPr>
                <w:t>Environment</w:t>
              </w:r>
            </w:hyperlink>
          </w:p>
        </w:tc>
        <w:tc>
          <w:tcPr>
            <w:tcW w:w="1480" w:type="dxa"/>
            <w:vAlign w:val="bottom"/>
          </w:tcPr>
          <w:p>
            <w:pPr>
              <w:jc w:val="right"/>
              <w:spacing w:after="0"/>
              <w:rPr>
                <w:rFonts w:ascii="Times New Roman" w:cs="Times New Roman" w:eastAsia="Times New Roman" w:hAnsi="Times New Roman"/>
                <w:sz w:val="18"/>
                <w:szCs w:val="18"/>
                <w:color w:val="0000FF"/>
              </w:rPr>
            </w:pPr>
            <w:hyperlink w:anchor="page6">
              <w:r>
                <w:rPr>
                  <w:rFonts w:ascii="Times New Roman" w:cs="Times New Roman" w:eastAsia="Times New Roman" w:hAnsi="Times New Roman"/>
                  <w:sz w:val="18"/>
                  <w:szCs w:val="18"/>
                  <w:color w:val="0000FF"/>
                </w:rPr>
                <w:t>6</w:t>
              </w:r>
            </w:hyperlink>
          </w:p>
        </w:tc>
        <w:tc>
          <w:tcPr>
            <w:tcW w:w="0" w:type="dxa"/>
            <w:vAlign w:val="bottom"/>
          </w:tcPr>
          <w:p>
            <w:pPr>
              <w:spacing w:after="0"/>
              <w:rPr>
                <w:sz w:val="1"/>
                <w:szCs w:val="1"/>
                <w:color w:val="auto"/>
              </w:rPr>
            </w:pPr>
          </w:p>
        </w:tc>
      </w:tr>
      <w:tr>
        <w:trPr>
          <w:trHeight w:val="230"/>
        </w:trPr>
        <w:tc>
          <w:tcPr>
            <w:tcW w:w="9760" w:type="dxa"/>
            <w:vAlign w:val="bottom"/>
            <w:gridSpan w:val="7"/>
          </w:tcPr>
          <w:p>
            <w:pPr>
              <w:ind w:left="680"/>
              <w:spacing w:after="0"/>
              <w:rPr>
                <w:rFonts w:ascii="Times New Roman" w:cs="Times New Roman" w:eastAsia="Times New Roman" w:hAnsi="Times New Roman"/>
                <w:sz w:val="18"/>
                <w:szCs w:val="18"/>
                <w:color w:val="0000FF"/>
              </w:rPr>
            </w:pPr>
            <w:hyperlink w:anchor="page6">
              <w:r>
                <w:rPr>
                  <w:rFonts w:ascii="Times New Roman" w:cs="Times New Roman" w:eastAsia="Times New Roman" w:hAnsi="Times New Roman"/>
                  <w:sz w:val="18"/>
                  <w:szCs w:val="18"/>
                  <w:color w:val="0000FF"/>
                </w:rPr>
                <w:t>Employees</w:t>
              </w:r>
            </w:hyperlink>
          </w:p>
        </w:tc>
        <w:tc>
          <w:tcPr>
            <w:tcW w:w="1480" w:type="dxa"/>
            <w:vAlign w:val="bottom"/>
          </w:tcPr>
          <w:p>
            <w:pPr>
              <w:jc w:val="right"/>
              <w:spacing w:after="0"/>
              <w:rPr>
                <w:rFonts w:ascii="Times New Roman" w:cs="Times New Roman" w:eastAsia="Times New Roman" w:hAnsi="Times New Roman"/>
                <w:sz w:val="18"/>
                <w:szCs w:val="18"/>
                <w:color w:val="0000FF"/>
              </w:rPr>
            </w:pPr>
            <w:hyperlink w:anchor="page6">
              <w:r>
                <w:rPr>
                  <w:rFonts w:ascii="Times New Roman" w:cs="Times New Roman" w:eastAsia="Times New Roman" w:hAnsi="Times New Roman"/>
                  <w:sz w:val="18"/>
                  <w:szCs w:val="18"/>
                  <w:color w:val="0000FF"/>
                </w:rPr>
                <w:t>6</w:t>
              </w:r>
            </w:hyperlink>
          </w:p>
        </w:tc>
        <w:tc>
          <w:tcPr>
            <w:tcW w:w="0" w:type="dxa"/>
            <w:vAlign w:val="bottom"/>
          </w:tcPr>
          <w:p>
            <w:pPr>
              <w:spacing w:after="0"/>
              <w:rPr>
                <w:sz w:val="1"/>
                <w:szCs w:val="1"/>
                <w:color w:val="auto"/>
              </w:rPr>
            </w:pPr>
          </w:p>
        </w:tc>
      </w:tr>
      <w:tr>
        <w:trPr>
          <w:trHeight w:val="229"/>
        </w:trPr>
        <w:tc>
          <w:tcPr>
            <w:tcW w:w="9760" w:type="dxa"/>
            <w:vAlign w:val="bottom"/>
            <w:gridSpan w:val="7"/>
          </w:tcPr>
          <w:p>
            <w:pPr>
              <w:ind w:left="360"/>
              <w:spacing w:after="0"/>
              <w:rPr>
                <w:rFonts w:ascii="Times New Roman" w:cs="Times New Roman" w:eastAsia="Times New Roman" w:hAnsi="Times New Roman"/>
                <w:sz w:val="18"/>
                <w:szCs w:val="18"/>
                <w:color w:val="0000FF"/>
              </w:rPr>
            </w:pPr>
            <w:hyperlink w:anchor="page6">
              <w:r>
                <w:rPr>
                  <w:rFonts w:ascii="Times New Roman" w:cs="Times New Roman" w:eastAsia="Times New Roman" w:hAnsi="Times New Roman"/>
                  <w:sz w:val="18"/>
                  <w:szCs w:val="18"/>
                  <w:color w:val="0000FF"/>
                </w:rPr>
                <w:t>Information Available on the Internet</w:t>
              </w:r>
            </w:hyperlink>
          </w:p>
        </w:tc>
        <w:tc>
          <w:tcPr>
            <w:tcW w:w="1480" w:type="dxa"/>
            <w:vAlign w:val="bottom"/>
          </w:tcPr>
          <w:p>
            <w:pPr>
              <w:jc w:val="right"/>
              <w:spacing w:after="0"/>
              <w:rPr>
                <w:rFonts w:ascii="Times New Roman" w:cs="Times New Roman" w:eastAsia="Times New Roman" w:hAnsi="Times New Roman"/>
                <w:sz w:val="18"/>
                <w:szCs w:val="18"/>
                <w:color w:val="0000FF"/>
              </w:rPr>
            </w:pPr>
            <w:hyperlink w:anchor="page6">
              <w:r>
                <w:rPr>
                  <w:rFonts w:ascii="Times New Roman" w:cs="Times New Roman" w:eastAsia="Times New Roman" w:hAnsi="Times New Roman"/>
                  <w:sz w:val="18"/>
                  <w:szCs w:val="18"/>
                  <w:color w:val="0000FF"/>
                </w:rPr>
                <w:t>6</w:t>
              </w:r>
            </w:hyperlink>
          </w:p>
        </w:tc>
        <w:tc>
          <w:tcPr>
            <w:tcW w:w="0" w:type="dxa"/>
            <w:vAlign w:val="bottom"/>
          </w:tcPr>
          <w:p>
            <w:pPr>
              <w:spacing w:after="0"/>
              <w:rPr>
                <w:sz w:val="1"/>
                <w:szCs w:val="1"/>
                <w:color w:val="auto"/>
              </w:rPr>
            </w:pPr>
          </w:p>
        </w:tc>
      </w:tr>
      <w:tr>
        <w:trPr>
          <w:trHeight w:val="229"/>
        </w:trPr>
        <w:tc>
          <w:tcPr>
            <w:tcW w:w="9760" w:type="dxa"/>
            <w:vAlign w:val="bottom"/>
            <w:gridSpan w:val="7"/>
          </w:tcPr>
          <w:p>
            <w:pPr>
              <w:ind w:left="20"/>
              <w:spacing w:after="0"/>
              <w:rPr>
                <w:rFonts w:ascii="Times New Roman" w:cs="Times New Roman" w:eastAsia="Times New Roman" w:hAnsi="Times New Roman"/>
                <w:sz w:val="18"/>
                <w:szCs w:val="18"/>
                <w:color w:val="0000FF"/>
              </w:rPr>
            </w:pPr>
            <w:hyperlink w:anchor="page6">
              <w:r>
                <w:rPr>
                  <w:rFonts w:ascii="Times New Roman" w:cs="Times New Roman" w:eastAsia="Times New Roman" w:hAnsi="Times New Roman"/>
                  <w:sz w:val="18"/>
                  <w:szCs w:val="18"/>
                  <w:color w:val="0000FF"/>
                </w:rPr>
                <w:t>Item 1A. Risk Factors</w:t>
              </w:r>
            </w:hyperlink>
          </w:p>
        </w:tc>
        <w:tc>
          <w:tcPr>
            <w:tcW w:w="1480" w:type="dxa"/>
            <w:vAlign w:val="bottom"/>
          </w:tcPr>
          <w:p>
            <w:pPr>
              <w:jc w:val="right"/>
              <w:spacing w:after="0"/>
              <w:rPr>
                <w:rFonts w:ascii="Times New Roman" w:cs="Times New Roman" w:eastAsia="Times New Roman" w:hAnsi="Times New Roman"/>
                <w:sz w:val="18"/>
                <w:szCs w:val="18"/>
                <w:color w:val="0000FF"/>
              </w:rPr>
            </w:pPr>
            <w:hyperlink w:anchor="page6">
              <w:r>
                <w:rPr>
                  <w:rFonts w:ascii="Times New Roman" w:cs="Times New Roman" w:eastAsia="Times New Roman" w:hAnsi="Times New Roman"/>
                  <w:sz w:val="18"/>
                  <w:szCs w:val="18"/>
                  <w:color w:val="0000FF"/>
                </w:rPr>
                <w:t>6</w:t>
              </w:r>
            </w:hyperlink>
          </w:p>
        </w:tc>
        <w:tc>
          <w:tcPr>
            <w:tcW w:w="0" w:type="dxa"/>
            <w:vAlign w:val="bottom"/>
          </w:tcPr>
          <w:p>
            <w:pPr>
              <w:spacing w:after="0"/>
              <w:rPr>
                <w:sz w:val="1"/>
                <w:szCs w:val="1"/>
                <w:color w:val="auto"/>
              </w:rPr>
            </w:pPr>
          </w:p>
        </w:tc>
      </w:tr>
      <w:tr>
        <w:trPr>
          <w:trHeight w:val="230"/>
        </w:trPr>
        <w:tc>
          <w:tcPr>
            <w:tcW w:w="9760" w:type="dxa"/>
            <w:vAlign w:val="bottom"/>
            <w:gridSpan w:val="7"/>
          </w:tcPr>
          <w:p>
            <w:pPr>
              <w:ind w:left="20"/>
              <w:spacing w:after="0"/>
              <w:rPr>
                <w:rFonts w:ascii="Times New Roman" w:cs="Times New Roman" w:eastAsia="Times New Roman" w:hAnsi="Times New Roman"/>
                <w:sz w:val="18"/>
                <w:szCs w:val="18"/>
                <w:color w:val="0000FF"/>
              </w:rPr>
            </w:pPr>
            <w:hyperlink w:anchor="page11">
              <w:r>
                <w:rPr>
                  <w:rFonts w:ascii="Times New Roman" w:cs="Times New Roman" w:eastAsia="Times New Roman" w:hAnsi="Times New Roman"/>
                  <w:sz w:val="18"/>
                  <w:szCs w:val="18"/>
                  <w:color w:val="0000FF"/>
                </w:rPr>
                <w:t>Item 1B. Unresolved Staff Comments</w:t>
              </w:r>
            </w:hyperlink>
          </w:p>
        </w:tc>
        <w:tc>
          <w:tcPr>
            <w:tcW w:w="1480" w:type="dxa"/>
            <w:vAlign w:val="bottom"/>
          </w:tcPr>
          <w:p>
            <w:pPr>
              <w:jc w:val="right"/>
              <w:spacing w:after="0"/>
              <w:rPr>
                <w:rFonts w:ascii="Times New Roman" w:cs="Times New Roman" w:eastAsia="Times New Roman" w:hAnsi="Times New Roman"/>
                <w:sz w:val="18"/>
                <w:szCs w:val="18"/>
                <w:color w:val="0000FF"/>
              </w:rPr>
            </w:pPr>
            <w:hyperlink w:anchor="page11">
              <w:r>
                <w:rPr>
                  <w:rFonts w:ascii="Times New Roman" w:cs="Times New Roman" w:eastAsia="Times New Roman" w:hAnsi="Times New Roman"/>
                  <w:sz w:val="18"/>
                  <w:szCs w:val="18"/>
                  <w:color w:val="0000FF"/>
                </w:rPr>
                <w:t>11</w:t>
              </w:r>
            </w:hyperlink>
          </w:p>
        </w:tc>
        <w:tc>
          <w:tcPr>
            <w:tcW w:w="0" w:type="dxa"/>
            <w:vAlign w:val="bottom"/>
          </w:tcPr>
          <w:p>
            <w:pPr>
              <w:spacing w:after="0"/>
              <w:rPr>
                <w:sz w:val="1"/>
                <w:szCs w:val="1"/>
                <w:color w:val="auto"/>
              </w:rPr>
            </w:pPr>
          </w:p>
        </w:tc>
      </w:tr>
      <w:tr>
        <w:trPr>
          <w:trHeight w:val="229"/>
        </w:trPr>
        <w:tc>
          <w:tcPr>
            <w:tcW w:w="9760" w:type="dxa"/>
            <w:vAlign w:val="bottom"/>
            <w:gridSpan w:val="7"/>
          </w:tcPr>
          <w:p>
            <w:pPr>
              <w:ind w:left="20"/>
              <w:spacing w:after="0"/>
              <w:rPr>
                <w:rFonts w:ascii="Times New Roman" w:cs="Times New Roman" w:eastAsia="Times New Roman" w:hAnsi="Times New Roman"/>
                <w:sz w:val="18"/>
                <w:szCs w:val="18"/>
                <w:color w:val="0000FF"/>
              </w:rPr>
            </w:pPr>
            <w:hyperlink w:anchor="page11">
              <w:r>
                <w:rPr>
                  <w:rFonts w:ascii="Times New Roman" w:cs="Times New Roman" w:eastAsia="Times New Roman" w:hAnsi="Times New Roman"/>
                  <w:sz w:val="18"/>
                  <w:szCs w:val="18"/>
                  <w:color w:val="0000FF"/>
                </w:rPr>
                <w:t>Item 2. Properties</w:t>
              </w:r>
            </w:hyperlink>
          </w:p>
        </w:tc>
        <w:tc>
          <w:tcPr>
            <w:tcW w:w="1480" w:type="dxa"/>
            <w:vAlign w:val="bottom"/>
          </w:tcPr>
          <w:p>
            <w:pPr>
              <w:jc w:val="right"/>
              <w:spacing w:after="0"/>
              <w:rPr>
                <w:rFonts w:ascii="Times New Roman" w:cs="Times New Roman" w:eastAsia="Times New Roman" w:hAnsi="Times New Roman"/>
                <w:sz w:val="18"/>
                <w:szCs w:val="18"/>
                <w:color w:val="0000FF"/>
              </w:rPr>
            </w:pPr>
            <w:hyperlink w:anchor="page11">
              <w:r>
                <w:rPr>
                  <w:rFonts w:ascii="Times New Roman" w:cs="Times New Roman" w:eastAsia="Times New Roman" w:hAnsi="Times New Roman"/>
                  <w:sz w:val="18"/>
                  <w:szCs w:val="18"/>
                  <w:color w:val="0000FF"/>
                </w:rPr>
                <w:t>11</w:t>
              </w:r>
            </w:hyperlink>
          </w:p>
        </w:tc>
        <w:tc>
          <w:tcPr>
            <w:tcW w:w="0" w:type="dxa"/>
            <w:vAlign w:val="bottom"/>
          </w:tcPr>
          <w:p>
            <w:pPr>
              <w:spacing w:after="0"/>
              <w:rPr>
                <w:sz w:val="1"/>
                <w:szCs w:val="1"/>
                <w:color w:val="auto"/>
              </w:rPr>
            </w:pPr>
          </w:p>
        </w:tc>
      </w:tr>
      <w:tr>
        <w:trPr>
          <w:trHeight w:val="230"/>
        </w:trPr>
        <w:tc>
          <w:tcPr>
            <w:tcW w:w="9760" w:type="dxa"/>
            <w:vAlign w:val="bottom"/>
            <w:gridSpan w:val="7"/>
          </w:tcPr>
          <w:p>
            <w:pPr>
              <w:ind w:left="20"/>
              <w:spacing w:after="0"/>
              <w:rPr>
                <w:rFonts w:ascii="Times New Roman" w:cs="Times New Roman" w:eastAsia="Times New Roman" w:hAnsi="Times New Roman"/>
                <w:sz w:val="18"/>
                <w:szCs w:val="18"/>
                <w:color w:val="0000FF"/>
              </w:rPr>
            </w:pPr>
            <w:hyperlink w:anchor="page11">
              <w:r>
                <w:rPr>
                  <w:rFonts w:ascii="Times New Roman" w:cs="Times New Roman" w:eastAsia="Times New Roman" w:hAnsi="Times New Roman"/>
                  <w:sz w:val="18"/>
                  <w:szCs w:val="18"/>
                  <w:color w:val="0000FF"/>
                </w:rPr>
                <w:t>Item 3. Legal Proceedings</w:t>
              </w:r>
            </w:hyperlink>
          </w:p>
        </w:tc>
        <w:tc>
          <w:tcPr>
            <w:tcW w:w="1480" w:type="dxa"/>
            <w:vAlign w:val="bottom"/>
          </w:tcPr>
          <w:p>
            <w:pPr>
              <w:jc w:val="right"/>
              <w:spacing w:after="0"/>
              <w:rPr>
                <w:rFonts w:ascii="Times New Roman" w:cs="Times New Roman" w:eastAsia="Times New Roman" w:hAnsi="Times New Roman"/>
                <w:sz w:val="18"/>
                <w:szCs w:val="18"/>
                <w:color w:val="0000FF"/>
              </w:rPr>
            </w:pPr>
            <w:hyperlink w:anchor="page11">
              <w:r>
                <w:rPr>
                  <w:rFonts w:ascii="Times New Roman" w:cs="Times New Roman" w:eastAsia="Times New Roman" w:hAnsi="Times New Roman"/>
                  <w:sz w:val="18"/>
                  <w:szCs w:val="18"/>
                  <w:color w:val="0000FF"/>
                </w:rPr>
                <w:t>11</w:t>
              </w:r>
            </w:hyperlink>
          </w:p>
        </w:tc>
        <w:tc>
          <w:tcPr>
            <w:tcW w:w="0" w:type="dxa"/>
            <w:vAlign w:val="bottom"/>
          </w:tcPr>
          <w:p>
            <w:pPr>
              <w:spacing w:after="0"/>
              <w:rPr>
                <w:sz w:val="1"/>
                <w:szCs w:val="1"/>
                <w:color w:val="auto"/>
              </w:rPr>
            </w:pPr>
          </w:p>
        </w:tc>
      </w:tr>
      <w:tr>
        <w:trPr>
          <w:trHeight w:val="234"/>
        </w:trPr>
        <w:tc>
          <w:tcPr>
            <w:tcW w:w="9760" w:type="dxa"/>
            <w:vAlign w:val="bottom"/>
            <w:gridSpan w:val="7"/>
          </w:tcPr>
          <w:p>
            <w:pPr>
              <w:ind w:left="20"/>
              <w:spacing w:after="0"/>
              <w:rPr>
                <w:rFonts w:ascii="Times New Roman" w:cs="Times New Roman" w:eastAsia="Times New Roman" w:hAnsi="Times New Roman"/>
                <w:sz w:val="18"/>
                <w:szCs w:val="18"/>
                <w:color w:val="0000FF"/>
              </w:rPr>
            </w:pPr>
            <w:hyperlink w:anchor="page11">
              <w:r>
                <w:rPr>
                  <w:rFonts w:ascii="Times New Roman" w:cs="Times New Roman" w:eastAsia="Times New Roman" w:hAnsi="Times New Roman"/>
                  <w:sz w:val="18"/>
                  <w:szCs w:val="18"/>
                  <w:color w:val="0000FF"/>
                </w:rPr>
                <w:t>Item 4. Mine Safety Disclosures</w:t>
              </w:r>
            </w:hyperlink>
          </w:p>
        </w:tc>
        <w:tc>
          <w:tcPr>
            <w:tcW w:w="1480" w:type="dxa"/>
            <w:vAlign w:val="bottom"/>
          </w:tcPr>
          <w:p>
            <w:pPr>
              <w:jc w:val="right"/>
              <w:spacing w:after="0"/>
              <w:rPr>
                <w:rFonts w:ascii="Times New Roman" w:cs="Times New Roman" w:eastAsia="Times New Roman" w:hAnsi="Times New Roman"/>
                <w:sz w:val="18"/>
                <w:szCs w:val="18"/>
                <w:color w:val="0000FF"/>
              </w:rPr>
            </w:pPr>
            <w:hyperlink w:anchor="page11">
              <w:r>
                <w:rPr>
                  <w:rFonts w:ascii="Times New Roman" w:cs="Times New Roman" w:eastAsia="Times New Roman" w:hAnsi="Times New Roman"/>
                  <w:sz w:val="18"/>
                  <w:szCs w:val="18"/>
                  <w:color w:val="0000FF"/>
                </w:rPr>
                <w:t>11</w:t>
              </w:r>
            </w:hyperlink>
          </w:p>
        </w:tc>
        <w:tc>
          <w:tcPr>
            <w:tcW w:w="0" w:type="dxa"/>
            <w:vAlign w:val="bottom"/>
          </w:tcPr>
          <w:p>
            <w:pPr>
              <w:spacing w:after="0"/>
              <w:rPr>
                <w:sz w:val="1"/>
                <w:szCs w:val="1"/>
                <w:color w:val="auto"/>
              </w:rPr>
            </w:pPr>
          </w:p>
        </w:tc>
      </w:tr>
      <w:tr>
        <w:trPr>
          <w:trHeight w:val="243"/>
        </w:trPr>
        <w:tc>
          <w:tcPr>
            <w:tcW w:w="4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20" w:type="dxa"/>
            <w:vAlign w:val="bottom"/>
            <w:gridSpan w:val="5"/>
          </w:tcPr>
          <w:p>
            <w:pPr>
              <w:jc w:val="center"/>
              <w:ind w:right="4430"/>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9760" w:type="dxa"/>
            <w:vAlign w:val="bottom"/>
            <w:gridSpan w:val="7"/>
          </w:tcPr>
          <w:p>
            <w:pPr>
              <w:ind w:left="20"/>
              <w:spacing w:after="0"/>
              <w:rPr>
                <w:rFonts w:ascii="Times New Roman" w:cs="Times New Roman" w:eastAsia="Times New Roman" w:hAnsi="Times New Roman"/>
                <w:sz w:val="18"/>
                <w:szCs w:val="18"/>
                <w:color w:val="0000FF"/>
              </w:rPr>
            </w:pPr>
            <w:hyperlink w:anchor="page12">
              <w:r>
                <w:rPr>
                  <w:rFonts w:ascii="Times New Roman" w:cs="Times New Roman" w:eastAsia="Times New Roman" w:hAnsi="Times New Roman"/>
                  <w:sz w:val="18"/>
                  <w:szCs w:val="18"/>
                  <w:color w:val="0000FF"/>
                </w:rPr>
                <w:t>Item 5. Market for Registrant’s Common Equity, Related Stockholder Matters and Issuer Purchases of Equity Securities</w:t>
              </w:r>
            </w:hyperlink>
          </w:p>
        </w:tc>
        <w:tc>
          <w:tcPr>
            <w:tcW w:w="1480" w:type="dxa"/>
            <w:vAlign w:val="bottom"/>
          </w:tcPr>
          <w:p>
            <w:pPr>
              <w:jc w:val="right"/>
              <w:spacing w:after="0"/>
              <w:rPr>
                <w:rFonts w:ascii="Times New Roman" w:cs="Times New Roman" w:eastAsia="Times New Roman" w:hAnsi="Times New Roman"/>
                <w:sz w:val="18"/>
                <w:szCs w:val="18"/>
                <w:color w:val="0000FF"/>
              </w:rPr>
            </w:pPr>
            <w:hyperlink w:anchor="page12">
              <w:r>
                <w:rPr>
                  <w:rFonts w:ascii="Times New Roman" w:cs="Times New Roman" w:eastAsia="Times New Roman" w:hAnsi="Times New Roman"/>
                  <w:sz w:val="18"/>
                  <w:szCs w:val="18"/>
                  <w:color w:val="0000FF"/>
                </w:rPr>
                <w:t>12</w:t>
              </w:r>
            </w:hyperlink>
          </w:p>
        </w:tc>
        <w:tc>
          <w:tcPr>
            <w:tcW w:w="0" w:type="dxa"/>
            <w:vAlign w:val="bottom"/>
          </w:tcPr>
          <w:p>
            <w:pPr>
              <w:spacing w:after="0"/>
              <w:rPr>
                <w:sz w:val="1"/>
                <w:szCs w:val="1"/>
                <w:color w:val="auto"/>
              </w:rPr>
            </w:pPr>
          </w:p>
        </w:tc>
      </w:tr>
      <w:tr>
        <w:trPr>
          <w:trHeight w:val="230"/>
        </w:trPr>
        <w:tc>
          <w:tcPr>
            <w:tcW w:w="9760" w:type="dxa"/>
            <w:vAlign w:val="bottom"/>
            <w:gridSpan w:val="7"/>
          </w:tcPr>
          <w:p>
            <w:pPr>
              <w:ind w:left="20"/>
              <w:spacing w:after="0"/>
              <w:rPr>
                <w:rFonts w:ascii="Times New Roman" w:cs="Times New Roman" w:eastAsia="Times New Roman" w:hAnsi="Times New Roman"/>
                <w:sz w:val="18"/>
                <w:szCs w:val="18"/>
                <w:color w:val="0000FF"/>
              </w:rPr>
            </w:pPr>
            <w:hyperlink w:anchor="page13">
              <w:r>
                <w:rPr>
                  <w:rFonts w:ascii="Times New Roman" w:cs="Times New Roman" w:eastAsia="Times New Roman" w:hAnsi="Times New Roman"/>
                  <w:sz w:val="18"/>
                  <w:szCs w:val="18"/>
                  <w:color w:val="0000FF"/>
                </w:rPr>
                <w:t>Item 6. Selected Financial Data</w:t>
              </w:r>
            </w:hyperlink>
          </w:p>
        </w:tc>
        <w:tc>
          <w:tcPr>
            <w:tcW w:w="1480" w:type="dxa"/>
            <w:vAlign w:val="bottom"/>
          </w:tcPr>
          <w:p>
            <w:pPr>
              <w:jc w:val="right"/>
              <w:spacing w:after="0"/>
              <w:rPr>
                <w:rFonts w:ascii="Times New Roman" w:cs="Times New Roman" w:eastAsia="Times New Roman" w:hAnsi="Times New Roman"/>
                <w:sz w:val="18"/>
                <w:szCs w:val="18"/>
                <w:color w:val="0000FF"/>
              </w:rPr>
            </w:pPr>
            <w:hyperlink w:anchor="page13">
              <w:r>
                <w:rPr>
                  <w:rFonts w:ascii="Times New Roman" w:cs="Times New Roman" w:eastAsia="Times New Roman" w:hAnsi="Times New Roman"/>
                  <w:sz w:val="18"/>
                  <w:szCs w:val="18"/>
                  <w:color w:val="0000FF"/>
                </w:rPr>
                <w:t>14</w:t>
              </w:r>
            </w:hyperlink>
          </w:p>
        </w:tc>
        <w:tc>
          <w:tcPr>
            <w:tcW w:w="0" w:type="dxa"/>
            <w:vAlign w:val="bottom"/>
          </w:tcPr>
          <w:p>
            <w:pPr>
              <w:spacing w:after="0"/>
              <w:rPr>
                <w:sz w:val="1"/>
                <w:szCs w:val="1"/>
                <w:color w:val="auto"/>
              </w:rPr>
            </w:pPr>
          </w:p>
        </w:tc>
      </w:tr>
      <w:tr>
        <w:trPr>
          <w:trHeight w:val="229"/>
        </w:trPr>
        <w:tc>
          <w:tcPr>
            <w:tcW w:w="9760" w:type="dxa"/>
            <w:vAlign w:val="bottom"/>
            <w:gridSpan w:val="7"/>
          </w:tcPr>
          <w:p>
            <w:pPr>
              <w:ind w:left="20"/>
              <w:spacing w:after="0"/>
              <w:rPr>
                <w:rFonts w:ascii="Times New Roman" w:cs="Times New Roman" w:eastAsia="Times New Roman" w:hAnsi="Times New Roman"/>
                <w:sz w:val="18"/>
                <w:szCs w:val="18"/>
                <w:color w:val="0000FF"/>
              </w:rPr>
            </w:pPr>
            <w:hyperlink w:anchor="page15">
              <w:r>
                <w:rPr>
                  <w:rFonts w:ascii="Times New Roman" w:cs="Times New Roman" w:eastAsia="Times New Roman" w:hAnsi="Times New Roman"/>
                  <w:sz w:val="18"/>
                  <w:szCs w:val="18"/>
                  <w:color w:val="0000FF"/>
                </w:rPr>
                <w:t>Item 7. Management’s Discussion and Analysis of Financial Condition and Results of Operations</w:t>
              </w:r>
            </w:hyperlink>
          </w:p>
        </w:tc>
        <w:tc>
          <w:tcPr>
            <w:tcW w:w="1480" w:type="dxa"/>
            <w:vAlign w:val="bottom"/>
          </w:tcPr>
          <w:p>
            <w:pPr>
              <w:jc w:val="right"/>
              <w:spacing w:after="0"/>
              <w:rPr>
                <w:rFonts w:ascii="Times New Roman" w:cs="Times New Roman" w:eastAsia="Times New Roman" w:hAnsi="Times New Roman"/>
                <w:sz w:val="18"/>
                <w:szCs w:val="18"/>
                <w:color w:val="0000FF"/>
              </w:rPr>
            </w:pPr>
            <w:hyperlink w:anchor="page15">
              <w:r>
                <w:rPr>
                  <w:rFonts w:ascii="Times New Roman" w:cs="Times New Roman" w:eastAsia="Times New Roman" w:hAnsi="Times New Roman"/>
                  <w:sz w:val="18"/>
                  <w:szCs w:val="18"/>
                  <w:color w:val="0000FF"/>
                </w:rPr>
                <w:t>15</w:t>
              </w:r>
            </w:hyperlink>
          </w:p>
        </w:tc>
        <w:tc>
          <w:tcPr>
            <w:tcW w:w="0" w:type="dxa"/>
            <w:vAlign w:val="bottom"/>
          </w:tcPr>
          <w:p>
            <w:pPr>
              <w:spacing w:after="0"/>
              <w:rPr>
                <w:sz w:val="1"/>
                <w:szCs w:val="1"/>
                <w:color w:val="auto"/>
              </w:rPr>
            </w:pPr>
          </w:p>
        </w:tc>
      </w:tr>
      <w:tr>
        <w:trPr>
          <w:trHeight w:val="229"/>
        </w:trPr>
        <w:tc>
          <w:tcPr>
            <w:tcW w:w="9760" w:type="dxa"/>
            <w:vAlign w:val="bottom"/>
            <w:gridSpan w:val="7"/>
          </w:tcPr>
          <w:p>
            <w:pPr>
              <w:ind w:left="20"/>
              <w:spacing w:after="0"/>
              <w:rPr>
                <w:rFonts w:ascii="Times New Roman" w:cs="Times New Roman" w:eastAsia="Times New Roman" w:hAnsi="Times New Roman"/>
                <w:sz w:val="18"/>
                <w:szCs w:val="18"/>
                <w:color w:val="0000FF"/>
              </w:rPr>
            </w:pPr>
            <w:hyperlink w:anchor="page23">
              <w:r>
                <w:rPr>
                  <w:rFonts w:ascii="Times New Roman" w:cs="Times New Roman" w:eastAsia="Times New Roman" w:hAnsi="Times New Roman"/>
                  <w:sz w:val="18"/>
                  <w:szCs w:val="18"/>
                  <w:color w:val="0000FF"/>
                </w:rPr>
                <w:t>Item 7A. Quantitative and Qualitative Disclosures About Market Risk</w:t>
              </w:r>
            </w:hyperlink>
          </w:p>
        </w:tc>
        <w:tc>
          <w:tcPr>
            <w:tcW w:w="1480" w:type="dxa"/>
            <w:vAlign w:val="bottom"/>
          </w:tcPr>
          <w:p>
            <w:pPr>
              <w:jc w:val="right"/>
              <w:spacing w:after="0"/>
              <w:rPr>
                <w:rFonts w:ascii="Times New Roman" w:cs="Times New Roman" w:eastAsia="Times New Roman" w:hAnsi="Times New Roman"/>
                <w:sz w:val="18"/>
                <w:szCs w:val="18"/>
                <w:color w:val="0000FF"/>
              </w:rPr>
            </w:pPr>
            <w:hyperlink w:anchor="page23">
              <w:r>
                <w:rPr>
                  <w:rFonts w:ascii="Times New Roman" w:cs="Times New Roman" w:eastAsia="Times New Roman" w:hAnsi="Times New Roman"/>
                  <w:sz w:val="18"/>
                  <w:szCs w:val="18"/>
                  <w:color w:val="0000FF"/>
                </w:rPr>
                <w:t>24</w:t>
              </w:r>
            </w:hyperlink>
          </w:p>
        </w:tc>
        <w:tc>
          <w:tcPr>
            <w:tcW w:w="0" w:type="dxa"/>
            <w:vAlign w:val="bottom"/>
          </w:tcPr>
          <w:p>
            <w:pPr>
              <w:spacing w:after="0"/>
              <w:rPr>
                <w:sz w:val="1"/>
                <w:szCs w:val="1"/>
                <w:color w:val="auto"/>
              </w:rPr>
            </w:pPr>
          </w:p>
        </w:tc>
      </w:tr>
      <w:tr>
        <w:trPr>
          <w:trHeight w:val="230"/>
        </w:trPr>
        <w:tc>
          <w:tcPr>
            <w:tcW w:w="9760" w:type="dxa"/>
            <w:vAlign w:val="bottom"/>
            <w:gridSpan w:val="7"/>
          </w:tcPr>
          <w:p>
            <w:pPr>
              <w:ind w:left="20"/>
              <w:spacing w:after="0"/>
              <w:rPr>
                <w:rFonts w:ascii="Times New Roman" w:cs="Times New Roman" w:eastAsia="Times New Roman" w:hAnsi="Times New Roman"/>
                <w:sz w:val="18"/>
                <w:szCs w:val="18"/>
                <w:color w:val="0000FF"/>
              </w:rPr>
            </w:pPr>
            <w:hyperlink w:anchor="page24">
              <w:r>
                <w:rPr>
                  <w:rFonts w:ascii="Times New Roman" w:cs="Times New Roman" w:eastAsia="Times New Roman" w:hAnsi="Times New Roman"/>
                  <w:sz w:val="18"/>
                  <w:szCs w:val="18"/>
                  <w:color w:val="0000FF"/>
                </w:rPr>
                <w:t>Item 8. Financial Statements and Supplementary Data</w:t>
              </w:r>
            </w:hyperlink>
          </w:p>
        </w:tc>
        <w:tc>
          <w:tcPr>
            <w:tcW w:w="1480" w:type="dxa"/>
            <w:vAlign w:val="bottom"/>
          </w:tcPr>
          <w:p>
            <w:pPr>
              <w:jc w:val="right"/>
              <w:spacing w:after="0"/>
              <w:rPr>
                <w:rFonts w:ascii="Times New Roman" w:cs="Times New Roman" w:eastAsia="Times New Roman" w:hAnsi="Times New Roman"/>
                <w:sz w:val="18"/>
                <w:szCs w:val="18"/>
                <w:color w:val="0000FF"/>
              </w:rPr>
            </w:pPr>
            <w:hyperlink w:anchor="page24">
              <w:r>
                <w:rPr>
                  <w:rFonts w:ascii="Times New Roman" w:cs="Times New Roman" w:eastAsia="Times New Roman" w:hAnsi="Times New Roman"/>
                  <w:sz w:val="18"/>
                  <w:szCs w:val="18"/>
                  <w:color w:val="0000FF"/>
                </w:rPr>
                <w:t>25</w:t>
              </w:r>
            </w:hyperlink>
          </w:p>
        </w:tc>
        <w:tc>
          <w:tcPr>
            <w:tcW w:w="0" w:type="dxa"/>
            <w:vAlign w:val="bottom"/>
          </w:tcPr>
          <w:p>
            <w:pPr>
              <w:spacing w:after="0"/>
              <w:rPr>
                <w:sz w:val="1"/>
                <w:szCs w:val="1"/>
                <w:color w:val="auto"/>
              </w:rPr>
            </w:pPr>
          </w:p>
        </w:tc>
      </w:tr>
      <w:tr>
        <w:trPr>
          <w:trHeight w:val="229"/>
        </w:trPr>
        <w:tc>
          <w:tcPr>
            <w:tcW w:w="9760" w:type="dxa"/>
            <w:vAlign w:val="bottom"/>
            <w:gridSpan w:val="7"/>
          </w:tcPr>
          <w:p>
            <w:pPr>
              <w:ind w:left="20"/>
              <w:spacing w:after="0"/>
              <w:rPr>
                <w:rFonts w:ascii="Times New Roman" w:cs="Times New Roman" w:eastAsia="Times New Roman" w:hAnsi="Times New Roman"/>
                <w:sz w:val="18"/>
                <w:szCs w:val="18"/>
                <w:color w:val="0000FF"/>
              </w:rPr>
            </w:pPr>
            <w:hyperlink w:anchor="page55">
              <w:r>
                <w:rPr>
                  <w:rFonts w:ascii="Times New Roman" w:cs="Times New Roman" w:eastAsia="Times New Roman" w:hAnsi="Times New Roman"/>
                  <w:sz w:val="18"/>
                  <w:szCs w:val="18"/>
                  <w:color w:val="0000FF"/>
                </w:rPr>
                <w:t>Item 9. Changes in and Disagreements With Accountants on Accounting and Financial Disclosure</w:t>
              </w:r>
            </w:hyperlink>
          </w:p>
        </w:tc>
        <w:tc>
          <w:tcPr>
            <w:tcW w:w="1480" w:type="dxa"/>
            <w:vAlign w:val="bottom"/>
          </w:tcPr>
          <w:p>
            <w:pPr>
              <w:jc w:val="right"/>
              <w:spacing w:after="0"/>
              <w:rPr>
                <w:rFonts w:ascii="Times New Roman" w:cs="Times New Roman" w:eastAsia="Times New Roman" w:hAnsi="Times New Roman"/>
                <w:sz w:val="18"/>
                <w:szCs w:val="18"/>
                <w:color w:val="0000FF"/>
              </w:rPr>
            </w:pPr>
            <w:hyperlink w:anchor="page55">
              <w:r>
                <w:rPr>
                  <w:rFonts w:ascii="Times New Roman" w:cs="Times New Roman" w:eastAsia="Times New Roman" w:hAnsi="Times New Roman"/>
                  <w:sz w:val="18"/>
                  <w:szCs w:val="18"/>
                  <w:color w:val="0000FF"/>
                </w:rPr>
                <w:t>55</w:t>
              </w:r>
            </w:hyperlink>
          </w:p>
        </w:tc>
        <w:tc>
          <w:tcPr>
            <w:tcW w:w="0" w:type="dxa"/>
            <w:vAlign w:val="bottom"/>
          </w:tcPr>
          <w:p>
            <w:pPr>
              <w:spacing w:after="0"/>
              <w:rPr>
                <w:sz w:val="1"/>
                <w:szCs w:val="1"/>
                <w:color w:val="auto"/>
              </w:rPr>
            </w:pPr>
          </w:p>
        </w:tc>
      </w:tr>
      <w:tr>
        <w:trPr>
          <w:trHeight w:val="230"/>
        </w:trPr>
        <w:tc>
          <w:tcPr>
            <w:tcW w:w="9760" w:type="dxa"/>
            <w:vAlign w:val="bottom"/>
            <w:gridSpan w:val="7"/>
          </w:tcPr>
          <w:p>
            <w:pPr>
              <w:ind w:left="20"/>
              <w:spacing w:after="0"/>
              <w:rPr>
                <w:rFonts w:ascii="Times New Roman" w:cs="Times New Roman" w:eastAsia="Times New Roman" w:hAnsi="Times New Roman"/>
                <w:sz w:val="18"/>
                <w:szCs w:val="18"/>
                <w:color w:val="0000FF"/>
              </w:rPr>
            </w:pPr>
            <w:hyperlink w:anchor="page55">
              <w:r>
                <w:rPr>
                  <w:rFonts w:ascii="Times New Roman" w:cs="Times New Roman" w:eastAsia="Times New Roman" w:hAnsi="Times New Roman"/>
                  <w:sz w:val="18"/>
                  <w:szCs w:val="18"/>
                  <w:color w:val="0000FF"/>
                </w:rPr>
                <w:t>Item 9A. Controls and Procedures</w:t>
              </w:r>
            </w:hyperlink>
          </w:p>
        </w:tc>
        <w:tc>
          <w:tcPr>
            <w:tcW w:w="1480" w:type="dxa"/>
            <w:vAlign w:val="bottom"/>
          </w:tcPr>
          <w:p>
            <w:pPr>
              <w:jc w:val="right"/>
              <w:spacing w:after="0"/>
              <w:rPr>
                <w:rFonts w:ascii="Times New Roman" w:cs="Times New Roman" w:eastAsia="Times New Roman" w:hAnsi="Times New Roman"/>
                <w:sz w:val="18"/>
                <w:szCs w:val="18"/>
                <w:color w:val="0000FF"/>
              </w:rPr>
            </w:pPr>
            <w:hyperlink w:anchor="page55">
              <w:r>
                <w:rPr>
                  <w:rFonts w:ascii="Times New Roman" w:cs="Times New Roman" w:eastAsia="Times New Roman" w:hAnsi="Times New Roman"/>
                  <w:sz w:val="18"/>
                  <w:szCs w:val="18"/>
                  <w:color w:val="0000FF"/>
                </w:rPr>
                <w:t>55</w:t>
              </w:r>
            </w:hyperlink>
          </w:p>
        </w:tc>
        <w:tc>
          <w:tcPr>
            <w:tcW w:w="0" w:type="dxa"/>
            <w:vAlign w:val="bottom"/>
          </w:tcPr>
          <w:p>
            <w:pPr>
              <w:spacing w:after="0"/>
              <w:rPr>
                <w:sz w:val="1"/>
                <w:szCs w:val="1"/>
                <w:color w:val="auto"/>
              </w:rPr>
            </w:pPr>
          </w:p>
        </w:tc>
      </w:tr>
      <w:tr>
        <w:trPr>
          <w:trHeight w:val="234"/>
        </w:trPr>
        <w:tc>
          <w:tcPr>
            <w:tcW w:w="9760" w:type="dxa"/>
            <w:vAlign w:val="bottom"/>
            <w:gridSpan w:val="7"/>
          </w:tcPr>
          <w:p>
            <w:pPr>
              <w:ind w:left="20"/>
              <w:spacing w:after="0"/>
              <w:rPr>
                <w:rFonts w:ascii="Times New Roman" w:cs="Times New Roman" w:eastAsia="Times New Roman" w:hAnsi="Times New Roman"/>
                <w:sz w:val="18"/>
                <w:szCs w:val="18"/>
                <w:color w:val="0000FF"/>
              </w:rPr>
            </w:pPr>
            <w:hyperlink w:anchor="page57">
              <w:r>
                <w:rPr>
                  <w:rFonts w:ascii="Times New Roman" w:cs="Times New Roman" w:eastAsia="Times New Roman" w:hAnsi="Times New Roman"/>
                  <w:sz w:val="18"/>
                  <w:szCs w:val="18"/>
                  <w:color w:val="0000FF"/>
                </w:rPr>
                <w:t>Item 9B. Other Information</w:t>
              </w:r>
            </w:hyperlink>
          </w:p>
        </w:tc>
        <w:tc>
          <w:tcPr>
            <w:tcW w:w="1480" w:type="dxa"/>
            <w:vAlign w:val="bottom"/>
          </w:tcPr>
          <w:p>
            <w:pPr>
              <w:jc w:val="right"/>
              <w:spacing w:after="0"/>
              <w:rPr>
                <w:rFonts w:ascii="Times New Roman" w:cs="Times New Roman" w:eastAsia="Times New Roman" w:hAnsi="Times New Roman"/>
                <w:sz w:val="18"/>
                <w:szCs w:val="18"/>
                <w:color w:val="0000FF"/>
              </w:rPr>
            </w:pPr>
            <w:hyperlink w:anchor="page57">
              <w:r>
                <w:rPr>
                  <w:rFonts w:ascii="Times New Roman" w:cs="Times New Roman" w:eastAsia="Times New Roman" w:hAnsi="Times New Roman"/>
                  <w:sz w:val="18"/>
                  <w:szCs w:val="18"/>
                  <w:color w:val="0000FF"/>
                </w:rPr>
                <w:t>58</w:t>
              </w:r>
            </w:hyperlink>
          </w:p>
        </w:tc>
        <w:tc>
          <w:tcPr>
            <w:tcW w:w="0" w:type="dxa"/>
            <w:vAlign w:val="bottom"/>
          </w:tcPr>
          <w:p>
            <w:pPr>
              <w:spacing w:after="0"/>
              <w:rPr>
                <w:sz w:val="1"/>
                <w:szCs w:val="1"/>
                <w:color w:val="auto"/>
              </w:rPr>
            </w:pPr>
          </w:p>
        </w:tc>
      </w:tr>
      <w:tr>
        <w:trPr>
          <w:trHeight w:val="203"/>
        </w:trPr>
        <w:tc>
          <w:tcPr>
            <w:tcW w:w="4520" w:type="dxa"/>
            <w:vAlign w:val="bottom"/>
          </w:tcPr>
          <w:p>
            <w:pPr>
              <w:spacing w:after="0"/>
              <w:rPr>
                <w:sz w:val="17"/>
                <w:szCs w:val="17"/>
                <w:color w:val="auto"/>
              </w:rPr>
            </w:pPr>
          </w:p>
        </w:tc>
        <w:tc>
          <w:tcPr>
            <w:tcW w:w="740" w:type="dxa"/>
            <w:vAlign w:val="bottom"/>
            <w:tcBorders>
              <w:bottom w:val="single" w:sz="8" w:color="auto"/>
            </w:tcBorders>
            <w:gridSpan w:val="5"/>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PART III</w:t>
            </w:r>
          </w:p>
        </w:tc>
        <w:tc>
          <w:tcPr>
            <w:tcW w:w="45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2"/>
        </w:trPr>
        <w:tc>
          <w:tcPr>
            <w:tcW w:w="9760" w:type="dxa"/>
            <w:vAlign w:val="bottom"/>
            <w:gridSpan w:val="7"/>
          </w:tcPr>
          <w:p>
            <w:pPr>
              <w:ind w:left="20"/>
              <w:spacing w:after="0"/>
              <w:rPr>
                <w:rFonts w:ascii="Times New Roman" w:cs="Times New Roman" w:eastAsia="Times New Roman" w:hAnsi="Times New Roman"/>
                <w:sz w:val="18"/>
                <w:szCs w:val="18"/>
                <w:color w:val="0000FF"/>
              </w:rPr>
            </w:pPr>
            <w:hyperlink w:anchor="page58">
              <w:r>
                <w:rPr>
                  <w:rFonts w:ascii="Times New Roman" w:cs="Times New Roman" w:eastAsia="Times New Roman" w:hAnsi="Times New Roman"/>
                  <w:sz w:val="18"/>
                  <w:szCs w:val="18"/>
                  <w:color w:val="0000FF"/>
                </w:rPr>
                <w:t>Item 10. Directors, Executive Officers and Corporate Governance</w:t>
              </w:r>
            </w:hyperlink>
          </w:p>
        </w:tc>
        <w:tc>
          <w:tcPr>
            <w:tcW w:w="1480" w:type="dxa"/>
            <w:vAlign w:val="bottom"/>
          </w:tcPr>
          <w:p>
            <w:pPr>
              <w:jc w:val="right"/>
              <w:spacing w:after="0"/>
              <w:rPr>
                <w:rFonts w:ascii="Times New Roman" w:cs="Times New Roman" w:eastAsia="Times New Roman" w:hAnsi="Times New Roman"/>
                <w:sz w:val="18"/>
                <w:szCs w:val="18"/>
                <w:color w:val="0000FF"/>
              </w:rPr>
            </w:pPr>
            <w:hyperlink w:anchor="page58">
              <w:r>
                <w:rPr>
                  <w:rFonts w:ascii="Times New Roman" w:cs="Times New Roman" w:eastAsia="Times New Roman" w:hAnsi="Times New Roman"/>
                  <w:sz w:val="18"/>
                  <w:szCs w:val="18"/>
                  <w:color w:val="0000FF"/>
                </w:rPr>
                <w:t>58</w:t>
              </w:r>
            </w:hyperlink>
          </w:p>
        </w:tc>
        <w:tc>
          <w:tcPr>
            <w:tcW w:w="0" w:type="dxa"/>
            <w:vAlign w:val="bottom"/>
          </w:tcPr>
          <w:p>
            <w:pPr>
              <w:spacing w:after="0"/>
              <w:rPr>
                <w:sz w:val="1"/>
                <w:szCs w:val="1"/>
                <w:color w:val="auto"/>
              </w:rPr>
            </w:pPr>
          </w:p>
        </w:tc>
      </w:tr>
      <w:tr>
        <w:trPr>
          <w:trHeight w:val="229"/>
        </w:trPr>
        <w:tc>
          <w:tcPr>
            <w:tcW w:w="9760" w:type="dxa"/>
            <w:vAlign w:val="bottom"/>
            <w:gridSpan w:val="7"/>
          </w:tcPr>
          <w:p>
            <w:pPr>
              <w:ind w:left="20"/>
              <w:spacing w:after="0"/>
              <w:rPr>
                <w:rFonts w:ascii="Times New Roman" w:cs="Times New Roman" w:eastAsia="Times New Roman" w:hAnsi="Times New Roman"/>
                <w:sz w:val="18"/>
                <w:szCs w:val="18"/>
                <w:color w:val="0000FF"/>
              </w:rPr>
            </w:pPr>
            <w:hyperlink w:anchor="page62">
              <w:r>
                <w:rPr>
                  <w:rFonts w:ascii="Times New Roman" w:cs="Times New Roman" w:eastAsia="Times New Roman" w:hAnsi="Times New Roman"/>
                  <w:sz w:val="18"/>
                  <w:szCs w:val="18"/>
                  <w:color w:val="0000FF"/>
                </w:rPr>
                <w:t>Item 11. Executive Compensation</w:t>
              </w:r>
            </w:hyperlink>
          </w:p>
        </w:tc>
        <w:tc>
          <w:tcPr>
            <w:tcW w:w="1480" w:type="dxa"/>
            <w:vAlign w:val="bottom"/>
          </w:tcPr>
          <w:p>
            <w:pPr>
              <w:jc w:val="right"/>
              <w:spacing w:after="0"/>
              <w:rPr>
                <w:rFonts w:ascii="Times New Roman" w:cs="Times New Roman" w:eastAsia="Times New Roman" w:hAnsi="Times New Roman"/>
                <w:sz w:val="18"/>
                <w:szCs w:val="18"/>
                <w:color w:val="0000FF"/>
              </w:rPr>
            </w:pPr>
            <w:hyperlink w:anchor="page62">
              <w:r>
                <w:rPr>
                  <w:rFonts w:ascii="Times New Roman" w:cs="Times New Roman" w:eastAsia="Times New Roman" w:hAnsi="Times New Roman"/>
                  <w:sz w:val="18"/>
                  <w:szCs w:val="18"/>
                  <w:color w:val="0000FF"/>
                </w:rPr>
                <w:t>63</w:t>
              </w:r>
            </w:hyperlink>
          </w:p>
        </w:tc>
        <w:tc>
          <w:tcPr>
            <w:tcW w:w="0" w:type="dxa"/>
            <w:vAlign w:val="bottom"/>
          </w:tcPr>
          <w:p>
            <w:pPr>
              <w:spacing w:after="0"/>
              <w:rPr>
                <w:sz w:val="1"/>
                <w:szCs w:val="1"/>
                <w:color w:val="auto"/>
              </w:rPr>
            </w:pPr>
          </w:p>
        </w:tc>
      </w:tr>
      <w:tr>
        <w:trPr>
          <w:trHeight w:val="230"/>
        </w:trPr>
        <w:tc>
          <w:tcPr>
            <w:tcW w:w="9760" w:type="dxa"/>
            <w:vAlign w:val="bottom"/>
            <w:gridSpan w:val="7"/>
          </w:tcPr>
          <w:p>
            <w:pPr>
              <w:ind w:left="360"/>
              <w:spacing w:after="0"/>
              <w:rPr>
                <w:rFonts w:ascii="Times New Roman" w:cs="Times New Roman" w:eastAsia="Times New Roman" w:hAnsi="Times New Roman"/>
                <w:sz w:val="18"/>
                <w:szCs w:val="18"/>
                <w:color w:val="0000FF"/>
              </w:rPr>
            </w:pPr>
            <w:hyperlink w:anchor="page63">
              <w:r>
                <w:rPr>
                  <w:rFonts w:ascii="Times New Roman" w:cs="Times New Roman" w:eastAsia="Times New Roman" w:hAnsi="Times New Roman"/>
                  <w:sz w:val="18"/>
                  <w:szCs w:val="18"/>
                  <w:color w:val="0000FF"/>
                </w:rPr>
                <w:t>Compensation Discussion and Analysis</w:t>
              </w:r>
            </w:hyperlink>
          </w:p>
        </w:tc>
        <w:tc>
          <w:tcPr>
            <w:tcW w:w="1480" w:type="dxa"/>
            <w:vAlign w:val="bottom"/>
          </w:tcPr>
          <w:p>
            <w:pPr>
              <w:jc w:val="right"/>
              <w:spacing w:after="0"/>
              <w:rPr>
                <w:rFonts w:ascii="Times New Roman" w:cs="Times New Roman" w:eastAsia="Times New Roman" w:hAnsi="Times New Roman"/>
                <w:sz w:val="18"/>
                <w:szCs w:val="18"/>
                <w:color w:val="0000FF"/>
              </w:rPr>
            </w:pPr>
            <w:hyperlink w:anchor="page63">
              <w:r>
                <w:rPr>
                  <w:rFonts w:ascii="Times New Roman" w:cs="Times New Roman" w:eastAsia="Times New Roman" w:hAnsi="Times New Roman"/>
                  <w:sz w:val="18"/>
                  <w:szCs w:val="18"/>
                  <w:color w:val="0000FF"/>
                </w:rPr>
                <w:t>63</w:t>
              </w:r>
            </w:hyperlink>
          </w:p>
        </w:tc>
        <w:tc>
          <w:tcPr>
            <w:tcW w:w="0" w:type="dxa"/>
            <w:vAlign w:val="bottom"/>
          </w:tcPr>
          <w:p>
            <w:pPr>
              <w:spacing w:after="0"/>
              <w:rPr>
                <w:sz w:val="1"/>
                <w:szCs w:val="1"/>
                <w:color w:val="auto"/>
              </w:rPr>
            </w:pPr>
          </w:p>
        </w:tc>
      </w:tr>
      <w:tr>
        <w:trPr>
          <w:trHeight w:val="230"/>
        </w:trPr>
        <w:tc>
          <w:tcPr>
            <w:tcW w:w="9760" w:type="dxa"/>
            <w:vAlign w:val="bottom"/>
            <w:gridSpan w:val="7"/>
          </w:tcPr>
          <w:p>
            <w:pPr>
              <w:ind w:left="360"/>
              <w:spacing w:after="0"/>
              <w:rPr>
                <w:rFonts w:ascii="Times New Roman" w:cs="Times New Roman" w:eastAsia="Times New Roman" w:hAnsi="Times New Roman"/>
                <w:sz w:val="18"/>
                <w:szCs w:val="18"/>
                <w:color w:val="0000FF"/>
              </w:rPr>
            </w:pPr>
            <w:hyperlink w:anchor="page76">
              <w:r>
                <w:rPr>
                  <w:rFonts w:ascii="Times New Roman" w:cs="Times New Roman" w:eastAsia="Times New Roman" w:hAnsi="Times New Roman"/>
                  <w:sz w:val="18"/>
                  <w:szCs w:val="18"/>
                  <w:color w:val="0000FF"/>
                </w:rPr>
                <w:t>Management Development and Compensation Committee Interlocks and Insider Participation</w:t>
              </w:r>
            </w:hyperlink>
          </w:p>
        </w:tc>
        <w:tc>
          <w:tcPr>
            <w:tcW w:w="1480" w:type="dxa"/>
            <w:vAlign w:val="bottom"/>
          </w:tcPr>
          <w:p>
            <w:pPr>
              <w:jc w:val="right"/>
              <w:spacing w:after="0"/>
              <w:rPr>
                <w:rFonts w:ascii="Times New Roman" w:cs="Times New Roman" w:eastAsia="Times New Roman" w:hAnsi="Times New Roman"/>
                <w:sz w:val="18"/>
                <w:szCs w:val="18"/>
                <w:color w:val="0000FF"/>
              </w:rPr>
            </w:pPr>
            <w:hyperlink w:anchor="page76">
              <w:r>
                <w:rPr>
                  <w:rFonts w:ascii="Times New Roman" w:cs="Times New Roman" w:eastAsia="Times New Roman" w:hAnsi="Times New Roman"/>
                  <w:sz w:val="18"/>
                  <w:szCs w:val="18"/>
                  <w:color w:val="0000FF"/>
                </w:rPr>
                <w:t>76</w:t>
              </w:r>
            </w:hyperlink>
          </w:p>
        </w:tc>
        <w:tc>
          <w:tcPr>
            <w:tcW w:w="0" w:type="dxa"/>
            <w:vAlign w:val="bottom"/>
          </w:tcPr>
          <w:p>
            <w:pPr>
              <w:spacing w:after="0"/>
              <w:rPr>
                <w:sz w:val="1"/>
                <w:szCs w:val="1"/>
                <w:color w:val="auto"/>
              </w:rPr>
            </w:pPr>
          </w:p>
        </w:tc>
      </w:tr>
      <w:tr>
        <w:trPr>
          <w:trHeight w:val="230"/>
        </w:trPr>
        <w:tc>
          <w:tcPr>
            <w:tcW w:w="9760" w:type="dxa"/>
            <w:vAlign w:val="bottom"/>
            <w:gridSpan w:val="7"/>
          </w:tcPr>
          <w:p>
            <w:pPr>
              <w:ind w:left="360"/>
              <w:spacing w:after="0"/>
              <w:rPr>
                <w:rFonts w:ascii="Times New Roman" w:cs="Times New Roman" w:eastAsia="Times New Roman" w:hAnsi="Times New Roman"/>
                <w:sz w:val="18"/>
                <w:szCs w:val="18"/>
                <w:color w:val="0000FF"/>
              </w:rPr>
            </w:pPr>
            <w:hyperlink w:anchor="page76">
              <w:r>
                <w:rPr>
                  <w:rFonts w:ascii="Times New Roman" w:cs="Times New Roman" w:eastAsia="Times New Roman" w:hAnsi="Times New Roman"/>
                  <w:sz w:val="18"/>
                  <w:szCs w:val="18"/>
                  <w:color w:val="0000FF"/>
                </w:rPr>
                <w:t>Management Development and Compensation Committee Report</w:t>
              </w:r>
            </w:hyperlink>
          </w:p>
        </w:tc>
        <w:tc>
          <w:tcPr>
            <w:tcW w:w="1480" w:type="dxa"/>
            <w:vAlign w:val="bottom"/>
          </w:tcPr>
          <w:p>
            <w:pPr>
              <w:jc w:val="right"/>
              <w:spacing w:after="0"/>
              <w:rPr>
                <w:rFonts w:ascii="Times New Roman" w:cs="Times New Roman" w:eastAsia="Times New Roman" w:hAnsi="Times New Roman"/>
                <w:sz w:val="18"/>
                <w:szCs w:val="18"/>
                <w:color w:val="0000FF"/>
              </w:rPr>
            </w:pPr>
            <w:hyperlink w:anchor="page76">
              <w:r>
                <w:rPr>
                  <w:rFonts w:ascii="Times New Roman" w:cs="Times New Roman" w:eastAsia="Times New Roman" w:hAnsi="Times New Roman"/>
                  <w:sz w:val="18"/>
                  <w:szCs w:val="18"/>
                  <w:color w:val="0000FF"/>
                </w:rPr>
                <w:t>76</w:t>
              </w:r>
            </w:hyperlink>
          </w:p>
        </w:tc>
        <w:tc>
          <w:tcPr>
            <w:tcW w:w="0" w:type="dxa"/>
            <w:vAlign w:val="bottom"/>
          </w:tcPr>
          <w:p>
            <w:pPr>
              <w:spacing w:after="0"/>
              <w:rPr>
                <w:sz w:val="1"/>
                <w:szCs w:val="1"/>
                <w:color w:val="auto"/>
              </w:rPr>
            </w:pPr>
          </w:p>
        </w:tc>
      </w:tr>
      <w:tr>
        <w:trPr>
          <w:trHeight w:val="229"/>
        </w:trPr>
        <w:tc>
          <w:tcPr>
            <w:tcW w:w="9760" w:type="dxa"/>
            <w:vAlign w:val="bottom"/>
            <w:gridSpan w:val="7"/>
          </w:tcPr>
          <w:p>
            <w:pPr>
              <w:ind w:left="360"/>
              <w:spacing w:after="0"/>
              <w:rPr>
                <w:rFonts w:ascii="Times New Roman" w:cs="Times New Roman" w:eastAsia="Times New Roman" w:hAnsi="Times New Roman"/>
                <w:sz w:val="18"/>
                <w:szCs w:val="18"/>
                <w:color w:val="0000FF"/>
              </w:rPr>
            </w:pPr>
            <w:hyperlink w:anchor="page76">
              <w:r>
                <w:rPr>
                  <w:rFonts w:ascii="Times New Roman" w:cs="Times New Roman" w:eastAsia="Times New Roman" w:hAnsi="Times New Roman"/>
                  <w:sz w:val="18"/>
                  <w:szCs w:val="18"/>
                  <w:color w:val="0000FF"/>
                </w:rPr>
                <w:t>Compensation Policies and Practices</w:t>
              </w:r>
            </w:hyperlink>
          </w:p>
        </w:tc>
        <w:tc>
          <w:tcPr>
            <w:tcW w:w="1480" w:type="dxa"/>
            <w:vAlign w:val="bottom"/>
          </w:tcPr>
          <w:p>
            <w:pPr>
              <w:jc w:val="right"/>
              <w:spacing w:after="0"/>
              <w:rPr>
                <w:rFonts w:ascii="Times New Roman" w:cs="Times New Roman" w:eastAsia="Times New Roman" w:hAnsi="Times New Roman"/>
                <w:sz w:val="18"/>
                <w:szCs w:val="18"/>
                <w:color w:val="0000FF"/>
              </w:rPr>
            </w:pPr>
            <w:hyperlink w:anchor="page76">
              <w:r>
                <w:rPr>
                  <w:rFonts w:ascii="Times New Roman" w:cs="Times New Roman" w:eastAsia="Times New Roman" w:hAnsi="Times New Roman"/>
                  <w:sz w:val="18"/>
                  <w:szCs w:val="18"/>
                  <w:color w:val="0000FF"/>
                </w:rPr>
                <w:t>76</w:t>
              </w:r>
            </w:hyperlink>
          </w:p>
        </w:tc>
        <w:tc>
          <w:tcPr>
            <w:tcW w:w="0" w:type="dxa"/>
            <w:vAlign w:val="bottom"/>
          </w:tcPr>
          <w:p>
            <w:pPr>
              <w:spacing w:after="0"/>
              <w:rPr>
                <w:sz w:val="1"/>
                <w:szCs w:val="1"/>
                <w:color w:val="auto"/>
              </w:rPr>
            </w:pPr>
          </w:p>
        </w:tc>
      </w:tr>
      <w:tr>
        <w:trPr>
          <w:trHeight w:val="230"/>
        </w:trPr>
        <w:tc>
          <w:tcPr>
            <w:tcW w:w="9760" w:type="dxa"/>
            <w:vAlign w:val="bottom"/>
            <w:gridSpan w:val="7"/>
          </w:tcPr>
          <w:p>
            <w:pPr>
              <w:ind w:left="360"/>
              <w:spacing w:after="0"/>
              <w:rPr>
                <w:rFonts w:ascii="Times New Roman" w:cs="Times New Roman" w:eastAsia="Times New Roman" w:hAnsi="Times New Roman"/>
                <w:sz w:val="18"/>
                <w:szCs w:val="18"/>
                <w:color w:val="0000FF"/>
              </w:rPr>
            </w:pPr>
            <w:hyperlink w:anchor="page76">
              <w:r>
                <w:rPr>
                  <w:rFonts w:ascii="Times New Roman" w:cs="Times New Roman" w:eastAsia="Times New Roman" w:hAnsi="Times New Roman"/>
                  <w:sz w:val="18"/>
                  <w:szCs w:val="18"/>
                  <w:color w:val="0000FF"/>
                </w:rPr>
                <w:t>Summary Compensation Table</w:t>
              </w:r>
            </w:hyperlink>
          </w:p>
        </w:tc>
        <w:tc>
          <w:tcPr>
            <w:tcW w:w="1480" w:type="dxa"/>
            <w:vAlign w:val="bottom"/>
          </w:tcPr>
          <w:p>
            <w:pPr>
              <w:jc w:val="right"/>
              <w:spacing w:after="0"/>
              <w:rPr>
                <w:rFonts w:ascii="Times New Roman" w:cs="Times New Roman" w:eastAsia="Times New Roman" w:hAnsi="Times New Roman"/>
                <w:sz w:val="18"/>
                <w:szCs w:val="18"/>
                <w:color w:val="0000FF"/>
              </w:rPr>
            </w:pPr>
            <w:hyperlink w:anchor="page76">
              <w:r>
                <w:rPr>
                  <w:rFonts w:ascii="Times New Roman" w:cs="Times New Roman" w:eastAsia="Times New Roman" w:hAnsi="Times New Roman"/>
                  <w:sz w:val="18"/>
                  <w:szCs w:val="18"/>
                  <w:color w:val="0000FF"/>
                </w:rPr>
                <w:t>77</w:t>
              </w:r>
            </w:hyperlink>
          </w:p>
        </w:tc>
        <w:tc>
          <w:tcPr>
            <w:tcW w:w="0" w:type="dxa"/>
            <w:vAlign w:val="bottom"/>
          </w:tcPr>
          <w:p>
            <w:pPr>
              <w:spacing w:after="0"/>
              <w:rPr>
                <w:sz w:val="1"/>
                <w:szCs w:val="1"/>
                <w:color w:val="auto"/>
              </w:rPr>
            </w:pPr>
          </w:p>
        </w:tc>
      </w:tr>
      <w:tr>
        <w:trPr>
          <w:trHeight w:val="230"/>
        </w:trPr>
        <w:tc>
          <w:tcPr>
            <w:tcW w:w="9760" w:type="dxa"/>
            <w:vAlign w:val="bottom"/>
            <w:gridSpan w:val="7"/>
          </w:tcPr>
          <w:p>
            <w:pPr>
              <w:ind w:left="360"/>
              <w:spacing w:after="0"/>
              <w:rPr>
                <w:rFonts w:ascii="Times New Roman" w:cs="Times New Roman" w:eastAsia="Times New Roman" w:hAnsi="Times New Roman"/>
                <w:sz w:val="18"/>
                <w:szCs w:val="18"/>
                <w:color w:val="0000FF"/>
              </w:rPr>
            </w:pPr>
            <w:hyperlink w:anchor="page78">
              <w:r>
                <w:rPr>
                  <w:rFonts w:ascii="Times New Roman" w:cs="Times New Roman" w:eastAsia="Times New Roman" w:hAnsi="Times New Roman"/>
                  <w:sz w:val="18"/>
                  <w:szCs w:val="18"/>
                  <w:color w:val="0000FF"/>
                </w:rPr>
                <w:t>Grants of Plan-Based Awards for 2020</w:t>
              </w:r>
            </w:hyperlink>
          </w:p>
        </w:tc>
        <w:tc>
          <w:tcPr>
            <w:tcW w:w="1480" w:type="dxa"/>
            <w:vAlign w:val="bottom"/>
          </w:tcPr>
          <w:p>
            <w:pPr>
              <w:jc w:val="right"/>
              <w:spacing w:after="0"/>
              <w:rPr>
                <w:rFonts w:ascii="Times New Roman" w:cs="Times New Roman" w:eastAsia="Times New Roman" w:hAnsi="Times New Roman"/>
                <w:sz w:val="18"/>
                <w:szCs w:val="18"/>
                <w:color w:val="0000FF"/>
              </w:rPr>
            </w:pPr>
            <w:hyperlink w:anchor="page78">
              <w:r>
                <w:rPr>
                  <w:rFonts w:ascii="Times New Roman" w:cs="Times New Roman" w:eastAsia="Times New Roman" w:hAnsi="Times New Roman"/>
                  <w:sz w:val="18"/>
                  <w:szCs w:val="18"/>
                  <w:color w:val="0000FF"/>
                </w:rPr>
                <w:t>79</w:t>
              </w:r>
            </w:hyperlink>
          </w:p>
        </w:tc>
        <w:tc>
          <w:tcPr>
            <w:tcW w:w="0" w:type="dxa"/>
            <w:vAlign w:val="bottom"/>
          </w:tcPr>
          <w:p>
            <w:pPr>
              <w:spacing w:after="0"/>
              <w:rPr>
                <w:sz w:val="1"/>
                <w:szCs w:val="1"/>
                <w:color w:val="auto"/>
              </w:rPr>
            </w:pPr>
          </w:p>
        </w:tc>
      </w:tr>
      <w:tr>
        <w:trPr>
          <w:trHeight w:val="230"/>
        </w:trPr>
        <w:tc>
          <w:tcPr>
            <w:tcW w:w="9760" w:type="dxa"/>
            <w:vAlign w:val="bottom"/>
            <w:gridSpan w:val="7"/>
          </w:tcPr>
          <w:p>
            <w:pPr>
              <w:ind w:left="360"/>
              <w:spacing w:after="0"/>
              <w:rPr>
                <w:rFonts w:ascii="Times New Roman" w:cs="Times New Roman" w:eastAsia="Times New Roman" w:hAnsi="Times New Roman"/>
                <w:sz w:val="18"/>
                <w:szCs w:val="18"/>
                <w:color w:val="0000FF"/>
              </w:rPr>
            </w:pPr>
            <w:hyperlink w:anchor="page80">
              <w:r>
                <w:rPr>
                  <w:rFonts w:ascii="Times New Roman" w:cs="Times New Roman" w:eastAsia="Times New Roman" w:hAnsi="Times New Roman"/>
                  <w:sz w:val="18"/>
                  <w:szCs w:val="18"/>
                  <w:color w:val="0000FF"/>
                </w:rPr>
                <w:t>Outstanding Equity Awards at 2020 Fiscal Year End</w:t>
              </w:r>
            </w:hyperlink>
          </w:p>
        </w:tc>
        <w:tc>
          <w:tcPr>
            <w:tcW w:w="1480" w:type="dxa"/>
            <w:vAlign w:val="bottom"/>
          </w:tcPr>
          <w:p>
            <w:pPr>
              <w:jc w:val="right"/>
              <w:spacing w:after="0"/>
              <w:rPr>
                <w:rFonts w:ascii="Times New Roman" w:cs="Times New Roman" w:eastAsia="Times New Roman" w:hAnsi="Times New Roman"/>
                <w:sz w:val="18"/>
                <w:szCs w:val="18"/>
                <w:color w:val="0000FF"/>
              </w:rPr>
            </w:pPr>
            <w:hyperlink w:anchor="page80">
              <w:r>
                <w:rPr>
                  <w:rFonts w:ascii="Times New Roman" w:cs="Times New Roman" w:eastAsia="Times New Roman" w:hAnsi="Times New Roman"/>
                  <w:sz w:val="18"/>
                  <w:szCs w:val="18"/>
                  <w:color w:val="0000FF"/>
                </w:rPr>
                <w:t>80</w:t>
              </w:r>
            </w:hyperlink>
          </w:p>
        </w:tc>
        <w:tc>
          <w:tcPr>
            <w:tcW w:w="0" w:type="dxa"/>
            <w:vAlign w:val="bottom"/>
          </w:tcPr>
          <w:p>
            <w:pPr>
              <w:spacing w:after="0"/>
              <w:rPr>
                <w:sz w:val="1"/>
                <w:szCs w:val="1"/>
                <w:color w:val="auto"/>
              </w:rPr>
            </w:pPr>
          </w:p>
        </w:tc>
      </w:tr>
      <w:tr>
        <w:trPr>
          <w:trHeight w:val="229"/>
        </w:trPr>
        <w:tc>
          <w:tcPr>
            <w:tcW w:w="9760" w:type="dxa"/>
            <w:vAlign w:val="bottom"/>
            <w:gridSpan w:val="7"/>
          </w:tcPr>
          <w:p>
            <w:pPr>
              <w:ind w:left="360"/>
              <w:spacing w:after="0"/>
              <w:rPr>
                <w:rFonts w:ascii="Times New Roman" w:cs="Times New Roman" w:eastAsia="Times New Roman" w:hAnsi="Times New Roman"/>
                <w:sz w:val="18"/>
                <w:szCs w:val="18"/>
                <w:color w:val="0000FF"/>
              </w:rPr>
            </w:pPr>
            <w:hyperlink w:anchor="page83">
              <w:r>
                <w:rPr>
                  <w:rFonts w:ascii="Times New Roman" w:cs="Times New Roman" w:eastAsia="Times New Roman" w:hAnsi="Times New Roman"/>
                  <w:sz w:val="18"/>
                  <w:szCs w:val="18"/>
                  <w:color w:val="0000FF"/>
                </w:rPr>
                <w:t>Option Exercises and Stock Vested for Fiscal 2020</w:t>
              </w:r>
            </w:hyperlink>
          </w:p>
        </w:tc>
        <w:tc>
          <w:tcPr>
            <w:tcW w:w="1480" w:type="dxa"/>
            <w:vAlign w:val="bottom"/>
          </w:tcPr>
          <w:p>
            <w:pPr>
              <w:jc w:val="right"/>
              <w:spacing w:after="0"/>
              <w:rPr>
                <w:rFonts w:ascii="Times New Roman" w:cs="Times New Roman" w:eastAsia="Times New Roman" w:hAnsi="Times New Roman"/>
                <w:sz w:val="18"/>
                <w:szCs w:val="18"/>
                <w:color w:val="0000FF"/>
              </w:rPr>
            </w:pPr>
            <w:hyperlink w:anchor="page83">
              <w:r>
                <w:rPr>
                  <w:rFonts w:ascii="Times New Roman" w:cs="Times New Roman" w:eastAsia="Times New Roman" w:hAnsi="Times New Roman"/>
                  <w:sz w:val="18"/>
                  <w:szCs w:val="18"/>
                  <w:color w:val="0000FF"/>
                </w:rPr>
                <w:t>83</w:t>
              </w:r>
            </w:hyperlink>
          </w:p>
        </w:tc>
        <w:tc>
          <w:tcPr>
            <w:tcW w:w="0" w:type="dxa"/>
            <w:vAlign w:val="bottom"/>
          </w:tcPr>
          <w:p>
            <w:pPr>
              <w:spacing w:after="0"/>
              <w:rPr>
                <w:sz w:val="1"/>
                <w:szCs w:val="1"/>
                <w:color w:val="auto"/>
              </w:rPr>
            </w:pPr>
          </w:p>
        </w:tc>
      </w:tr>
      <w:tr>
        <w:trPr>
          <w:trHeight w:val="230"/>
        </w:trPr>
        <w:tc>
          <w:tcPr>
            <w:tcW w:w="9760" w:type="dxa"/>
            <w:vAlign w:val="bottom"/>
            <w:gridSpan w:val="7"/>
          </w:tcPr>
          <w:p>
            <w:pPr>
              <w:ind w:left="360"/>
              <w:spacing w:after="0"/>
              <w:rPr>
                <w:rFonts w:ascii="Times New Roman" w:cs="Times New Roman" w:eastAsia="Times New Roman" w:hAnsi="Times New Roman"/>
                <w:sz w:val="18"/>
                <w:szCs w:val="18"/>
                <w:color w:val="0000FF"/>
              </w:rPr>
            </w:pPr>
            <w:hyperlink w:anchor="page84">
              <w:r>
                <w:rPr>
                  <w:rFonts w:ascii="Times New Roman" w:cs="Times New Roman" w:eastAsia="Times New Roman" w:hAnsi="Times New Roman"/>
                  <w:sz w:val="18"/>
                  <w:szCs w:val="18"/>
                  <w:color w:val="0000FF"/>
                </w:rPr>
                <w:t>Non-Qualified Deferred Compensation for Fiscal 2020</w:t>
              </w:r>
            </w:hyperlink>
          </w:p>
        </w:tc>
        <w:tc>
          <w:tcPr>
            <w:tcW w:w="1480" w:type="dxa"/>
            <w:vAlign w:val="bottom"/>
          </w:tcPr>
          <w:p>
            <w:pPr>
              <w:jc w:val="right"/>
              <w:spacing w:after="0"/>
              <w:rPr>
                <w:rFonts w:ascii="Times New Roman" w:cs="Times New Roman" w:eastAsia="Times New Roman" w:hAnsi="Times New Roman"/>
                <w:sz w:val="18"/>
                <w:szCs w:val="18"/>
                <w:color w:val="0000FF"/>
              </w:rPr>
            </w:pPr>
            <w:hyperlink w:anchor="page84">
              <w:r>
                <w:rPr>
                  <w:rFonts w:ascii="Times New Roman" w:cs="Times New Roman" w:eastAsia="Times New Roman" w:hAnsi="Times New Roman"/>
                  <w:sz w:val="18"/>
                  <w:szCs w:val="18"/>
                  <w:color w:val="0000FF"/>
                </w:rPr>
                <w:t>84</w:t>
              </w:r>
            </w:hyperlink>
          </w:p>
        </w:tc>
        <w:tc>
          <w:tcPr>
            <w:tcW w:w="0" w:type="dxa"/>
            <w:vAlign w:val="bottom"/>
          </w:tcPr>
          <w:p>
            <w:pPr>
              <w:spacing w:after="0"/>
              <w:rPr>
                <w:sz w:val="1"/>
                <w:szCs w:val="1"/>
                <w:color w:val="auto"/>
              </w:rPr>
            </w:pPr>
          </w:p>
        </w:tc>
      </w:tr>
      <w:tr>
        <w:trPr>
          <w:trHeight w:val="230"/>
        </w:trPr>
        <w:tc>
          <w:tcPr>
            <w:tcW w:w="9760" w:type="dxa"/>
            <w:vAlign w:val="bottom"/>
            <w:gridSpan w:val="7"/>
          </w:tcPr>
          <w:p>
            <w:pPr>
              <w:ind w:left="360"/>
              <w:spacing w:after="0"/>
              <w:rPr>
                <w:rFonts w:ascii="Times New Roman" w:cs="Times New Roman" w:eastAsia="Times New Roman" w:hAnsi="Times New Roman"/>
                <w:sz w:val="18"/>
                <w:szCs w:val="18"/>
                <w:color w:val="0000FF"/>
              </w:rPr>
            </w:pPr>
            <w:hyperlink w:anchor="page84">
              <w:r>
                <w:rPr>
                  <w:rFonts w:ascii="Times New Roman" w:cs="Times New Roman" w:eastAsia="Times New Roman" w:hAnsi="Times New Roman"/>
                  <w:sz w:val="18"/>
                  <w:szCs w:val="18"/>
                  <w:color w:val="0000FF"/>
                </w:rPr>
                <w:t>Potential Payments Upon Termination or Change in Control</w:t>
              </w:r>
            </w:hyperlink>
          </w:p>
        </w:tc>
        <w:tc>
          <w:tcPr>
            <w:tcW w:w="1480" w:type="dxa"/>
            <w:vAlign w:val="bottom"/>
          </w:tcPr>
          <w:p>
            <w:pPr>
              <w:jc w:val="right"/>
              <w:spacing w:after="0"/>
              <w:rPr>
                <w:rFonts w:ascii="Times New Roman" w:cs="Times New Roman" w:eastAsia="Times New Roman" w:hAnsi="Times New Roman"/>
                <w:sz w:val="18"/>
                <w:szCs w:val="18"/>
                <w:color w:val="0000FF"/>
              </w:rPr>
            </w:pPr>
            <w:hyperlink w:anchor="page84">
              <w:r>
                <w:rPr>
                  <w:rFonts w:ascii="Times New Roman" w:cs="Times New Roman" w:eastAsia="Times New Roman" w:hAnsi="Times New Roman"/>
                  <w:sz w:val="18"/>
                  <w:szCs w:val="18"/>
                  <w:color w:val="0000FF"/>
                </w:rPr>
                <w:t>84</w:t>
              </w:r>
            </w:hyperlink>
          </w:p>
        </w:tc>
        <w:tc>
          <w:tcPr>
            <w:tcW w:w="0" w:type="dxa"/>
            <w:vAlign w:val="bottom"/>
          </w:tcPr>
          <w:p>
            <w:pPr>
              <w:spacing w:after="0"/>
              <w:rPr>
                <w:sz w:val="1"/>
                <w:szCs w:val="1"/>
                <w:color w:val="auto"/>
              </w:rPr>
            </w:pPr>
          </w:p>
        </w:tc>
      </w:tr>
      <w:tr>
        <w:trPr>
          <w:trHeight w:val="230"/>
        </w:trPr>
        <w:tc>
          <w:tcPr>
            <w:tcW w:w="9760" w:type="dxa"/>
            <w:vAlign w:val="bottom"/>
            <w:gridSpan w:val="7"/>
          </w:tcPr>
          <w:p>
            <w:pPr>
              <w:ind w:left="360"/>
              <w:spacing w:after="0"/>
              <w:rPr>
                <w:rFonts w:ascii="Times New Roman" w:cs="Times New Roman" w:eastAsia="Times New Roman" w:hAnsi="Times New Roman"/>
                <w:sz w:val="18"/>
                <w:szCs w:val="18"/>
                <w:color w:val="0000FF"/>
              </w:rPr>
            </w:pPr>
            <w:hyperlink w:anchor="page87">
              <w:r>
                <w:rPr>
                  <w:rFonts w:ascii="Times New Roman" w:cs="Times New Roman" w:eastAsia="Times New Roman" w:hAnsi="Times New Roman"/>
                  <w:sz w:val="18"/>
                  <w:szCs w:val="18"/>
                  <w:color w:val="0000FF"/>
                </w:rPr>
                <w:t>CEO Pay Ratio Disclosure</w:t>
              </w:r>
            </w:hyperlink>
          </w:p>
        </w:tc>
        <w:tc>
          <w:tcPr>
            <w:tcW w:w="1480" w:type="dxa"/>
            <w:vAlign w:val="bottom"/>
          </w:tcPr>
          <w:p>
            <w:pPr>
              <w:jc w:val="right"/>
              <w:spacing w:after="0"/>
              <w:rPr>
                <w:rFonts w:ascii="Times New Roman" w:cs="Times New Roman" w:eastAsia="Times New Roman" w:hAnsi="Times New Roman"/>
                <w:sz w:val="18"/>
                <w:szCs w:val="18"/>
                <w:color w:val="0000FF"/>
              </w:rPr>
            </w:pPr>
            <w:hyperlink w:anchor="page84">
              <w:r>
                <w:rPr>
                  <w:rFonts w:ascii="Times New Roman" w:cs="Times New Roman" w:eastAsia="Times New Roman" w:hAnsi="Times New Roman"/>
                  <w:sz w:val="18"/>
                  <w:szCs w:val="18"/>
                  <w:color w:val="0000FF"/>
                </w:rPr>
                <w:t>84</w:t>
              </w:r>
            </w:hyperlink>
          </w:p>
        </w:tc>
        <w:tc>
          <w:tcPr>
            <w:tcW w:w="0" w:type="dxa"/>
            <w:vAlign w:val="bottom"/>
          </w:tcPr>
          <w:p>
            <w:pPr>
              <w:spacing w:after="0"/>
              <w:rPr>
                <w:sz w:val="1"/>
                <w:szCs w:val="1"/>
                <w:color w:val="auto"/>
              </w:rPr>
            </w:pPr>
          </w:p>
        </w:tc>
      </w:tr>
      <w:tr>
        <w:trPr>
          <w:trHeight w:val="229"/>
        </w:trPr>
        <w:tc>
          <w:tcPr>
            <w:tcW w:w="9760" w:type="dxa"/>
            <w:vAlign w:val="bottom"/>
            <w:gridSpan w:val="7"/>
          </w:tcPr>
          <w:p>
            <w:pPr>
              <w:ind w:left="360"/>
              <w:spacing w:after="0"/>
              <w:rPr>
                <w:rFonts w:ascii="Times New Roman" w:cs="Times New Roman" w:eastAsia="Times New Roman" w:hAnsi="Times New Roman"/>
                <w:sz w:val="18"/>
                <w:szCs w:val="18"/>
                <w:color w:val="0000FF"/>
              </w:rPr>
            </w:pPr>
            <w:hyperlink w:anchor="page88">
              <w:r>
                <w:rPr>
                  <w:rFonts w:ascii="Times New Roman" w:cs="Times New Roman" w:eastAsia="Times New Roman" w:hAnsi="Times New Roman"/>
                  <w:sz w:val="18"/>
                  <w:szCs w:val="18"/>
                  <w:color w:val="0000FF"/>
                </w:rPr>
                <w:t>Compensation of Directors</w:t>
              </w:r>
            </w:hyperlink>
          </w:p>
        </w:tc>
        <w:tc>
          <w:tcPr>
            <w:tcW w:w="1480" w:type="dxa"/>
            <w:vAlign w:val="bottom"/>
          </w:tcPr>
          <w:p>
            <w:pPr>
              <w:jc w:val="right"/>
              <w:spacing w:after="0"/>
              <w:rPr>
                <w:rFonts w:ascii="Times New Roman" w:cs="Times New Roman" w:eastAsia="Times New Roman" w:hAnsi="Times New Roman"/>
                <w:sz w:val="18"/>
                <w:szCs w:val="18"/>
                <w:color w:val="0000FF"/>
              </w:rPr>
            </w:pPr>
            <w:hyperlink w:anchor="page88">
              <w:r>
                <w:rPr>
                  <w:rFonts w:ascii="Times New Roman" w:cs="Times New Roman" w:eastAsia="Times New Roman" w:hAnsi="Times New Roman"/>
                  <w:sz w:val="18"/>
                  <w:szCs w:val="18"/>
                  <w:color w:val="0000FF"/>
                </w:rPr>
                <w:t>88</w:t>
              </w:r>
            </w:hyperlink>
          </w:p>
        </w:tc>
        <w:tc>
          <w:tcPr>
            <w:tcW w:w="0" w:type="dxa"/>
            <w:vAlign w:val="bottom"/>
          </w:tcPr>
          <w:p>
            <w:pPr>
              <w:spacing w:after="0"/>
              <w:rPr>
                <w:sz w:val="1"/>
                <w:szCs w:val="1"/>
                <w:color w:val="auto"/>
              </w:rPr>
            </w:pPr>
          </w:p>
        </w:tc>
      </w:tr>
      <w:tr>
        <w:trPr>
          <w:trHeight w:val="230"/>
        </w:trPr>
        <w:tc>
          <w:tcPr>
            <w:tcW w:w="9760" w:type="dxa"/>
            <w:vAlign w:val="bottom"/>
            <w:gridSpan w:val="7"/>
          </w:tcPr>
          <w:p>
            <w:pPr>
              <w:ind w:left="360"/>
              <w:spacing w:after="0"/>
              <w:rPr>
                <w:rFonts w:ascii="Times New Roman" w:cs="Times New Roman" w:eastAsia="Times New Roman" w:hAnsi="Times New Roman"/>
                <w:sz w:val="18"/>
                <w:szCs w:val="18"/>
                <w:color w:val="0000FF"/>
              </w:rPr>
            </w:pPr>
            <w:hyperlink w:anchor="page89">
              <w:r>
                <w:rPr>
                  <w:rFonts w:ascii="Times New Roman" w:cs="Times New Roman" w:eastAsia="Times New Roman" w:hAnsi="Times New Roman"/>
                  <w:sz w:val="18"/>
                  <w:szCs w:val="18"/>
                  <w:color w:val="0000FF"/>
                </w:rPr>
                <w:t>Director Compensation Table — Fiscal 2020</w:t>
              </w:r>
            </w:hyperlink>
          </w:p>
        </w:tc>
        <w:tc>
          <w:tcPr>
            <w:tcW w:w="1480" w:type="dxa"/>
            <w:vAlign w:val="bottom"/>
          </w:tcPr>
          <w:p>
            <w:pPr>
              <w:jc w:val="right"/>
              <w:spacing w:after="0"/>
              <w:rPr>
                <w:rFonts w:ascii="Times New Roman" w:cs="Times New Roman" w:eastAsia="Times New Roman" w:hAnsi="Times New Roman"/>
                <w:sz w:val="18"/>
                <w:szCs w:val="18"/>
                <w:color w:val="0000FF"/>
              </w:rPr>
            </w:pPr>
            <w:hyperlink w:anchor="page89">
              <w:r>
                <w:rPr>
                  <w:rFonts w:ascii="Times New Roman" w:cs="Times New Roman" w:eastAsia="Times New Roman" w:hAnsi="Times New Roman"/>
                  <w:sz w:val="18"/>
                  <w:szCs w:val="18"/>
                  <w:color w:val="0000FF"/>
                </w:rPr>
                <w:t>89</w:t>
              </w:r>
            </w:hyperlink>
          </w:p>
        </w:tc>
        <w:tc>
          <w:tcPr>
            <w:tcW w:w="0" w:type="dxa"/>
            <w:vAlign w:val="bottom"/>
          </w:tcPr>
          <w:p>
            <w:pPr>
              <w:spacing w:after="0"/>
              <w:rPr>
                <w:sz w:val="1"/>
                <w:szCs w:val="1"/>
                <w:color w:val="auto"/>
              </w:rPr>
            </w:pPr>
          </w:p>
        </w:tc>
      </w:tr>
      <w:tr>
        <w:trPr>
          <w:trHeight w:val="230"/>
        </w:trPr>
        <w:tc>
          <w:tcPr>
            <w:tcW w:w="9760" w:type="dxa"/>
            <w:vAlign w:val="bottom"/>
            <w:gridSpan w:val="7"/>
          </w:tcPr>
          <w:p>
            <w:pPr>
              <w:ind w:left="20"/>
              <w:spacing w:after="0"/>
              <w:rPr>
                <w:rFonts w:ascii="Times New Roman" w:cs="Times New Roman" w:eastAsia="Times New Roman" w:hAnsi="Times New Roman"/>
                <w:sz w:val="18"/>
                <w:szCs w:val="18"/>
                <w:color w:val="0000FF"/>
              </w:rPr>
            </w:pPr>
            <w:hyperlink w:anchor="page89">
              <w:r>
                <w:rPr>
                  <w:rFonts w:ascii="Times New Roman" w:cs="Times New Roman" w:eastAsia="Times New Roman" w:hAnsi="Times New Roman"/>
                  <w:sz w:val="18"/>
                  <w:szCs w:val="18"/>
                  <w:color w:val="0000FF"/>
                </w:rPr>
                <w:t>Item 12. Security Ownership of Certain Beneficial Owners and Management and Related Stockholder Matters</w:t>
              </w:r>
            </w:hyperlink>
          </w:p>
        </w:tc>
        <w:tc>
          <w:tcPr>
            <w:tcW w:w="1480" w:type="dxa"/>
            <w:vAlign w:val="bottom"/>
          </w:tcPr>
          <w:p>
            <w:pPr>
              <w:jc w:val="right"/>
              <w:spacing w:after="0"/>
              <w:rPr>
                <w:rFonts w:ascii="Times New Roman" w:cs="Times New Roman" w:eastAsia="Times New Roman" w:hAnsi="Times New Roman"/>
                <w:sz w:val="18"/>
                <w:szCs w:val="18"/>
                <w:color w:val="0000FF"/>
              </w:rPr>
            </w:pPr>
            <w:hyperlink w:anchor="page89">
              <w:r>
                <w:rPr>
                  <w:rFonts w:ascii="Times New Roman" w:cs="Times New Roman" w:eastAsia="Times New Roman" w:hAnsi="Times New Roman"/>
                  <w:sz w:val="18"/>
                  <w:szCs w:val="18"/>
                  <w:color w:val="0000FF"/>
                </w:rPr>
                <w:t>90</w:t>
              </w:r>
            </w:hyperlink>
          </w:p>
        </w:tc>
        <w:tc>
          <w:tcPr>
            <w:tcW w:w="0" w:type="dxa"/>
            <w:vAlign w:val="bottom"/>
          </w:tcPr>
          <w:p>
            <w:pPr>
              <w:spacing w:after="0"/>
              <w:rPr>
                <w:sz w:val="1"/>
                <w:szCs w:val="1"/>
                <w:color w:val="auto"/>
              </w:rPr>
            </w:pPr>
          </w:p>
        </w:tc>
      </w:tr>
      <w:tr>
        <w:trPr>
          <w:trHeight w:val="230"/>
        </w:trPr>
        <w:tc>
          <w:tcPr>
            <w:tcW w:w="9760" w:type="dxa"/>
            <w:vAlign w:val="bottom"/>
            <w:gridSpan w:val="7"/>
          </w:tcPr>
          <w:p>
            <w:pPr>
              <w:ind w:left="20"/>
              <w:spacing w:after="0"/>
              <w:rPr>
                <w:rFonts w:ascii="Times New Roman" w:cs="Times New Roman" w:eastAsia="Times New Roman" w:hAnsi="Times New Roman"/>
                <w:sz w:val="18"/>
                <w:szCs w:val="18"/>
                <w:color w:val="0000FF"/>
              </w:rPr>
            </w:pPr>
            <w:hyperlink w:anchor="page91">
              <w:r>
                <w:rPr>
                  <w:rFonts w:ascii="Times New Roman" w:cs="Times New Roman" w:eastAsia="Times New Roman" w:hAnsi="Times New Roman"/>
                  <w:sz w:val="18"/>
                  <w:szCs w:val="18"/>
                  <w:color w:val="0000FF"/>
                </w:rPr>
                <w:t>Item 13. Certain Relationships, Related Transactions, and Director Independence</w:t>
              </w:r>
            </w:hyperlink>
          </w:p>
        </w:tc>
        <w:tc>
          <w:tcPr>
            <w:tcW w:w="1480" w:type="dxa"/>
            <w:vAlign w:val="bottom"/>
          </w:tcPr>
          <w:p>
            <w:pPr>
              <w:jc w:val="right"/>
              <w:spacing w:after="0"/>
              <w:rPr>
                <w:rFonts w:ascii="Times New Roman" w:cs="Times New Roman" w:eastAsia="Times New Roman" w:hAnsi="Times New Roman"/>
                <w:sz w:val="18"/>
                <w:szCs w:val="18"/>
                <w:color w:val="0000FF"/>
              </w:rPr>
            </w:pPr>
            <w:hyperlink w:anchor="page91">
              <w:r>
                <w:rPr>
                  <w:rFonts w:ascii="Times New Roman" w:cs="Times New Roman" w:eastAsia="Times New Roman" w:hAnsi="Times New Roman"/>
                  <w:sz w:val="18"/>
                  <w:szCs w:val="18"/>
                  <w:color w:val="0000FF"/>
                </w:rPr>
                <w:t>92</w:t>
              </w:r>
            </w:hyperlink>
          </w:p>
        </w:tc>
        <w:tc>
          <w:tcPr>
            <w:tcW w:w="0" w:type="dxa"/>
            <w:vAlign w:val="bottom"/>
          </w:tcPr>
          <w:p>
            <w:pPr>
              <w:spacing w:after="0"/>
              <w:rPr>
                <w:sz w:val="1"/>
                <w:szCs w:val="1"/>
                <w:color w:val="auto"/>
              </w:rPr>
            </w:pPr>
          </w:p>
        </w:tc>
      </w:tr>
      <w:tr>
        <w:trPr>
          <w:trHeight w:val="234"/>
        </w:trPr>
        <w:tc>
          <w:tcPr>
            <w:tcW w:w="9760" w:type="dxa"/>
            <w:vAlign w:val="bottom"/>
            <w:gridSpan w:val="7"/>
          </w:tcPr>
          <w:p>
            <w:pPr>
              <w:ind w:left="20"/>
              <w:spacing w:after="0"/>
              <w:rPr>
                <w:rFonts w:ascii="Times New Roman" w:cs="Times New Roman" w:eastAsia="Times New Roman" w:hAnsi="Times New Roman"/>
                <w:sz w:val="18"/>
                <w:szCs w:val="18"/>
                <w:color w:val="0000FF"/>
              </w:rPr>
            </w:pPr>
            <w:hyperlink w:anchor="page92">
              <w:r>
                <w:rPr>
                  <w:rFonts w:ascii="Times New Roman" w:cs="Times New Roman" w:eastAsia="Times New Roman" w:hAnsi="Times New Roman"/>
                  <w:sz w:val="18"/>
                  <w:szCs w:val="18"/>
                  <w:color w:val="0000FF"/>
                </w:rPr>
                <w:t>Item 14. Principal Accountant Fees and Services</w:t>
              </w:r>
            </w:hyperlink>
          </w:p>
        </w:tc>
        <w:tc>
          <w:tcPr>
            <w:tcW w:w="1480" w:type="dxa"/>
            <w:vAlign w:val="bottom"/>
          </w:tcPr>
          <w:p>
            <w:pPr>
              <w:jc w:val="right"/>
              <w:spacing w:after="0"/>
              <w:rPr>
                <w:rFonts w:ascii="Times New Roman" w:cs="Times New Roman" w:eastAsia="Times New Roman" w:hAnsi="Times New Roman"/>
                <w:sz w:val="18"/>
                <w:szCs w:val="18"/>
                <w:color w:val="0000FF"/>
              </w:rPr>
            </w:pPr>
            <w:hyperlink w:anchor="page92">
              <w:r>
                <w:rPr>
                  <w:rFonts w:ascii="Times New Roman" w:cs="Times New Roman" w:eastAsia="Times New Roman" w:hAnsi="Times New Roman"/>
                  <w:sz w:val="18"/>
                  <w:szCs w:val="18"/>
                  <w:color w:val="0000FF"/>
                </w:rPr>
                <w:t>92</w:t>
              </w:r>
            </w:hyperlink>
          </w:p>
        </w:tc>
        <w:tc>
          <w:tcPr>
            <w:tcW w:w="0" w:type="dxa"/>
            <w:vAlign w:val="bottom"/>
          </w:tcPr>
          <w:p>
            <w:pPr>
              <w:spacing w:after="0"/>
              <w:rPr>
                <w:sz w:val="1"/>
                <w:szCs w:val="1"/>
                <w:color w:val="auto"/>
              </w:rPr>
            </w:pPr>
          </w:p>
        </w:tc>
      </w:tr>
      <w:tr>
        <w:trPr>
          <w:trHeight w:val="202"/>
        </w:trPr>
        <w:tc>
          <w:tcPr>
            <w:tcW w:w="4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20" w:type="dxa"/>
            <w:vAlign w:val="bottom"/>
            <w:gridSpan w:val="5"/>
          </w:tcPr>
          <w:p>
            <w:pPr>
              <w:jc w:val="center"/>
              <w:ind w:right="4430"/>
              <w:spacing w:after="0" w:line="202" w:lineRule="exact"/>
              <w:rPr>
                <w:sz w:val="20"/>
                <w:szCs w:val="20"/>
                <w:color w:val="auto"/>
              </w:rPr>
            </w:pPr>
            <w:r>
              <w:rPr>
                <w:rFonts w:ascii="Times New Roman" w:cs="Times New Roman" w:eastAsia="Times New Roman" w:hAnsi="Times New Roman"/>
                <w:sz w:val="18"/>
                <w:szCs w:val="18"/>
                <w:b w:val="1"/>
                <w:bCs w:val="1"/>
                <w:color w:val="auto"/>
                <w:w w:val="95"/>
              </w:rPr>
              <w:t>PART IV</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2"/>
        </w:trPr>
        <w:tc>
          <w:tcPr>
            <w:tcW w:w="4540" w:type="dxa"/>
            <w:vAlign w:val="bottom"/>
            <w:gridSpan w:val="2"/>
          </w:tcPr>
          <w:p>
            <w:pPr>
              <w:ind w:left="20"/>
              <w:spacing w:after="0"/>
              <w:rPr>
                <w:rFonts w:ascii="Times New Roman" w:cs="Times New Roman" w:eastAsia="Times New Roman" w:hAnsi="Times New Roman"/>
                <w:sz w:val="18"/>
                <w:szCs w:val="18"/>
                <w:color w:val="0000FF"/>
              </w:rPr>
            </w:pPr>
            <w:hyperlink w:anchor="page93">
              <w:r>
                <w:rPr>
                  <w:rFonts w:ascii="Times New Roman" w:cs="Times New Roman" w:eastAsia="Times New Roman" w:hAnsi="Times New Roman"/>
                  <w:sz w:val="18"/>
                  <w:szCs w:val="18"/>
                  <w:color w:val="0000FF"/>
                </w:rPr>
                <w:t>Item 15. Exhibits and Financial Statement Schedules</w:t>
              </w:r>
            </w:hyperlink>
          </w:p>
        </w:tc>
        <w:tc>
          <w:tcPr>
            <w:tcW w:w="700" w:type="dxa"/>
            <w:vAlign w:val="bottom"/>
            <w:tcBorders>
              <w:top w:val="single" w:sz="8" w:color="auto"/>
            </w:tcBorders>
            <w:gridSpan w:val="3"/>
          </w:tcPr>
          <w:p>
            <w:pPr>
              <w:spacing w:after="0"/>
              <w:rPr>
                <w:sz w:val="23"/>
                <w:szCs w:val="23"/>
                <w:color w:val="auto"/>
              </w:rPr>
            </w:pPr>
          </w:p>
        </w:tc>
        <w:tc>
          <w:tcPr>
            <w:tcW w:w="4520" w:type="dxa"/>
            <w:vAlign w:val="bottom"/>
            <w:gridSpan w:val="2"/>
          </w:tcPr>
          <w:p>
            <w:pPr>
              <w:spacing w:after="0"/>
              <w:rPr>
                <w:sz w:val="23"/>
                <w:szCs w:val="23"/>
                <w:color w:val="auto"/>
              </w:rPr>
            </w:pPr>
          </w:p>
        </w:tc>
        <w:tc>
          <w:tcPr>
            <w:tcW w:w="1480" w:type="dxa"/>
            <w:vAlign w:val="bottom"/>
          </w:tcPr>
          <w:p>
            <w:pPr>
              <w:jc w:val="right"/>
              <w:spacing w:after="0"/>
              <w:rPr>
                <w:rFonts w:ascii="Times New Roman" w:cs="Times New Roman" w:eastAsia="Times New Roman" w:hAnsi="Times New Roman"/>
                <w:sz w:val="18"/>
                <w:szCs w:val="18"/>
                <w:color w:val="0000FF"/>
              </w:rPr>
            </w:pPr>
            <w:hyperlink w:anchor="page93">
              <w:r>
                <w:rPr>
                  <w:rFonts w:ascii="Times New Roman" w:cs="Times New Roman" w:eastAsia="Times New Roman" w:hAnsi="Times New Roman"/>
                  <w:sz w:val="18"/>
                  <w:szCs w:val="18"/>
                  <w:color w:val="0000FF"/>
                </w:rPr>
                <w:t>93</w:t>
              </w:r>
            </w:hyperlink>
          </w:p>
        </w:tc>
        <w:tc>
          <w:tcPr>
            <w:tcW w:w="0" w:type="dxa"/>
            <w:vAlign w:val="bottom"/>
          </w:tcPr>
          <w:p>
            <w:pPr>
              <w:spacing w:after="0"/>
              <w:rPr>
                <w:sz w:val="1"/>
                <w:szCs w:val="1"/>
                <w:color w:val="auto"/>
              </w:rPr>
            </w:pPr>
          </w:p>
        </w:tc>
      </w:tr>
      <w:tr>
        <w:trPr>
          <w:trHeight w:val="230"/>
        </w:trPr>
        <w:tc>
          <w:tcPr>
            <w:tcW w:w="9760" w:type="dxa"/>
            <w:vAlign w:val="bottom"/>
            <w:gridSpan w:val="7"/>
          </w:tcPr>
          <w:p>
            <w:pPr>
              <w:ind w:left="20"/>
              <w:spacing w:after="0"/>
              <w:rPr>
                <w:rFonts w:ascii="Times New Roman" w:cs="Times New Roman" w:eastAsia="Times New Roman" w:hAnsi="Times New Roman"/>
                <w:sz w:val="18"/>
                <w:szCs w:val="18"/>
                <w:color w:val="0000FF"/>
              </w:rPr>
            </w:pPr>
            <w:hyperlink w:anchor="page97">
              <w:r>
                <w:rPr>
                  <w:rFonts w:ascii="Times New Roman" w:cs="Times New Roman" w:eastAsia="Times New Roman" w:hAnsi="Times New Roman"/>
                  <w:sz w:val="18"/>
                  <w:szCs w:val="18"/>
                  <w:color w:val="0000FF"/>
                </w:rPr>
                <w:t>Item 16. Form 10-K Summary</w:t>
              </w:r>
            </w:hyperlink>
          </w:p>
        </w:tc>
        <w:tc>
          <w:tcPr>
            <w:tcW w:w="1480" w:type="dxa"/>
            <w:vAlign w:val="bottom"/>
          </w:tcPr>
          <w:p>
            <w:pPr>
              <w:jc w:val="right"/>
              <w:spacing w:after="0"/>
              <w:rPr>
                <w:rFonts w:ascii="Times New Roman" w:cs="Times New Roman" w:eastAsia="Times New Roman" w:hAnsi="Times New Roman"/>
                <w:sz w:val="18"/>
                <w:szCs w:val="18"/>
                <w:color w:val="0000FF"/>
              </w:rPr>
            </w:pPr>
            <w:hyperlink w:anchor="page97">
              <w:r>
                <w:rPr>
                  <w:rFonts w:ascii="Times New Roman" w:cs="Times New Roman" w:eastAsia="Times New Roman" w:hAnsi="Times New Roman"/>
                  <w:sz w:val="18"/>
                  <w:szCs w:val="18"/>
                  <w:color w:val="0000FF"/>
                </w:rPr>
                <w:t>97</w:t>
              </w:r>
            </w:hyperlink>
          </w:p>
        </w:tc>
        <w:tc>
          <w:tcPr>
            <w:tcW w:w="0" w:type="dxa"/>
            <w:vAlign w:val="bottom"/>
          </w:tcPr>
          <w:p>
            <w:pPr>
              <w:spacing w:after="0"/>
              <w:rPr>
                <w:sz w:val="1"/>
                <w:szCs w:val="1"/>
                <w:color w:val="auto"/>
              </w:rPr>
            </w:pPr>
          </w:p>
        </w:tc>
      </w:tr>
      <w:tr>
        <w:trPr>
          <w:trHeight w:val="234"/>
        </w:trPr>
        <w:tc>
          <w:tcPr>
            <w:tcW w:w="9760" w:type="dxa"/>
            <w:vAlign w:val="bottom"/>
            <w:gridSpan w:val="7"/>
          </w:tcPr>
          <w:p>
            <w:pPr>
              <w:ind w:left="20"/>
              <w:spacing w:after="0"/>
              <w:rPr>
                <w:rFonts w:ascii="Times New Roman" w:cs="Times New Roman" w:eastAsia="Times New Roman" w:hAnsi="Times New Roman"/>
                <w:sz w:val="18"/>
                <w:szCs w:val="18"/>
                <w:color w:val="0000FF"/>
              </w:rPr>
            </w:pPr>
            <w:hyperlink w:anchor="page97">
              <w:r>
                <w:rPr>
                  <w:rFonts w:ascii="Times New Roman" w:cs="Times New Roman" w:eastAsia="Times New Roman" w:hAnsi="Times New Roman"/>
                  <w:sz w:val="18"/>
                  <w:szCs w:val="18"/>
                  <w:color w:val="0000FF"/>
                </w:rPr>
                <w:t>Signatures</w:t>
              </w:r>
            </w:hyperlink>
          </w:p>
        </w:tc>
        <w:tc>
          <w:tcPr>
            <w:tcW w:w="1480" w:type="dxa"/>
            <w:vAlign w:val="bottom"/>
          </w:tcPr>
          <w:p>
            <w:pPr>
              <w:jc w:val="right"/>
              <w:spacing w:after="0"/>
              <w:rPr>
                <w:rFonts w:ascii="Times New Roman" w:cs="Times New Roman" w:eastAsia="Times New Roman" w:hAnsi="Times New Roman"/>
                <w:sz w:val="18"/>
                <w:szCs w:val="18"/>
                <w:color w:val="0000FF"/>
              </w:rPr>
            </w:pPr>
            <w:hyperlink w:anchor="page97">
              <w:r>
                <w:rPr>
                  <w:rFonts w:ascii="Times New Roman" w:cs="Times New Roman" w:eastAsia="Times New Roman" w:hAnsi="Times New Roman"/>
                  <w:sz w:val="18"/>
                  <w:szCs w:val="18"/>
                  <w:color w:val="0000FF"/>
                </w:rPr>
                <w:t>98</w:t>
              </w:r>
            </w:hyperlink>
          </w:p>
        </w:tc>
        <w:tc>
          <w:tcPr>
            <w:tcW w:w="0" w:type="dxa"/>
            <w:vAlign w:val="bottom"/>
          </w:tcPr>
          <w:p>
            <w:pPr>
              <w:spacing w:after="0"/>
              <w:rPr>
                <w:sz w:val="1"/>
                <w:szCs w:val="1"/>
                <w:color w:val="auto"/>
              </w:rPr>
            </w:pPr>
          </w:p>
        </w:tc>
      </w:tr>
      <w:tr>
        <w:trPr>
          <w:trHeight w:val="1120"/>
        </w:trPr>
        <w:tc>
          <w:tcPr>
            <w:tcW w:w="9760" w:type="dxa"/>
            <w:vAlign w:val="bottom"/>
            <w:gridSpan w:val="7"/>
          </w:tcPr>
          <w:p>
            <w:pPr>
              <w:ind w:left="5580"/>
              <w:spacing w:after="0"/>
              <w:rPr>
                <w:sz w:val="20"/>
                <w:szCs w:val="20"/>
                <w:color w:val="auto"/>
              </w:rPr>
            </w:pPr>
            <w:r>
              <w:rPr>
                <w:rFonts w:ascii="Times New Roman" w:cs="Times New Roman" w:eastAsia="Times New Roman" w:hAnsi="Times New Roman"/>
                <w:sz w:val="18"/>
                <w:szCs w:val="18"/>
                <w:color w:val="auto"/>
              </w:rPr>
              <w:t>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5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this annual report on Form 10-K, statements that are not reported financial results or other historic information are “forward-looking statements.” These forward-looking statements relate to, among other things, the Company's future financial position, business strategy, targets, projected sales, costs, income, capital expenditures, debt levels and cash flows, and plans and objectives of management for future operations.</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use of words such as “may,” “will,” “expect,” “intend,” “estimate,” “anticipate,” “believe,” “should,” “project,” "continue,"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w:t>
      </w:r>
    </w:p>
    <w:p>
      <w:pPr>
        <w:spacing w:after="0" w:line="126"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impacts of the novel coronavirus ("COVID-19") pandemic or other pandemics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the Company's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compete effectively or to successfully execute its strategy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develop technologically advanced products that meet customer demands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Raw material and other cost increases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protecting websites, networks, and systems against security breaches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regulations by U.S. and non-U.S. governmental and self-regulatory entities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loss of key employees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Divestitures, contingent liabilities from divestitures and the failure to identify, integrate, and grow acquired companies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including product liability claims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write-offs of goodwill and other intangible assets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legislation and tax rates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interests of voting and non-voting shareholders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Numerous other matters of national, regional and global scale, including major public health crises and government responses thereto and those of a political, economic, business, competitive, and regulatory nature contained from time to time in Brady's U.S. Securities and Exchange Commission filings, including, but not limited to, those factors listed in the “Risk Factors” section within Item 1A of Part I of this Form 10-K.</w:t>
      </w:r>
    </w:p>
    <w:p>
      <w:pPr>
        <w:spacing w:after="0" w:line="13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These uncertainties may cause Brady's actual future results to be materially different than those expressed in its forward-looking statements. Brady does not undertake to update its forward-looking statements except as required by law.</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Development of Business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Brady Corporation (“Brady,” “Company,” “we,” “us,” “our”) was incorporated under the laws of the state of Wisconsin in 1914. The Company’s corporate headquarters are located at 6555 West Good Hope Road, Milwaukee, Wisconsin 53223, and the telephone number is (414) 358-6600.</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Brady Corporation is a global manufacturer and supplier of identification solutions and workplace safety products that identify and protect premises, products and people. The ability to provide customers with a broad range of proprietary, customized and diverse products for use in various applications, along with a commitment to quality and service, a global footprint, and multiple sales channels, have made Brady a leader in many of its markets.</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primary objective is to build upon its market position and increase shareholder value by enabling a highly competent and experienced organization to focus on the following key competencies:</w:t>
      </w:r>
    </w:p>
    <w:p>
      <w:pPr>
        <w:spacing w:after="0" w:line="108"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excellence — Continuous productivity improvement, automation, and product customization capabilities.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service — Understanding customer needs and providing a high level of customer service.</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Innovative products — Technologically-advanced, internally-developed proprietary products that drive revenue growth and sustain gross profit margins.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leadership position in niche markets.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capabilities.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expertise.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long-term sales growth and profitability of our segments will depend not only on improved demand in end markets and the overall economic environment, but also on our ability to continuously improve operational excellence, focus on the customer, develop and market innovative new products, and to advance our digital capabilities. In our Identification Solutions ("ID Solutions" or "IDS") business, our strategy for growth includes an increased focus on certain industries and products, a focus on improving the customer buying experience, and investment in research and development ("R&amp;D") to develop new products. In our Workplace Safety ("WPS") business, our strategy for growth includes a focus on workplace safety critical industries, innovative new product offerings, compliance expertise, customization expertise, and improving our digital capabilities.</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were key initiatives supporting the strategy in fiscal 2020:</w:t>
      </w:r>
    </w:p>
    <w:p>
      <w:pPr>
        <w:spacing w:after="0" w:line="171" w:lineRule="exact"/>
        <w:rPr>
          <w:sz w:val="20"/>
          <w:szCs w:val="20"/>
          <w:color w:val="auto"/>
        </w:rPr>
      </w:pPr>
    </w:p>
    <w:p>
      <w:pPr>
        <w:ind w:left="660" w:hanging="328"/>
        <w:spacing w:after="0" w:line="26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organic growth by enhancing our research and development process and improving the time to launch high-value, innovative products in alignment with our target markets.</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our customers with the highest level of customer service.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and enhancing our sales capabilities through an improved digital presence and increased sales resources.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Driving operational excellence and executing sustainable efficiency gains within our global operations and selling, general and administrative structures.</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through focused actions in selected vertical markets and strategic accounts.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our employee development process to create an engaged diverse workforce and to attract and retain key talent.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Narrative Description of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is organized and managed on a global basis within two reportable segments: Identification Solutions and Workplace Safety.</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IDS segment includes high-performance and innovative industrial and healthcare identification products manufactured under multiple brands, including the Brady brand. Industrial identification products are sold through distribution to a broad range of maintenance, repair, and operations ("MRO") and original equipment manufacturing ("OEM") customers and through other channels, including direct sales, catalog marketing, and digital. Healthcare identification products are sold direct and through distribution via group purchasing organizations ("GPO").</w:t>
      </w:r>
    </w:p>
    <w:p>
      <w:pPr>
        <w:spacing w:after="0" w:line="12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WPS segment includes workplace safety and compliance products sold under multiple brand names primarily through catalog and digital channels to a broad range of MRO customers. Approximately half of the WPS business is derived from internally manufactured products and half is from externally sourced products.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Below is a summary of sales by reportable segment for the fiscal years ended July 31:</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2020</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1720" w:type="dxa"/>
            <w:vAlign w:val="bottom"/>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58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3"/>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IDS</w:t>
            </w: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72.6 %</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74.4 %</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72.1 %</w:t>
            </w:r>
          </w:p>
        </w:tc>
      </w:tr>
      <w:tr>
        <w:trPr>
          <w:trHeight w:val="243"/>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WPS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27.4 %</w:t>
            </w:r>
          </w:p>
        </w:tc>
        <w:tc>
          <w:tcPr>
            <w:tcW w:w="1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25.6 %</w:t>
            </w:r>
          </w:p>
        </w:tc>
        <w:tc>
          <w:tcPr>
            <w:tcW w:w="1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27.9 %</w:t>
            </w:r>
          </w:p>
        </w:tc>
      </w:tr>
      <w:tr>
        <w:trPr>
          <w:trHeight w:val="27"/>
        </w:trPr>
        <w:tc>
          <w:tcPr>
            <w:tcW w:w="58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88"/>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0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bottom w:val="single" w:sz="8" w:color="CCEEFF"/>
            </w:tcBorders>
            <w:shd w:val="clear" w:color="auto" w:fill="CCEEFF"/>
          </w:tcPr>
          <w:p>
            <w:pPr>
              <w:spacing w:after="0"/>
              <w:rPr>
                <w:sz w:val="24"/>
                <w:szCs w:val="24"/>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bottom w:val="single" w:sz="8" w:color="CCEEFF"/>
            </w:tcBorders>
            <w:shd w:val="clear" w:color="auto" w:fill="CCEEFF"/>
          </w:tcPr>
          <w:p>
            <w:pPr>
              <w:spacing w:after="0"/>
              <w:rPr>
                <w:sz w:val="24"/>
                <w:szCs w:val="24"/>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ID Solutions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Within the ID Solutions segment, the primary product categories include:</w:t>
      </w:r>
    </w:p>
    <w:p>
      <w:pPr>
        <w:spacing w:after="0" w:line="171" w:lineRule="exact"/>
        <w:rPr>
          <w:sz w:val="20"/>
          <w:szCs w:val="20"/>
          <w:color w:val="auto"/>
        </w:rPr>
      </w:pPr>
    </w:p>
    <w:p>
      <w:pPr>
        <w:ind w:left="660" w:hanging="328"/>
        <w:spacing w:after="0" w:line="26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identification and protection, which includes safety signs, floor-marking tape, pipe markers, labeling systems, spill control products, lockout/tagout devices, and software and services for safety compliance auditing, procedure writing and training.</w:t>
      </w:r>
    </w:p>
    <w:p>
      <w:pPr>
        <w:ind w:left="660" w:right="62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identification, which includes materials and printing systems for product identification, brand protection labeling, work in process labeling, and finished product identification.</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Wire identification, which includes hand-held printers, wire markers, sleeves, and tags.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People identification, which includes name tags, badges, lanyards, and access control software.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identification, which includes wristbands and labels used in hospitals for tracking and improving the safety of patients.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 wristbands used in the leisure and entertainment industry such as theme parks, concerts, and festivals.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Approximately 67% of ID Solutions products are sold under the Brady brand, with other primary brands including identification products for the utility industry which are marketed under the Electromark brand and security and identification badges and systems which are marketed under the IDenticard, PromoVision, and Brady People ID brands. Spill control products are marketed under the SPC brand, and lockout/tagout products are offered under the Scafftag brand. Identification and patient safety products in the healthcare industry are available under the PDC Healthcare brand and custom wristbands for the leisure and entertainment industry are available under the PDC brand and under the BIG brand.</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ID Solutions segment offers high quality products with rapid response and superior service to provide solutions to customers. The business markets and sells products through multiple channels including distributors, direct sales, catalog marketing, and digital. The ID Solutions sales force partners with end-users and distributors by providing technical application and product expertise.</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segment manufactures differentiated, proprietary products, most of which have been internally developed. These internally developed products include materials, printing systems, and software. IDS competes for business on several factors, including customer service, product innovation, product offering, product quality, price, expertise, production capabilities, and for multinational customers, our global footprint. Competition is highly fragmented, ranging from smaller companies offering minimal product variety, to some of the world's largest adhesive and electrical product companies offering competing products as part of their overall product lines.</w:t>
      </w:r>
    </w:p>
    <w:p>
      <w:pPr>
        <w:spacing w:after="0" w:line="1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ID Solutions serves customers in many industries, which include industrial manufacturing, electronic manufacturing, healthcare, chemical, oil, gas, automotive, aerospace, governments, mass transit, electrical contractors, leisure and entertainment and telecommunications, among others.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Workplace Safety</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Within the Workplace Safety segment, the primary product categories include:</w:t>
      </w:r>
    </w:p>
    <w:p>
      <w:pPr>
        <w:spacing w:after="0" w:line="171"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and compliance signs, tags, labels, and markings.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Informational signage and markings.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tracking labels.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safety and personal protection equipment.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aid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law and other compliance posters.</w:t>
      </w:r>
    </w:p>
    <w:p>
      <w:pPr>
        <w:spacing w:after="0" w:line="15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Products within the Workplace Safety segment are sold under a variety of brands including: safety and facility identification products offered under the Seton, Emedco, Signals, Safety Signs, SafetyShop, Signs &amp; Labels, and Pervaco brands; first aid supplies under the Accidental Health and Safety, Trafalgar, and Securimed brands; wire identification products marketed under the Carroll brand; and labor law and compliance posters under the Personnel Concepts and Clement Communications brands.</w:t>
      </w:r>
    </w:p>
    <w:p>
      <w:pPr>
        <w:spacing w:after="0" w:line="12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Workplace Safety segment manufactures a broad range of stock and custom identification products, and also sells a broad range of related resale products. Historically, both the Company and many of our competitors focused their businesses on catalog marketing, often with varying product niches. Many of our competitors extensively utilize e-commerce to promote the sale of their products. A consequence of e-commerce is price transparency, as prices on non-proprietary products can be easily compared. Therefore, to compete effectively, we continue to build out our e-commerce capabilities and focus on developing unique or customized solutions, enhancing customer experience, and providing compliance expertise as these are critical to retain existing customers and convert new customers. Workplace Safety primarily sells to businesses and serves many industries, including manufacturers, process industries, government, education, construction, and utilities.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focuses its R&amp;D efforts on pressure sensitive materials, printing systems, software, and the development of other workplace safety related products. Although there is an increasing amount of R&amp;D that supports the WPS segment, the majority of R&amp;D spend supports the IDS segment. Material development involves the application of surface chemistry concepts for top coatings and adhesives applied to a variety of base materials. The design of printing systems integrates materials, embedded software and a variety of printing technologies to form a complete solution for customer applications. In addition, the R&amp;D team supports production and marketing efforts by providing application and technical expertise.</w:t>
      </w:r>
    </w:p>
    <w:p>
      <w:pPr>
        <w:spacing w:after="0" w:line="1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 owns patents and tradenames relating to certain products in the United States and internationally. Although the Company believes patents are a significant driver in maintaining its position for certain products, technology in the areas covered by many of the patents continues to evolve and may limit the value of such patents. The Company's business is not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dependent on any single patent or group of patents. Patents applicable to specific products extend for up to 20 years according to the date of patent application filing or patent grant, depending upon the legal term of patents in the various countries where patent protection is obtained. The Company's tradenames are valid ten years from the date of registration, and are typically renewed on an ongoing basis.</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spent $40.7 million, $45.2 million, and $45.3 million on its R&amp;D activities during the fiscal years ended July 31, 2020, 2019, and 2018, respectively. The decrease in spending in fiscal 2020 compared to the prior year was primarily due to reductions in incentive-based compensation, project spending and headcount in as part of our ongoing efficiency efforts within R&amp;D. As of July 31, 2020, 232 individuals were engaged in R&amp;D activities for the Company, which is a decrease from 249 as of July 31, 2019.</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materials used in the products manufactured consist of a variety of plastic and synthetic films, paper, metal and metal foil, cloth, fiberglass, inks, dyes, adhesives, pigments, natural and synthetic rubber, organic chemicals, polymers, and solvents for consumable identification products in addition to electronic components, molded parts and sub-assemblies for printing systems. The Company operates coating facilities manufacturing bulk rolls of label stock for internal and external customers. In addition, the Company purchases finished products for resale.</w:t>
      </w:r>
    </w:p>
    <w:p>
      <w:pPr>
        <w:spacing w:after="0" w:line="12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purchases raw materials, components and finished products from many suppliers. Overall, we are not dependent upon any single supplier for our most critical base materials or components; however, we have chosen in certain situations to sole source, or limit the sources of materials, components, or finished items for design or cost reasons. As a result, disruptions in supply could have an impact on results for a period of time, but we believe any disruptions would simply require qualification of new suppliers and the disruption would be modest. In certain instances, the qualification process could be more costly or take a longer period of time and in certain situations, such as a global shortage of critical materials or components, the financial impact could be material.</w:t>
      </w:r>
    </w:p>
    <w:p>
      <w:pPr>
        <w:spacing w:after="0" w:line="13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carries working capital mainly related to accounts receivable and inventory. Inventory consists of raw materials, work in process and finished goods. Generally, custom products are made to order while an on-hand quantity of stock product is maintained to provide customers with timely delivery. Normal and customary payment terms range from net 10 to 90 days from date of invoice and vary by geography.</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has a broad customer base, and no individual customer represents 10% or more of total net sales.</w:t>
      </w:r>
    </w:p>
    <w:p>
      <w:pPr>
        <w:spacing w:after="0" w:line="171"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Average time to fulfill customer orders varies from same-day to one month, depending on the type of product, customer request, and whether the product is stock or custom-designed and manufactured. The Company's backlog is not material, does not provide significant visibility for future business and is not pertinent to an understanding of the business.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Compliance with federal, state and local environmental protection laws during the fiscal year ended July 31, 2020 did not have a material impact on the Company’s business, financial condition or 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July 31, 2020, the Company employed approximately 5,400 individuals. Brady has never experienced a material work stoppage due to a labor dispute and considers its relations with employees to be good.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Available on the Internet</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Corporate Internet address is www.bradyid.com. The Company makes available, free of charge, on or through its Internet website copies of its Annual Report on Form 10-K, Quarterly Reports on Form 10-Q, Current Reports on Form 8-K, and amendments to all such reports as soon as reasonably practicable after such reports are electronically filed with or furnished to the SEC. The Company is not including the information contained on or available through its website as part of, or incorporating such information by reference into, this Annual Report on Form 10-K.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Investors should carefully consider the risks set forth below and all other information contained in this report and other documents we file with the SEC. The risks and uncertainties described below are those that we have identified as material, but are not the only risks and uncertainties facing us. Our business is also subject to general risks and uncertainties that affect many other companies, such as market conditions, geopolitical events, changes in laws or accounting rules, fluctuations in</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rates, terrorism, wars or conflicts, major health concerns, natural disasters or other disruptions of expected economic or business conditions.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risks and uncertainties not currently known to us or that we currently believe are immaterial also may impair our business and financial results.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Risks</w:t>
      </w:r>
    </w:p>
    <w:p>
      <w:pPr>
        <w:spacing w:after="0" w:line="17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have been and may in the future be adversely impacted by the COVID-19 pandemic or other pandemics, and the duration and extent to which it will impact our business and financial results remains uncertain.</w:t>
      </w:r>
    </w:p>
    <w:p>
      <w:pPr>
        <w:spacing w:after="0" w:line="10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global spread of COVID-19 has resulted in significant economic disruption, has negatively impacted our financial results, and significantly increased future uncertainty. The extent to which our business and financial results are further impacted will depend on numerous evolving factors which are uncertain and cannot be predicted, including: the duration and scope of the pandemic; governmental, business and individuals’ actions taken in response; the effect on our customers and customers’ demand for our services and products; the decrease in healthcare services provided; the effect on our suppliers and disruptions to the global supply chain; our ability to sell and manufacture our products; disruptions to our operations resulting from the illness of any of our employees; restrictions or disruptions to transportation, including reduced availability of ground or air transport; the ability of our customers to pay for our products; and any closures of our facilities, our suppliers’ facilities, and our customers’ facilities. The effects of the COVID-19 pandemic have resulted and will result in additional expenses, lost or delayed revenue, and we have been experiencing disruptions to our business and additional expenses as we implement modifications to employee travel, work locations and cancellation of events, among other modifications. In addition, the deterioration of macroeconomic conditions may impact the proper functioning of financial and capital markets, foreign currency exchange rates, commodity and energy prices, and interest rates. Even after the COVID-19 pandemic subsides, we may continue to experience adverse impacts to our business and financial results due to any economic recession or depression that has occurred, and due to any major public health crises that may occur in the future.</w:t>
      </w:r>
    </w:p>
    <w:p>
      <w:pPr>
        <w:spacing w:after="0" w:line="13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Although our current accounting estimates contemplate current and expected future conditions, as applicable, it is reasonably possible that actual conditions could differ from our expectations, which could materially affect our results of operations and financial position. In particular, a number of estimates have been and will continue to be affected by the ongoing COVID-19 pandemic. The severity, magnitude and duration, as well as the economic consequences of the COVID-19 pandemic, are uncertain, rapidly changing and difficult to predict. As a result, our accounting estimates and assumptions may change over time in response to COVID-19. Such changes could result in future impairments of goodwill, intangible assets, long-lived assets, incremental credit losses on accounts receivable, excess and obsolete inventory, or a decrease in the carrying amount of our deferred tax assets. Any of these events could amplify the other risks and uncertainties described in this Annual Report on Form 10-K for the fiscal year ended July 31, 2020 and could have an adverse effect on our business and financial results.</w:t>
      </w:r>
    </w:p>
    <w:p>
      <w:pPr>
        <w:spacing w:after="0" w:line="134"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Demand for our products may be adversely affected by numerous factors, some of which we cannot predict or control. This could adversely affect our business and financial results.</w:t>
      </w:r>
    </w:p>
    <w:p>
      <w:pPr>
        <w:spacing w:after="0" w:line="1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Numerous factors may affect the demand for our products, including:</w:t>
      </w:r>
    </w:p>
    <w:p>
      <w:pPr>
        <w:spacing w:after="0" w:line="171"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of economic conditions in major markets served.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economic and operational impact of the COVID-19 or other pandemics.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in the marketplace allowing competitors to be more efficient and more price competitive.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entering the marketplace.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Decreasing product life cycles.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 preferences.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achieve operational excellence.</w:t>
      </w:r>
    </w:p>
    <w:p>
      <w:pPr>
        <w:spacing w:after="0" w:line="1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any of these factors occur, the demand for our products could suffer, and this could adversely impact our business and financial results.</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Failure to compete effectively or to successfully execute our strategy may have a negative impact on our business and financial results.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actively compete with companies that produce and market the same or similar products, and in some instances, with companies that sell different products that are designed for the same end user. Competition may force us to reduce prices or incur additional costs to remain competitive in an environment in which business models are changing rapidly. We compete on the basis of several factors, including customer support, product innovation, product offering, product quality, price, expertise, digital capabilities, production capabilities, and for multinational customers, our global footprint. Present or future competitors may develop and introduce new and enhanced products, offer products based on alternative technologies and processes, accept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lower profit, have greater financial, technical or other resources, or have lower production costs or other pricing advantages. Any of these could put us at a disadvantage by threatening our share of sales or reducing our profit margins, which could adversely impact our business and financial results.</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Additionally, throughout our global business, distributors and customers may seek lower cost sourcing opportunities, which could result in a loss of business that may adversely impact our business and financial results.</w:t>
      </w:r>
    </w:p>
    <w:p>
      <w:pPr>
        <w:spacing w:after="0" w:line="10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strategy is to expand into higher-growth adjacent product categories and markets with technologically advanced new products, as well as to grow our sales generated through the digital channel. While traditional direct marketing channels such as catalogs are an important means of selling our products, an increasing number of customers are purchasing products on the internet. Our strategy to increase sales through the digital channel is an investment in our internet sales capabilities. There is a risk that we may not continue to successfully implement this strategy, or if successfully implemented, not realize its expected benefits due to the continued levels of increased competition and pricing pressure brought about by the internet. Our failure to successfully implement our strategy could adversely impact our business and financial results.</w:t>
      </w:r>
    </w:p>
    <w:p>
      <w:pPr>
        <w:spacing w:after="0" w:line="129"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develop technologically advanced products that meet customer demands, including price expectations, could adversely impact our business and financial results.</w:t>
      </w:r>
    </w:p>
    <w:p>
      <w:pPr>
        <w:spacing w:after="0" w:line="10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Development of technologically advanced new products is targeted as a driver of our organic growth and profitability. Technology is changing rapidly and our competitors are innovating quickly. If we do not keep pace with developing technologically advanced products, we risk product commoditization, deterioration of the value of our brand, and reduced ability to effectively compete. We must continue to develop innovative products, as well as acquire and retain the necessary intellectual property rights in these products. If we fail to innovate, or we launch products with quality problems, or if customers do not accept our products, then our business and financial results could be adversely affected.</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Raw material and other cost increases could adversely affect our business and financial results.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manufacture certain parts and components of our products and therefore require raw materials from suppliers, which could be interrupted for a variety of reasons, including availability and pricing. Prices for raw materials necessary for production have fluctuated in the past and significant increases could adversely affect our profit margins and results of operations. Changes in trade policies, shortages due to the COVID-19 or other pandemics, the imposition of duties and tariffs and potential retaliatory countermeasures could adversely impact the price or availability of raw materials. In addition, labor shortages or an increase in the cost of labor could adversely affect our profit margins and results of operations. Due to pricing pressure or other factors, the Company may not be able to pass along increased raw material and component part costs to its customers in the form of price increases or its ability to do so could be delayed, which could adversely impact our business and financial results.</w:t>
      </w:r>
    </w:p>
    <w:p>
      <w:pPr>
        <w:spacing w:after="0" w:line="131"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or the failure of third-party service providers to protect our sites, networks and systems against security breaches, to protect our confidential information, or to facilitate our digital strategy, could adversely affect our business and financial results.</w:t>
      </w:r>
    </w:p>
    <w:p>
      <w:pPr>
        <w:spacing w:after="0" w:line="10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business systems collect, transmit and store data about our customers, vendors and others, including credit card information and personally identifiable information. We also employ third-party service providers that store, process and transmit proprietary, personal and confidential information on our behalf. We rely on encryption and authentication technology licensed from third parties in an effort to securely transmit confidential and sensitive information, including credit card numbers. Our security measures, and those of our third-party service providers, may not detect or prevent all attempts to hack our systems, denial-of-service attacks, viruses, malicious software, break-ins, phishing attacks, social engineering, security breaches or other similar disruptions that may jeopardize the security of information stored in or transmitted by our sites, networks and systems or that we or our third-party service providers otherwise maintain. We engage third-party service providers to assist with certain of our website and digital platform upgrades, which may result in a decline in sales when initially deployed, which could have an adverse effect on our business and financial results.</w:t>
      </w:r>
    </w:p>
    <w:p>
      <w:pPr>
        <w:spacing w:after="0" w:line="13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and our service providers may not have the resources or technical sophistication to anticipate or prevent all types of attacks, and techniques used to obtain unauthorized access to or to sabotage systems change frequently and may not be known until launched against us or our third-party service providers. In addition, security breaches can also occur as a result of non-technical issues, including intentional or inadvertent breaches by our employees or by persons with whom we have commercial relationships. Although we maintain privacy, data breach and network security liability insurance, we cannot be certain that our coverage will be adequate or will cover liabilities actually incurred, or that insurance will continue to be available to us on economically reasonable terms, or at all. Any compromise or breach of our security measures, or those of our third-party service providers, could adversely impact our ability to conduct business, violate applicable privacy, data security and other</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laws, and cause significant legal and financial exposure, adverse publicity, and a loss of confidence in our security measures, which could have an adverse effect on our business and financial results.</w:t>
      </w:r>
    </w:p>
    <w:p>
      <w:pPr>
        <w:spacing w:after="0" w:line="104"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global company headquartered in the United States. We are subject to extensive regulations by U.S. and non-U.S. governmental and self-regulatory entities at various levels of the governing bodies. Failure to comply with laws and regulations could adversely affect our business and financial results.</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Approximately 45% of our sales are derived outside of the United States. Our operations are subject to the risks of doing business domestically and globally, including the following:</w:t>
      </w:r>
    </w:p>
    <w:p>
      <w:pPr>
        <w:spacing w:after="0" w:line="108"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in product deliveries and payments in connection with international manufacturing and sales.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resulting from political and economic instability and disruptions.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new, or change in existing, duties, tariffs and trade agreements, which could have a direct or indirect impact on our ability to manufacture products, on our customers' demand for our products, or on our suppliers' ability to deliver raw materials.</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export and economic sanction laws.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changing governmental policies, regulatory, and business environments.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Disadvantages from competing against companies from countries that are not subject to U.S. laws and regulations including the Foreign Corrupt Practices Act.</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labor regulations.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relating to climate change, air emissions, wastewater discharges, handling and disposal of hazardous materials and wastes.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relating to product content, health, safety and the protection of the environment.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trade or travel restrictions as a result of the COVID-19 or other pandemics.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 country regulations where our products are manufactured or sold.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relating to compliance with data protection and privacy laws throughout our global business.</w:t>
      </w:r>
    </w:p>
    <w:p>
      <w:pPr>
        <w:spacing w:after="0" w:line="9"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regulations that apply to companies doing business with the government, including audit requirements of government contracts related to procurement integrity, export control, employment practices, and the accuracy of records and recording of costs.</w:t>
      </w:r>
    </w:p>
    <w:p>
      <w:pPr>
        <w:spacing w:after="0" w:line="1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Further, these laws and regulations are constantly evolving and it is difficult to accurately predict the effect they may have upon our business and financial results.</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cannot provide assurance that our internal controls and compliance systems will always protect us from acts committed by employees, agents or business partners that would violate U.S. and/or non-U.S. laws, including the laws governing payments to government officials, bribery, fraud, anti-kickback and false claims rules, competition, export and import compliance, money laundering and data privacy. Any such improper actions could subject us to civil or criminal investigations in the U.S. and in other jurisdictions, lead to substantial civil or criminal, monetary and non-monetary penalties and related lawsuits by shareholders and others, damage our reputation, and adversely impact our business and financial results.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depend on key employees and the loss of these individuals could have an adverse effect on our business and financial results.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success depends to a large extent upon the continued services of our key executives, managers and other skilled employees. We cannot ensure that we will be able to retain our key executives, managers and employees. The departure of key personnel without adequate replacement could disrupt our business operations. Additionally, we need qualified managers and skilled employees with technical and industry experience to operate our business successfully. If we are unable to attract and retain qualified individuals or our costs to do so increase significantly, our business and financial results could be adversely affected.</w:t>
      </w:r>
    </w:p>
    <w:p>
      <w:pPr>
        <w:spacing w:after="0" w:line="12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Divestitures, contingent liabilities from divested businesses and the failure to properly identify, integrate and grow acquired companies could adversely affect our business and financial results.</w:t>
      </w:r>
    </w:p>
    <w:p>
      <w:pPr>
        <w:spacing w:after="0" w:line="10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continually assess the strategic fit of our existing businesses and may divest businesses that we determine do not align with our strategic plan, or that are not achieving the desired return on investment. Divestitures pose risks and challenges that could negatively impact our business. When we decide to sell a business or specific assets, we may be unable to do so on satisfactory terms or within our anticipated time-frame, and even after reaching a definitive agreement to sell a business, the sale is typically subject to pre-closing conditions which may not be satisfied. In addition, the impact of the divestiture on our revenue and net income may be larger than projected, which could distract management, and disputes may arise with buyers. We have retained responsibility for and have agreed to indemnify buyers against certain contingent liabilities related to several</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businesses that we have sold. The resolution of these contingencies has not had a material adverse impact on our financial results, but we cannot be certain that this favorable pattern will continue.</w:t>
      </w:r>
    </w:p>
    <w:p>
      <w:pPr>
        <w:spacing w:after="0" w:line="10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historical growth has included acquisitions, and our future growth strategy may include acquisitions. If our future growth strategy includes a focus on acquisitions, we may not be able to identify acquisition targets or successfully complete acquisitions due to the absence of quality companies in our target markets, economic conditions, or price expectations from sellers. Acquisitions place significant demands on management, operational, and financial resources. Future acquisitions will require integration of operations, sales and marketing, information technology, and administrative operations, which could decrease the time available to focus on our other growth strategies. We cannot assure that we will be able to successfully integrate acquisitions, that these acquisitions will operate profitably, or that we will be able to achieve the desired sales growth or operational success. Our business and financial results could be adversely affected if we do not successfully integrate the newly acquired businesses, or if our other businesses suffer due to the increased focus on the acquired businesses.</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litigation, including product liability claims that could adversely impact our business, financial results, and reputation.</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a party to litigation that arises in the normal course of our business operations, including product liability and recall (strict liability and negligence) claims, patent and trademark matters, contract disputes and environmental, employment and other litigation matters. We face an inherent business risk of exposure to product liability claims in the event that the use of our products is alleged to have resulted in injury or other damage. In addition, we face an inherent risk that our competitors will allege that aspects of our products infringe their intellectual property or that our intellectual property is invalid, such that we could be prevented from manufacturing and selling our products or prevented from stopping others from manufacturing and selling competing products. To date, we have not incurred material costs related to these types of claims. However, while we currently maintain insurance coverage for certain types of claims that we believe is adequate, we cannot be certain that we will be able to maintain this insurance on acceptable terms or that this insurance will provide sufficient coverage against potential liabilities that may arise. Any claims brought against us, with or without merit, may have an adverse effect on our business, financial results and reputation as a result of potential adverse outcomes. The expenses associated with defending such claims and the diversion of our management’s resources and time may have an adverse effect on our business and financial results.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Financial/Ownership Risks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global nature of our business exposes us to foreign currency fluctuations that could adversely affect our business and financial results.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Approximately 45% of our sales are derived outside the United States. Sales and purchases in currencies other than the U.S. dollar expose us to fluctuations in foreign currencies relative to the U.S. dollar, and may adversely affect our financial results. Increased strength of the U.S. dollar will increase the effective price of our products sold in currencies other than U.S. dollars into other countries. Decreased strength of the U.S. dollar could adversely affect the cost of materials, products, and services purchased overseas. Our sales and expenses are translated into U.S. dollars for reporting purposes, and the strengthening of the U.S. dollar could result in unfavorable translation effects, which occurred during fiscal years 2019 and 2020. In addition, certain of our subsidiaries may invoice customers in a currency other than its functional currency or may be invoiced by suppliers in a currency other than its functional currency, which could result in unfavorable translation effects on our business and financial results.</w:t>
      </w:r>
    </w:p>
    <w:p>
      <w:pPr>
        <w:spacing w:after="0" w:line="131"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execute our strategies could result in impairment of goodwill or other intangible assets, which may negatively impact income and profitability</w:t>
      </w:r>
      <w:r>
        <w:rPr>
          <w:rFonts w:ascii="Times New Roman" w:cs="Times New Roman" w:eastAsia="Times New Roman" w:hAnsi="Times New Roman"/>
          <w:sz w:val="18"/>
          <w:szCs w:val="18"/>
          <w:b w:val="1"/>
          <w:bCs w:val="1"/>
          <w:color w:val="auto"/>
        </w:rPr>
        <w:t>.</w:t>
      </w:r>
    </w:p>
    <w:p>
      <w:pPr>
        <w:spacing w:after="0" w:line="10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goodwill of $416.0 million and other intangible assets of $22.3 million as of July 31, 2020, which represents 38.4% of our total assets, and we have recognized impairment charges in the past. We evaluate goodwill and other intangible assets for impairment on an annual basis, or more frequently if impairment indicators are present, based upon the fair value of each respective asset. The valuations prepared for the required impairment test include management's estimates of sales, profitability, cash flow generation, capital structure, cost of debt, interest rates, capital expenditures, and other assumptions. Significant negative industry or economic trends, disruptions to our business, inability to achieve sales projections or cost savings, inability to effectively integrate acquired businesses, unexpected changes in the use of the assets, and divestitures may adversely impact the assumptions used in the valuations. If the estimated fair value of our goodwill or other intangible assets change in future periods, we may be required to record an impairment charge, which would reduce net income in such period.</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legislation or tax rates could adversely affect results of operations and financial statements. Additionally, audits by taxing authorities could result in tax payments for prior periods.</w:t>
      </w:r>
    </w:p>
    <w:p>
      <w:pPr>
        <w:spacing w:after="0" w:line="10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subject to income taxes in the U.S. and in many non-U.S. jurisdictions. As such, our income is subject to risk due to changing tax laws and tax rates around the world. Our tax filings are subject to audit by U.S. federal, state and local tax authorities and by non-U.S. tax authorities. If these audits result in payments or assessments that differ from our reserves, our future net income may be adversely impacted.</w:t>
      </w:r>
    </w:p>
    <w:p>
      <w:pPr>
        <w:spacing w:after="0" w:line="12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review the probability of the realization of our deferred tax assets quarterly based on forecasts of taxable income in both the U.S. and foreign jurisdictions. As part of this review, we utilize historical results, projected future operating results, eligible carry-forward periods, tax planning opportunities, and other relevant considerations. Changes in profitability and financial outlook in both the U.S. and/or foreign jurisdictions, or changes in our geographic footprint may require modifications in the valuation allowance for deferred tax assets. At any point in time, there are a number of tax proposals at various stages of legislation throughout the globe. While it is impossible for us to predict whether some or all of these proposals will be enacted, many will likely have an impact on our business and financial results.</w:t>
      </w:r>
    </w:p>
    <w:p>
      <w:pPr>
        <w:spacing w:after="0" w:line="129"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Substantially all of our voting stock is controlled by two shareholders, while our public investors hold non-voting stock. The interests of the voting and non-voting shareholders could differ, potentially resulting in decisions that affect the value of the non-voting shares.</w:t>
      </w:r>
    </w:p>
    <w:p>
      <w:pPr>
        <w:spacing w:after="0" w:line="10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Substantially all of our voting stock is controlled by Elizabeth P. Bruno, one of our Directors, and William H. Brady III, both of whom are descendants of the Company's founder. All of our publicly traded shares are non-voting. Therefore, the voting shareholders have control in most matters requiring approval or acquiescence by shareholders, including the composition of our Board of Directors and many corporate actions, and their interests may not align with those of the non-voting shareholders. Such concentration of ownership may discourage a potential acquirer from making a purchase offer that our public shareholders may find favorable and it may adversely affect the trading price for our non-voting common stock because investors may perceive disadvantages in owning stock in companies whose voting stock is controlled by a limited number of shareholders. Additionally, certain mutual funds and index sponsors have implemented rules restricting ownership, or excluding from indices, companies with non-voting publicly traded shares.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currently operates 38 manufacturing and distribution facilities across the globe and are split by reporting segment as follows:</w:t>
      </w:r>
    </w:p>
    <w:p>
      <w:pPr>
        <w:spacing w:after="0" w:line="167"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IDS: </w:t>
      </w:r>
      <w:r>
        <w:rPr>
          <w:rFonts w:ascii="Times New Roman" w:cs="Times New Roman" w:eastAsia="Times New Roman" w:hAnsi="Times New Roman"/>
          <w:sz w:val="18"/>
          <w:szCs w:val="18"/>
          <w:color w:val="auto"/>
        </w:rPr>
        <w:t>Twenty-nine manufacturing and distribution facilities are used for our IDS business. Six are located in the United States; four each in China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Belgium; three in Mexico; two each in Brazil and the United Kingdom; and one each in Canada, India, Japan, Malaysia, Netherlands, Singapore, South Africa, and Thailand.</w:t>
      </w:r>
    </w:p>
    <w:p>
      <w:pPr>
        <w:spacing w:after="0" w:line="117"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WPS: </w:t>
      </w:r>
      <w:r>
        <w:rPr>
          <w:rFonts w:ascii="Times New Roman" w:cs="Times New Roman" w:eastAsia="Times New Roman" w:hAnsi="Times New Roman"/>
          <w:sz w:val="18"/>
          <w:szCs w:val="18"/>
          <w:color w:val="auto"/>
        </w:rPr>
        <w:t>Nine manufacturing and distribution facilities are used for our WPS business. Three are located in France; two are located in Australia; and 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in Germany, Norway, the United Kingdom, and the United States.</w:t>
      </w:r>
    </w:p>
    <w:p>
      <w:pPr>
        <w:spacing w:after="0" w:line="1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believes that its equipment and facilities are modern, well maintained, and adequate for present needs.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is, and may in the future be, named as a defendant in various legal proceedings and claims that arise in the normal course of business in which claims are asserted against the Company. The Company records a liability for these legal actions when a loss is known or considered probable and the amount can be reasonably estimated. The Company is not currently a party to any material pending legal proceedings in which management believes the ultimate resolution would have a material effect on the Company’s consolidated financial statements.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 Securities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 Market Information</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Brady Corporation Class A Nonvoting Common Stock trades on the New York Stock Exchange under the symbol BRC. There is no trading market for the Company’s Class B Voting Common Stock.</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 Holders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August 31, 2020, there were approximately 1,100 Class A Common Stock shareholders of record and approximately 9,000 beneficial shareholders. There are three Class B Common Stock shareholders.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  Dividends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has historically paid quarterly dividends on outstanding common stock. Before any dividend may be paid on the Class B Common Stock, holders of the Class A Common Stock are entitled to receive an annual, noncumulative cash dividend of $0.01665 per share (subject to adjustment in the event of future stock splits, stock dividends or similar events involving shares of Class A Common Stock). Thereafter, any further dividend in that fiscal year must be paid on all shares of Class A Common Stock and Class B Common Stock on an equal basis. The Company believes that based on its historic dividend practice, this requirement will not impede it in following a similar dividend practice in the future.</w:t>
      </w:r>
    </w:p>
    <w:p>
      <w:pPr>
        <w:spacing w:after="0" w:line="1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two most recent fiscal years and for the first quarter of fiscal 2021, the Company declared the following dividends per share on its Class A and Class B Common Stock for the years ended July 31:</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33"/>
        </w:trPr>
        <w:tc>
          <w:tcPr>
            <w:tcW w:w="1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7"/>
        </w:trPr>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1st Qtr</w:t>
            </w:r>
          </w:p>
        </w:tc>
        <w:tc>
          <w:tcPr>
            <w:tcW w:w="16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1st Qtr</w:t>
            </w:r>
          </w:p>
        </w:tc>
        <w:tc>
          <w:tcPr>
            <w:tcW w:w="140" w:type="dxa"/>
            <w:vAlign w:val="bottom"/>
          </w:tcPr>
          <w:p>
            <w:pPr>
              <w:spacing w:after="0"/>
              <w:rPr>
                <w:sz w:val="18"/>
                <w:szCs w:val="18"/>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2nd Qtr</w:t>
            </w:r>
          </w:p>
        </w:tc>
        <w:tc>
          <w:tcPr>
            <w:tcW w:w="160" w:type="dxa"/>
            <w:vAlign w:val="bottom"/>
          </w:tcPr>
          <w:p>
            <w:pPr>
              <w:spacing w:after="0"/>
              <w:rPr>
                <w:sz w:val="18"/>
                <w:szCs w:val="18"/>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3rd Qtr</w:t>
            </w:r>
          </w:p>
        </w:tc>
        <w:tc>
          <w:tcPr>
            <w:tcW w:w="16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4th Qtr</w:t>
            </w:r>
          </w:p>
        </w:tc>
        <w:tc>
          <w:tcPr>
            <w:tcW w:w="16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1st Qtr</w:t>
            </w:r>
          </w:p>
        </w:tc>
        <w:tc>
          <w:tcPr>
            <w:tcW w:w="160" w:type="dxa"/>
            <w:vAlign w:val="bottom"/>
          </w:tcPr>
          <w:p>
            <w:pPr>
              <w:spacing w:after="0"/>
              <w:rPr>
                <w:sz w:val="18"/>
                <w:szCs w:val="18"/>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2nd Qtr</w:t>
            </w:r>
          </w:p>
        </w:tc>
        <w:tc>
          <w:tcPr>
            <w:tcW w:w="180" w:type="dxa"/>
            <w:vAlign w:val="bottom"/>
          </w:tcPr>
          <w:p>
            <w:pPr>
              <w:spacing w:after="0"/>
              <w:rPr>
                <w:sz w:val="18"/>
                <w:szCs w:val="18"/>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3rd Qtr</w:t>
            </w:r>
          </w:p>
        </w:tc>
        <w:tc>
          <w:tcPr>
            <w:tcW w:w="160" w:type="dxa"/>
            <w:vAlign w:val="bottom"/>
          </w:tcPr>
          <w:p>
            <w:pPr>
              <w:spacing w:after="0"/>
              <w:rPr>
                <w:sz w:val="18"/>
                <w:szCs w:val="18"/>
                <w:color w:val="auto"/>
              </w:rPr>
            </w:pP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4th Qtr</w:t>
            </w:r>
          </w:p>
        </w:tc>
      </w:tr>
      <w:tr>
        <w:trPr>
          <w:trHeight w:val="33"/>
        </w:trPr>
        <w:tc>
          <w:tcPr>
            <w:tcW w:w="19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0"/>
        </w:trPr>
        <w:tc>
          <w:tcPr>
            <w:tcW w:w="1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Class 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0.2175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0.2175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0.2175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0.2175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0.2125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0.2125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0.2125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0.2125</w:t>
            </w:r>
          </w:p>
        </w:tc>
      </w:tr>
      <w:tr>
        <w:trPr>
          <w:trHeight w:val="223"/>
        </w:trPr>
        <w:tc>
          <w:tcPr>
            <w:tcW w:w="1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Class B</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0.20335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0.20085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0.2175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0.2175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0.2175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0.19585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0.2125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0.2125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0.2125</w:t>
            </w:r>
          </w:p>
        </w:tc>
      </w:tr>
    </w:tbl>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 Issuer Purchases of Equity Securities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a share repurchase program for the Company’s Class A Nonvoting Common Stock. The plan may be implemented by purchasing shares in the open market or in privately negotiated transactions, with repurchased shares available for use in connection with the Company’s stock-based plans and for other corporate purposes. On February 16, 2016, the Company's Board of Directors authorized a share repurchase program of 2,000,000 shares. As of July 31, 2020, there were 461,796 shares authorized to purchase in connection with this share repurchase program.</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with respect to the purchase of Class A Nonvoting Common Stock during the three months ended July 31, 2020:</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Maximum Number of</w:t>
            </w:r>
          </w:p>
        </w:tc>
      </w:tr>
      <w:tr>
        <w:trPr>
          <w:trHeight w:val="203"/>
        </w:trPr>
        <w:tc>
          <w:tcPr>
            <w:tcW w:w="3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Shares That May Yet Be</w:t>
            </w:r>
          </w:p>
        </w:tc>
      </w:tr>
      <w:tr>
        <w:trPr>
          <w:trHeight w:val="203"/>
        </w:trPr>
        <w:tc>
          <w:tcPr>
            <w:tcW w:w="3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Total Number of Shares</w:t>
            </w:r>
          </w:p>
        </w:tc>
        <w:tc>
          <w:tcPr>
            <w:tcW w:w="120" w:type="dxa"/>
            <w:vAlign w:val="bottom"/>
          </w:tcPr>
          <w:p>
            <w:pPr>
              <w:spacing w:after="0"/>
              <w:rPr>
                <w:sz w:val="17"/>
                <w:szCs w:val="17"/>
                <w:color w:val="auto"/>
              </w:rPr>
            </w:pPr>
          </w:p>
        </w:tc>
        <w:tc>
          <w:tcPr>
            <w:tcW w:w="18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Average Price Paid per</w:t>
            </w:r>
          </w:p>
        </w:tc>
        <w:tc>
          <w:tcPr>
            <w:tcW w:w="19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Purchased as Part of</w:t>
            </w:r>
          </w:p>
        </w:tc>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Purchased Under the</w:t>
            </w:r>
          </w:p>
        </w:tc>
      </w:tr>
      <w:tr>
        <w:trPr>
          <w:trHeight w:val="212"/>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Purchased</w:t>
            </w:r>
          </w:p>
        </w:tc>
        <w:tc>
          <w:tcPr>
            <w:tcW w:w="120" w:type="dxa"/>
            <w:vAlign w:val="bottom"/>
          </w:tcPr>
          <w:p>
            <w:pPr>
              <w:spacing w:after="0"/>
              <w:rPr>
                <w:sz w:val="18"/>
                <w:szCs w:val="18"/>
                <w:color w:val="auto"/>
              </w:rPr>
            </w:pPr>
          </w:p>
        </w:tc>
        <w:tc>
          <w:tcPr>
            <w:tcW w:w="18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19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Publicly Announced Plans</w:t>
            </w:r>
          </w:p>
        </w:tc>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Plans</w:t>
            </w:r>
          </w:p>
        </w:tc>
      </w:tr>
      <w:tr>
        <w:trPr>
          <w:trHeight w:val="33"/>
        </w:trPr>
        <w:tc>
          <w:tcPr>
            <w:tcW w:w="3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0"/>
        </w:trPr>
        <w:tc>
          <w:tcPr>
            <w:tcW w:w="3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May 1, 2020 - May 31, 2020</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39.95</w:t>
            </w:r>
          </w:p>
        </w:tc>
        <w:tc>
          <w:tcPr>
            <w:tcW w:w="10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10,029</w:t>
            </w:r>
          </w:p>
        </w:tc>
        <w:tc>
          <w:tcPr>
            <w:tcW w:w="12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461,796</w:t>
            </w:r>
          </w:p>
        </w:tc>
      </w:tr>
      <w:tr>
        <w:trPr>
          <w:trHeight w:val="223"/>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June 1, 2020 - June 30, 2020</w:t>
            </w:r>
          </w:p>
        </w:tc>
        <w:tc>
          <w:tcPr>
            <w:tcW w:w="1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461,796</w:t>
            </w:r>
          </w:p>
        </w:tc>
      </w:tr>
      <w:tr>
        <w:trPr>
          <w:trHeight w:val="33"/>
        </w:trPr>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7"/>
        </w:trPr>
        <w:tc>
          <w:tcPr>
            <w:tcW w:w="3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July 1, 2020 - July 31, 2020</w:t>
            </w:r>
          </w:p>
        </w:tc>
        <w:tc>
          <w:tcPr>
            <w:tcW w:w="1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461,796</w:t>
            </w:r>
          </w:p>
        </w:tc>
      </w:tr>
      <w:tr>
        <w:trPr>
          <w:trHeight w:val="217"/>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10,029</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39.95</w:t>
            </w:r>
          </w:p>
        </w:tc>
        <w:tc>
          <w:tcPr>
            <w:tcW w:w="100" w:type="dxa"/>
            <w:vAlign w:val="bottom"/>
          </w:tcPr>
          <w:p>
            <w:pPr>
              <w:spacing w:after="0"/>
              <w:rPr>
                <w:sz w:val="18"/>
                <w:szCs w:val="18"/>
                <w:color w:val="auto"/>
              </w:rPr>
            </w:pPr>
          </w:p>
        </w:tc>
        <w:tc>
          <w:tcPr>
            <w:tcW w:w="1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10,029</w:t>
            </w:r>
          </w:p>
        </w:tc>
        <w:tc>
          <w:tcPr>
            <w:tcW w:w="120" w:type="dxa"/>
            <w:vAlign w:val="bottom"/>
          </w:tcPr>
          <w:p>
            <w:pPr>
              <w:spacing w:after="0"/>
              <w:rPr>
                <w:sz w:val="18"/>
                <w:szCs w:val="18"/>
                <w:color w:val="auto"/>
              </w:rPr>
            </w:pPr>
          </w:p>
        </w:tc>
        <w:tc>
          <w:tcPr>
            <w:tcW w:w="1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461,796</w:t>
            </w:r>
          </w:p>
        </w:tc>
      </w:tr>
      <w:tr>
        <w:trPr>
          <w:trHeight w:val="33"/>
        </w:trPr>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0"/>
        </w:trPr>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  Common Stock Price Performance Graph</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graph below shows a comparison of the cumulative return over the last five fiscal years had $100 been invested at the close of business on July 31, 2015, in each of Brady Corporation Class A Common Stock, the Standard &amp; Poor’s ("S&amp;P") 500 Index, the S&amp;P SmallCap 600 Index, and the Russell 2000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5863590" cy="36429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63590" cy="3642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33"/>
        </w:trPr>
        <w:tc>
          <w:tcPr>
            <w:tcW w:w="3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Brady Corporation</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141.41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149.56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176.13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242.63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219.50</w:t>
            </w:r>
          </w:p>
        </w:tc>
      </w:tr>
      <w:tr>
        <w:trPr>
          <w:trHeight w:val="223"/>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S&amp;P 500 Index</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142.28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153.64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172.01</w:t>
            </w:r>
          </w:p>
        </w:tc>
      </w:tr>
      <w:tr>
        <w:trPr>
          <w:trHeight w:val="33"/>
        </w:trPr>
        <w:tc>
          <w:tcPr>
            <w:tcW w:w="3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6"/>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S&amp;P SmallCap 600 Index</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124.55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153.34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142.99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130.59</w:t>
            </w:r>
          </w:p>
        </w:tc>
      </w:tr>
      <w:tr>
        <w:trPr>
          <w:trHeight w:val="224"/>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Russell 2000 Index</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140.55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134.34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128.18</w:t>
            </w:r>
          </w:p>
        </w:tc>
      </w:tr>
    </w:tbl>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Copyright (C) 2020, Standard &amp; Poor’s, Inc. and Russell Investments. All rights reserved.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Selected Financial Data</w:t>
      </w:r>
    </w:p>
    <w:p>
      <w:pPr>
        <w:spacing w:after="0" w:line="171"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CONSOLIDATED STATEMENTS OF INCOME AND SELECTED FINANCIAL DATA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July 31, 2016 through 2020</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39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gridSpan w:val="8"/>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3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00" w:type="dxa"/>
            <w:vAlign w:val="bottom"/>
            <w:gridSpan w:val="8"/>
          </w:tcPr>
          <w:p>
            <w:pPr>
              <w:ind w:left="420"/>
              <w:spacing w:after="0"/>
              <w:rPr>
                <w:sz w:val="20"/>
                <w:szCs w:val="20"/>
                <w:color w:val="auto"/>
              </w:rPr>
            </w:pPr>
            <w:r>
              <w:rPr>
                <w:rFonts w:ascii="Times New Roman" w:cs="Times New Roman" w:eastAsia="Times New Roman" w:hAnsi="Times New Roman"/>
                <w:sz w:val="16"/>
                <w:szCs w:val="16"/>
                <w:b w:val="1"/>
                <w:bCs w:val="1"/>
                <w:color w:val="auto"/>
              </w:rPr>
              <w:t>(In thousands, except per share amounts)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3"/>
        </w:trPr>
        <w:tc>
          <w:tcPr>
            <w:tcW w:w="3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data</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24"/>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1,081,299</w:t>
            </w:r>
          </w:p>
        </w:tc>
        <w:tc>
          <w:tcPr>
            <w:tcW w:w="10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1,160,645</w:t>
            </w: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1,173,851</w:t>
            </w:r>
          </w:p>
        </w:tc>
        <w:tc>
          <w:tcPr>
            <w:tcW w:w="12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1,113,316</w:t>
            </w:r>
          </w:p>
        </w:tc>
        <w:tc>
          <w:tcPr>
            <w:tcW w:w="10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1,120,625</w:t>
            </w:r>
          </w:p>
        </w:tc>
      </w:tr>
      <w:tr>
        <w:trPr>
          <w:trHeight w:val="33"/>
        </w:trPr>
        <w:tc>
          <w:tcPr>
            <w:tcW w:w="3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Gross margin</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528,565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578,678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588,291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558,292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558,773</w:t>
            </w:r>
          </w:p>
        </w:tc>
      </w:tr>
      <w:tr>
        <w:trPr>
          <w:trHeight w:val="223"/>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33"/>
        </w:trPr>
        <w:tc>
          <w:tcPr>
            <w:tcW w:w="3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3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40,662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45,168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45,253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39,624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35,799</w:t>
            </w:r>
          </w:p>
        </w:tc>
      </w:tr>
      <w:tr>
        <w:trPr>
          <w:trHeight w:val="257"/>
        </w:trPr>
        <w:tc>
          <w:tcPr>
            <w:tcW w:w="39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Selling, general and administrative</w:t>
            </w:r>
            <w:r>
              <w:rPr>
                <w:rFonts w:ascii="Times New Roman" w:cs="Times New Roman" w:eastAsia="Times New Roman" w:hAnsi="Times New Roman"/>
                <w:sz w:val="21"/>
                <w:szCs w:val="21"/>
                <w:color w:val="auto"/>
                <w:vertAlign w:val="superscript"/>
              </w:rPr>
              <w:t>(1)</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336,059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371,082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390,342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387,653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405,096</w:t>
            </w:r>
          </w:p>
        </w:tc>
      </w:tr>
      <w:tr>
        <w:trPr>
          <w:trHeight w:val="257"/>
        </w:trPr>
        <w:tc>
          <w:tcPr>
            <w:tcW w:w="3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Impairment charges</w:t>
            </w:r>
            <w:r>
              <w:rPr>
                <w:rFonts w:ascii="Times New Roman" w:cs="Times New Roman" w:eastAsia="Times New Roman" w:hAnsi="Times New Roman"/>
                <w:sz w:val="21"/>
                <w:szCs w:val="21"/>
                <w:color w:val="auto"/>
                <w:vertAlign w:val="superscript"/>
              </w:rPr>
              <w:t>(2)</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13,821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39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390,542</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416,250</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435,595</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427,277</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440,895</w:t>
            </w:r>
          </w:p>
        </w:tc>
      </w:tr>
      <w:tr>
        <w:trPr>
          <w:trHeight w:val="33"/>
        </w:trPr>
        <w:tc>
          <w:tcPr>
            <w:tcW w:w="3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138,023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162,428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152,696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131,015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117,878</w:t>
            </w:r>
          </w:p>
        </w:tc>
      </w:tr>
      <w:tr>
        <w:trPr>
          <w:trHeight w:val="223"/>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 (expense):</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33"/>
        </w:trPr>
        <w:tc>
          <w:tcPr>
            <w:tcW w:w="3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3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Investment and other income (expense)</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w:t>
            </w:r>
          </w:p>
        </w:tc>
      </w:tr>
      <w:tr>
        <w:trPr>
          <w:trHeight w:val="224"/>
        </w:trPr>
        <w:tc>
          <w:tcPr>
            <w:tcW w:w="39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Interest expense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(7,824)</w:t>
            </w:r>
          </w:p>
        </w:tc>
      </w:tr>
      <w:tr>
        <w:trPr>
          <w:trHeight w:val="33"/>
        </w:trPr>
        <w:tc>
          <w:tcPr>
            <w:tcW w:w="3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Net other income (expense)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(8,533)</w:t>
            </w:r>
          </w:p>
        </w:tc>
      </w:tr>
      <w:tr>
        <w:trPr>
          <w:trHeight w:val="194"/>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income taxes and losses of</w:t>
            </w:r>
          </w:p>
        </w:tc>
        <w:tc>
          <w:tcPr>
            <w:tcW w:w="3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r>
      <w:tr>
        <w:trPr>
          <w:trHeight w:val="212"/>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unconsolidated affiliate</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140,936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164,644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152,015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126,632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109,345</w:t>
            </w:r>
          </w:p>
        </w:tc>
      </w:tr>
      <w:tr>
        <w:trPr>
          <w:trHeight w:val="33"/>
        </w:trPr>
        <w:tc>
          <w:tcPr>
            <w:tcW w:w="3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6"/>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tax expense</w:t>
            </w:r>
            <w:r>
              <w:rPr>
                <w:rFonts w:ascii="Times New Roman" w:cs="Times New Roman" w:eastAsia="Times New Roman" w:hAnsi="Times New Roman"/>
                <w:sz w:val="21"/>
                <w:szCs w:val="21"/>
                <w:b w:val="1"/>
                <w:bCs w:val="1"/>
                <w:color w:val="auto"/>
                <w:vertAlign w:val="superscript"/>
              </w:rPr>
              <w:t>(3)</w:t>
            </w: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28,321</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33,386</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60,955</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30,987</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29,235</w:t>
            </w:r>
          </w:p>
        </w:tc>
      </w:tr>
      <w:tr>
        <w:trPr>
          <w:trHeight w:val="217"/>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losses of unconsolidated affiliate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112,615</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131,258</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91,060</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95,645</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80,110</w:t>
            </w:r>
          </w:p>
        </w:tc>
      </w:tr>
      <w:tr>
        <w:trPr>
          <w:trHeight w:val="33"/>
        </w:trPr>
        <w:tc>
          <w:tcPr>
            <w:tcW w:w="3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6"/>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Equity in losses of unconsolidated affiliate</w:t>
            </w:r>
            <w:r>
              <w:rPr>
                <w:rFonts w:ascii="Times New Roman" w:cs="Times New Roman" w:eastAsia="Times New Roman" w:hAnsi="Times New Roman"/>
                <w:sz w:val="21"/>
                <w:szCs w:val="21"/>
                <w:b w:val="1"/>
                <w:bCs w:val="1"/>
                <w:color w:val="auto"/>
                <w:vertAlign w:val="superscript"/>
              </w:rPr>
              <w:t>(4)</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112,369</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131,258</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91,060</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95,645</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80,110</w:t>
            </w:r>
          </w:p>
        </w:tc>
      </w:tr>
      <w:tr>
        <w:trPr>
          <w:trHeight w:val="33"/>
        </w:trPr>
        <w:tc>
          <w:tcPr>
            <w:tcW w:w="39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3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04"/>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per Common Share— (Diluted):</w:t>
            </w: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r>
      <w:tr>
        <w:trPr>
          <w:trHeight w:val="223"/>
        </w:trPr>
        <w:tc>
          <w:tcPr>
            <w:tcW w:w="39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Class A nonvoting</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2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r>
      <w:tr>
        <w:trPr>
          <w:trHeight w:val="33"/>
        </w:trPr>
        <w:tc>
          <w:tcPr>
            <w:tcW w:w="3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3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Class B voting</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r>
      <w:tr>
        <w:trPr>
          <w:trHeight w:val="223"/>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Dividends on:</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33"/>
        </w:trPr>
        <w:tc>
          <w:tcPr>
            <w:tcW w:w="3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3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Class A common stock</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0.81</w:t>
            </w:r>
          </w:p>
        </w:tc>
      </w:tr>
      <w:tr>
        <w:trPr>
          <w:trHeight w:val="223"/>
        </w:trPr>
        <w:tc>
          <w:tcPr>
            <w:tcW w:w="39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Class B common stock</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0.85</w:t>
            </w:r>
          </w:p>
        </w:tc>
        <w:tc>
          <w:tcPr>
            <w:tcW w:w="10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0.83</w:t>
            </w: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0.81</w:t>
            </w:r>
          </w:p>
        </w:tc>
        <w:tc>
          <w:tcPr>
            <w:tcW w:w="12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0.80</w:t>
            </w:r>
          </w:p>
        </w:tc>
        <w:tc>
          <w:tcPr>
            <w:tcW w:w="10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0.79</w:t>
            </w:r>
          </w:p>
        </w:tc>
      </w:tr>
      <w:tr>
        <w:trPr>
          <w:trHeight w:val="33"/>
        </w:trPr>
        <w:tc>
          <w:tcPr>
            <w:tcW w:w="3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6"/>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Sheet at July 31:</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23"/>
        </w:trPr>
        <w:tc>
          <w:tcPr>
            <w:tcW w:w="39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assets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1,142,466</w:t>
            </w:r>
          </w:p>
        </w:tc>
        <w:tc>
          <w:tcPr>
            <w:tcW w:w="10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1,157,308</w:t>
            </w: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1,056,931</w:t>
            </w:r>
          </w:p>
        </w:tc>
        <w:tc>
          <w:tcPr>
            <w:tcW w:w="12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1,050,223</w:t>
            </w:r>
          </w:p>
        </w:tc>
        <w:tc>
          <w:tcPr>
            <w:tcW w:w="10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1,043,964</w:t>
            </w:r>
          </w:p>
        </w:tc>
      </w:tr>
      <w:tr>
        <w:trPr>
          <w:trHeight w:val="33"/>
        </w:trPr>
        <w:tc>
          <w:tcPr>
            <w:tcW w:w="3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6"/>
        </w:trPr>
        <w:tc>
          <w:tcPr>
            <w:tcW w:w="3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Long-term debt, less current maturities</w:t>
            </w: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52,618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104,536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211,982</w:t>
            </w:r>
          </w:p>
        </w:tc>
      </w:tr>
      <w:tr>
        <w:trPr>
          <w:trHeight w:val="223"/>
        </w:trPr>
        <w:tc>
          <w:tcPr>
            <w:tcW w:w="39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Stockholders’ equity</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863,072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850,774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752,112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700,140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603,598</w:t>
            </w:r>
          </w:p>
        </w:tc>
      </w:tr>
      <w:tr>
        <w:trPr>
          <w:trHeight w:val="33"/>
        </w:trPr>
        <w:tc>
          <w:tcPr>
            <w:tcW w:w="3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6"/>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Data:</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23"/>
        </w:trPr>
        <w:tc>
          <w:tcPr>
            <w:tcW w:w="39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140,977</w:t>
            </w:r>
          </w:p>
        </w:tc>
        <w:tc>
          <w:tcPr>
            <w:tcW w:w="10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162,211</w:t>
            </w: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143,042</w:t>
            </w:r>
          </w:p>
        </w:tc>
        <w:tc>
          <w:tcPr>
            <w:tcW w:w="12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144,032</w:t>
            </w:r>
          </w:p>
        </w:tc>
        <w:tc>
          <w:tcPr>
            <w:tcW w:w="10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138,976</w:t>
            </w:r>
          </w:p>
        </w:tc>
      </w:tr>
      <w:tr>
        <w:trPr>
          <w:trHeight w:val="33"/>
        </w:trPr>
        <w:tc>
          <w:tcPr>
            <w:tcW w:w="3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6"/>
        </w:trPr>
        <w:tc>
          <w:tcPr>
            <w:tcW w:w="3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(36,119)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(34,463)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(15,253)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(15,416)</w:t>
            </w:r>
          </w:p>
        </w:tc>
      </w:tr>
      <w:tr>
        <w:trPr>
          <w:trHeight w:val="224"/>
        </w:trPr>
        <w:tc>
          <w:tcPr>
            <w:tcW w:w="39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(163,520)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(90,680)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(136,241)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(99,576)</w:t>
            </w:r>
          </w:p>
        </w:tc>
      </w:tr>
      <w:tr>
        <w:trPr>
          <w:trHeight w:val="33"/>
        </w:trPr>
        <w:tc>
          <w:tcPr>
            <w:tcW w:w="3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6"/>
        </w:trPr>
        <w:tc>
          <w:tcPr>
            <w:tcW w:w="3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23,437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23,799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25,442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27,303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32,432</w:t>
            </w:r>
          </w:p>
        </w:tc>
      </w:tr>
      <w:tr>
        <w:trPr>
          <w:trHeight w:val="224"/>
        </w:trPr>
        <w:tc>
          <w:tcPr>
            <w:tcW w:w="39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Capital expenditures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(21,777)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-5876290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-5876290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-5876290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-5876290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3" w:lineRule="exact"/>
        <w:rPr>
          <w:sz w:val="20"/>
          <w:szCs w:val="20"/>
          <w:color w:val="auto"/>
        </w:rPr>
      </w:pPr>
    </w:p>
    <w:p>
      <w:pPr>
        <w:ind w:left="660" w:hanging="328"/>
        <w:spacing w:after="0" w:line="261" w:lineRule="auto"/>
        <w:tabs>
          <w:tab w:leader="none" w:pos="65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fiscal 2018, the Company recognized a gain of $4.7 million on the sale of its Runelandhs Försäljnings AB business which was recorded as a reduction of selling, general and administrative expense.</w:t>
      </w:r>
    </w:p>
    <w:p>
      <w:pPr>
        <w:ind w:left="660" w:hanging="328"/>
        <w:spacing w:after="0" w:line="250" w:lineRule="auto"/>
        <w:tabs>
          <w:tab w:leader="none" w:pos="65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recognized impairment charges of $13.8 million during the fiscal year ended July 31, 2020, primarily related to other intangible and long-lived assets of the WPS business.</w:t>
      </w:r>
    </w:p>
    <w:p>
      <w:pPr>
        <w:jc w:val="both"/>
        <w:ind w:left="660" w:hanging="328"/>
        <w:spacing w:after="0" w:line="253" w:lineRule="auto"/>
        <w:tabs>
          <w:tab w:leader="none" w:pos="65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2018 was significantly impacted by the Tax Reform Act which resulted in total incremental tax expense of $21.1 million, which consisted of $1.0 million related to the recording of a deferred tax liability for future withholdings and income taxes on the distribution of foreign income, an income tax charge of $3.3 million related to the deemed repatriation of the historical income of foreign subsidiaries, and the impact of the Tax Reform Act on the revaluation of deferred tax assets and liabilities of $16.8 million.</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4" w:name="page15"/>
    <w:bookmarkEnd w:id="14"/>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660" w:hanging="328"/>
        <w:spacing w:after="0" w:line="266" w:lineRule="auto"/>
        <w:tabs>
          <w:tab w:leader="none" w:pos="65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fiscal 2020, the Company invested $6.0 million in React Mobile, Inc., an employee safety software and hardware company based in the United States, which is accounted for as an equity method investment. Equity in losses of unconsolidated affiliate of $0.2 million in fiscal 2020 represented the Company's equity interest in React Mobile, Inc.</w:t>
      </w:r>
    </w:p>
    <w:p>
      <w:pPr>
        <w:spacing w:after="0" w:line="118" w:lineRule="exact"/>
        <w:rPr>
          <w:sz w:val="20"/>
          <w:szCs w:val="20"/>
          <w:color w:val="auto"/>
        </w:rPr>
      </w:pPr>
    </w:p>
    <w:p>
      <w:pPr>
        <w:ind w:right="398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Overview</w:t>
      </w:r>
    </w:p>
    <w:p>
      <w:pPr>
        <w:spacing w:after="0" w:line="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a global manufacturer and supplier of identification solutions and workplace safety products that identify and protect premises, products and people. The IDS segment is primarily involved in the design, manufacture, and distribution of high-performance and innovative identification and healthcare products. The WPS segment provides workplace safety and compliance products, approximately half of which are internally manufactured and half of which are externally sourced. Approximately 45% of our total sales are derived outside of the United States. Foreign sales within the IDS and WPS segments are approximately 40% and 70%, respectively.</w:t>
      </w:r>
    </w:p>
    <w:p>
      <w:pPr>
        <w:spacing w:after="0" w:line="1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ability to provide customers with a broad range of proprietary, customized and diverse products for use in various applications across multiple industries and geographies, along with a commitment to quality and service, have made Brady a leader in many of its markets. The long-term sales growth and profitability of our segments will depend not only on improved demand in end markets and the overall economic environment, but also on our ability to continuously improve the efficiency of our global operations, deliver a high level of customer service, develop and market innovative new products, and to advance our digital capabilities. In our IDS business, our strategy for growth includes an increased focus on certain industries and products, a focus on improving the customer buying experience, and the development of technologically advanced, innovative and proprietary products. In our WPS business, our strategy for growth includes a focus on workplace safety critical industries, innovative new product offerings, compliance expertise, customization expertise, and improving our digital capabilities.</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Impact of the COVID-19 Pandemic on Our Business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impact of the COVID-19 pandemic on the global economic environment has resulted in reduced demand across the majority of our end markets. In the near-term, the COVID-19 pandemic is expected to continue to have adverse effects on our sales, overall profitability, and cash provided by operating activities. As of the date of this filing, significant uncertainty exists concerning the magnitude of the impact and duration of the COVID-19 pandemic.</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Brady Corporation is deemed an essential business under the majority of local government orders. Our products support first responders, healthcare workers, food processing companies, and many other critical industries. Certain of our businesses were shutdown temporarily and many employees worked remotely during the second half of 2020, which had a negative impact on our financial results, operations, and employee productivity. However, the majority of our facilities were operating globally while implementing enhanced safety protocols designed to protect the well-being of our employees.</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taken actions throughout our business to reduce controllable costs, including actions to reduce labor costs, eliminating non-essential travel, and reducing discretionary spend. We believe we have the financial strength to continue to invest in organic sales growth opportunities and R&amp;D, while continuing to drive efficiencies and automation in our operations and selling, general and administrative expenses ("SG&amp;A") functions. At July 31, 2020, we had cash of $217.6 million, an undrawn credit facility of $200 million, which can be increased up to $400 million at the Company's option and subject to certain conditions, and outstanding letters of credit of $3.1 million, for total available liquidity of approximately $615 million.</w:t>
      </w:r>
    </w:p>
    <w:p>
      <w:pPr>
        <w:spacing w:after="0" w:line="1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Due to the speed with which the COVID-19 pandemic has developed and the resulting uncertainty, including the depth and duration of any disruptions to customers and suppliers, its future effect on our business, results of operations, and financial condition cannot be predicted. Despite this uncertainty, we believe that our financial resources, liquidity levels and no outstanding debt, along with various contingency plans to reduce costs are sufficient to manage the impact of the COVID-19 pandemic, which may result in reduced sales, reduced net income, and reduced cash provided by operating activities. Refer to Risk Factors, included in Part I, Item 1A of this Annual Report on Form 10-K, for further discussion of the possible impact of the COVID-19 pandemic on our business.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comparison of results of operating income for the fiscal years ended July 31, 2020, 2019, and 2018 is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360" w:type="dxa"/>
            <w:vAlign w:val="bottom"/>
          </w:tcPr>
          <w:p>
            <w:pPr>
              <w:spacing w:after="0"/>
              <w:rPr>
                <w:sz w:val="18"/>
                <w:szCs w:val="18"/>
                <w:color w:val="auto"/>
              </w:rPr>
            </w:pPr>
          </w:p>
        </w:tc>
        <w:tc>
          <w:tcPr>
            <w:tcW w:w="118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 Sales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 Sales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 Sales</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1,081,299</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1,160,645</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1,173,851</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Gross margin</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528,565</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89"/>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578,678</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588,291</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3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3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40,662</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89"/>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45,168</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45,253</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3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3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336,059</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89"/>
              </w:rPr>
              <w:t>%</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371,082</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390,342</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33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Impairment charges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13,821</w:t>
            </w:r>
          </w:p>
        </w:tc>
        <w:tc>
          <w:tcPr>
            <w:tcW w:w="1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4"/>
          </w:tcPr>
          <w:p>
            <w:pPr>
              <w:jc w:val="right"/>
              <w:ind w:right="480"/>
              <w:spacing w:after="0"/>
              <w:rPr>
                <w:sz w:val="20"/>
                <w:szCs w:val="20"/>
                <w:color w:val="auto"/>
              </w:rPr>
            </w:pPr>
            <w:r>
              <w:rPr>
                <w:rFonts w:ascii="Times New Roman" w:cs="Times New Roman" w:eastAsia="Times New Roman" w:hAnsi="Times New Roman"/>
                <w:sz w:val="16"/>
                <w:szCs w:val="16"/>
                <w:color w:val="auto"/>
              </w:rPr>
              <w:t>— %</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33"/>
        </w:trPr>
        <w:tc>
          <w:tcPr>
            <w:tcW w:w="3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32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390,542</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89"/>
              </w:rPr>
              <w:t>%</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416,250</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435,595</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33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320" w:type="dxa"/>
            <w:vAlign w:val="bottom"/>
            <w:vMerge w:val="continue"/>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138,023</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162,428</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64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  $</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152,696</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3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3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 discussion regarding our financial condition and results of operations for fiscal 2019 compared to fiscal 2018 can be found under Item 7 in our Annual Report on Form 10-K for the fiscal year ended July 31, 2019, filed with the SEC on September 6, 2019, which is available free of charge on the SEC's website at www.sec.gov and our corporate website at www.bradyid.com/corporate/investors. References in this Form 10-K to “organic sales” refer to net sales calculated in accordance with U.S. GAAP, excluding the impact of foreign currency translation and divestitures. The Company’s organic sales disclosures exclude the effects of foreign currency translation as foreign currency translation is subject to volatility that can obscure underlying business trends. Management believes that the non-GAAP financial measure of organic sales is meaningful to investors as it provides them with useful information to aid in identifying underlying sales trends in our businesses and facilitating comparisons of our sales performance with prior periods. All analytical commentary within the Results of Operations section regarding the change in sales when compared to prior periods are in reference to organic sales unless otherwise noted.</w:t>
      </w:r>
    </w:p>
    <w:p>
      <w:pPr>
        <w:spacing w:after="0" w:line="13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Net sales decreased 6.8% to $1,081.3 million in fiscal 2020, compared to $1,160.6 million in fiscal 2019, which consisted of an organic sales decline of 5.4% and a decrease from foreign currency translation of 1.4%. Organic sales declined 8.0% in the IDS segment and grew 2.3% in the WPS segment.</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COVID-19 pandemic had a significant impact on organic sales during the second half of 2020, with the impact varying between the IDS and WPS segments. The IDS segment realized reduced demand across all major product lines beginning in the third quarter which continued throughout the fourth quarter, while the WPS segment realized essentially flat organic sales in the third quarter, which improved to 10.8% organic sales growth in the fourth quarter primarily due to increased sales of personal protective equipment and other pandemic-related products. In total, the rate of decline in organic sales decreased through the fourth quarter of fiscal 2020.</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Gross margin decreased 8.7% to $528.6 million in fiscal 2020, compared to $578.7 million in fiscal 2019. As a percentage of net sales, gross margin decreased to 48.9% in fiscal 2020, compared to 49.9% in fiscal 2019. The decrease in gross margin as a percentage of net sales was primarily due to the decline in sales volumes resulting from the economic slowdown caused by the COVID-19 pandemic during second half of the fiscal 2020.</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R&amp;D expenses decreased to $40.7 million in fiscal 2020, compared to $45.2 million in fiscal 2019. The decrease in R&amp;D expense in fiscal 2020 compared to the prior year was primarily due to a reduction in incentive-based compensation, and to a lesser extent a reduction in project spending and headcount. The Company remains committed to investing in new product development to increase sales within our IDS and WPS businesses. Investments in new printers and materials continue to be the primary focus of R&amp;D expenditures, along with investment in products specifically designed for the fight against COVID-19.</w:t>
      </w:r>
    </w:p>
    <w:p>
      <w:pPr>
        <w:spacing w:after="0" w:line="1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SG&amp;A expenses include selling and administrative costs directly attributed to the IDS and WPS segments, as well as certain other corporate administrative expenses including finance, information technology, human resources, and other administrative expenses. SG&amp;A expenses decreased 9.4% to $336.1 million in fiscal 2020 compared to $371.1 million in fiscal 2019. SG&amp;A expense as a percentage of net sales was 31.1% in fiscal 2020 compared to 32.0% in fiscal 2019. The decrease in both SG&amp;A expenses and SG&amp;A expenses as a percentage of net sales from the prior year was due to ongoing efficiency gains and continued efforts to reduce selling, general and administrative costs, reduced incentive-based compensation, and a decline in headcount. Increased cost associated with the COVID-19 pandemic during the second half of the fiscal year, including employee severance and other related costs, were effectively offset by reduced incentive-based compensation.</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Impairment charges of $13,821 were recognized in fiscal 2020 due to a decline in sales in certain businesses primarily in the WPS segment. Refer to Note 3, "Other Intangible and Long-Lived Assets" for further information regarding impairment charges.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 TO NET INCOME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240" w:type="dxa"/>
            <w:vAlign w:val="bottom"/>
          </w:tcPr>
          <w:p>
            <w:pPr>
              <w:spacing w:after="0"/>
              <w:rPr>
                <w:sz w:val="18"/>
                <w:szCs w:val="18"/>
                <w:color w:val="auto"/>
              </w:rPr>
            </w:pPr>
          </w:p>
        </w:tc>
        <w:tc>
          <w:tcPr>
            <w:tcW w:w="86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 Sales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 Sales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 Sales</w:t>
            </w:r>
          </w:p>
        </w:tc>
        <w:tc>
          <w:tcPr>
            <w:tcW w:w="180" w:type="dxa"/>
            <w:vAlign w:val="bottom"/>
          </w:tcPr>
          <w:p>
            <w:pPr>
              <w:spacing w:after="0"/>
              <w:rPr>
                <w:sz w:val="18"/>
                <w:szCs w:val="18"/>
                <w:color w:val="auto"/>
              </w:rPr>
            </w:pPr>
          </w:p>
        </w:tc>
      </w:tr>
      <w:tr>
        <w:trPr>
          <w:trHeight w:val="33"/>
        </w:trPr>
        <w:tc>
          <w:tcPr>
            <w:tcW w:w="4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30"/>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138,023</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162,428</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152,696</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4"/>
        </w:trPr>
        <w:tc>
          <w:tcPr>
            <w:tcW w:w="4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33"/>
        </w:trPr>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6"/>
        </w:trPr>
        <w:tc>
          <w:tcPr>
            <w:tcW w:w="44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Investment and other income</w:t>
            </w: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5,079</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5,046</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2,487</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4"/>
        </w:trPr>
        <w:tc>
          <w:tcPr>
            <w:tcW w:w="44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(2,166)</w:t>
            </w:r>
          </w:p>
        </w:tc>
        <w:tc>
          <w:tcPr>
            <w:tcW w:w="1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(2,830)</w:t>
            </w:r>
          </w:p>
        </w:tc>
        <w:tc>
          <w:tcPr>
            <w:tcW w:w="1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(3,168)</w:t>
            </w:r>
          </w:p>
        </w:tc>
        <w:tc>
          <w:tcPr>
            <w:tcW w:w="1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(0.3) %</w:t>
            </w:r>
          </w:p>
        </w:tc>
      </w:tr>
      <w:tr>
        <w:trPr>
          <w:trHeight w:val="33"/>
        </w:trPr>
        <w:tc>
          <w:tcPr>
            <w:tcW w:w="4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30"/>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 and losses of unconsolidated affiliate</w:t>
            </w: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140,936</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164,644</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152,015</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4"/>
        </w:trPr>
        <w:tc>
          <w:tcPr>
            <w:tcW w:w="4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28,321</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33,386</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60,955</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30"/>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losses of unconsolidated affiliate</w:t>
            </w: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112,615</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131,258</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91,060</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4"/>
        </w:trPr>
        <w:tc>
          <w:tcPr>
            <w:tcW w:w="4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in losses of unconsolidated affiliate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20" w:type="dxa"/>
            <w:vAlign w:val="bottom"/>
          </w:tcPr>
          <w:p>
            <w:pPr>
              <w:spacing w:after="0"/>
              <w:rPr>
                <w:sz w:val="19"/>
                <w:szCs w:val="19"/>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33"/>
        </w:trPr>
        <w:tc>
          <w:tcPr>
            <w:tcW w:w="4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72"/>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112,369</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131,258</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91,060</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and Other Income</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Investment and other income was $5.1 million in fiscal 2020 compared to $5.0 million in fiscal 2019. Reduced interest income in fiscal 2020 was effectively offset by an increase in the market value of securities held in deferred compensation plans compared to fiscal 2019.</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Interest expense decreased to $2.2 million in fiscal 2020 compared to $2.8 million in fiscal 2019. The decrease in interest expense was due to the repayment of the Company's remaining principal balance under its private placement debt agreement during the quarter ended July 31, 2020.</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effective income tax rate was 20.1% in fiscal 2020. The effective income tax rate was below the applicable U.S. statutory tax rate of 21.0% primarily due to the favorable settlement of a domestic income tax audit and tax benefits from stock-based compensation, which were partially offset by an increase in the foreign income tax rate differential.</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effective income tax rate was 20.3% in fiscal 2019. The effective income tax rate was below the applicable U.S. statutory tax rate of 21.0% primarily due to adjustments to the reserve for uncertain tax positions and R&amp;D tax credits, partially offset by non-deductible executive compensation and the tax rate differential on foreign income.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 Losses of Unconsolidated Affiliate</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Equity in losses of unconsolidated affiliate of $0.2 million in fiscal 2020 represented the Company's equity interest in React Mobile, Inc., an employee safety software and hardware company based in the United States.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 Operating Results</w:t>
      </w:r>
    </w:p>
    <w:p>
      <w:pPr>
        <w:spacing w:after="0" w:line="17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 evaluates short-term segment performance based on segment profit and customer sales. Impairment charges, interest expense, investment and other income, income tax expense, equity in losses of unconsolidated affiliate, and certain corporate administrative expenses are excluded when evaluating segment performance.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Following is a summary of segment information for the fiscal years ended July 31:</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760" w:type="dxa"/>
            <w:vAlign w:val="bottom"/>
            <w:gridSpan w:val="2"/>
          </w:tcPr>
          <w:p>
            <w:pPr>
              <w:ind w:left="7420"/>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9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SALES GROWTH INFORMATION</w:t>
            </w:r>
          </w:p>
        </w:tc>
        <w:tc>
          <w:tcPr>
            <w:tcW w:w="8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ID Solutions</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7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Organic</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(8.0) %</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4"/>
        </w:trPr>
        <w:tc>
          <w:tcPr>
            <w:tcW w:w="77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Currency</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(1.1) %</w:t>
            </w:r>
          </w:p>
        </w:tc>
        <w:tc>
          <w:tcPr>
            <w:tcW w:w="12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9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6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8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(9.1) %</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Workplace Safety</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690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7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Organic</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4"/>
        </w:trPr>
        <w:tc>
          <w:tcPr>
            <w:tcW w:w="77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Currency</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(2.6) %</w:t>
            </w:r>
          </w:p>
        </w:tc>
        <w:tc>
          <w:tcPr>
            <w:tcW w:w="12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7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Divestitures</w:t>
            </w: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 %</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0" w:type="dxa"/>
            <w:vAlign w:val="bottom"/>
          </w:tcPr>
          <w:p>
            <w:pPr>
              <w:spacing w:after="0"/>
              <w:rPr>
                <w:sz w:val="1"/>
                <w:szCs w:val="1"/>
                <w:color w:val="auto"/>
              </w:rPr>
            </w:pPr>
          </w:p>
        </w:tc>
      </w:tr>
      <w:tr>
        <w:trPr>
          <w:trHeight w:val="217"/>
        </w:trPr>
        <w:tc>
          <w:tcPr>
            <w:tcW w:w="69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8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(0.3) %</w:t>
            </w:r>
          </w:p>
        </w:tc>
        <w:tc>
          <w:tcPr>
            <w:tcW w:w="120" w:type="dxa"/>
            <w:vAlign w:val="bottom"/>
          </w:tcPr>
          <w:p>
            <w:pPr>
              <w:spacing w:after="0"/>
              <w:rPr>
                <w:sz w:val="18"/>
                <w:szCs w:val="18"/>
                <w:color w:val="auto"/>
              </w:rPr>
            </w:pPr>
          </w:p>
        </w:tc>
        <w:tc>
          <w:tcPr>
            <w:tcW w:w="13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(9.2) %</w:t>
            </w:r>
          </w:p>
        </w:tc>
        <w:tc>
          <w:tcPr>
            <w:tcW w:w="100" w:type="dxa"/>
            <w:vAlign w:val="bottom"/>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9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Total Company</w:t>
            </w:r>
          </w:p>
        </w:tc>
        <w:tc>
          <w:tcPr>
            <w:tcW w:w="8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7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Organic</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(5.4) %</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7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Currency</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(1.4) %</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4"/>
        </w:trPr>
        <w:tc>
          <w:tcPr>
            <w:tcW w:w="77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Divestitures</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0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0" w:type="dxa"/>
            <w:vAlign w:val="bottom"/>
          </w:tcPr>
          <w:p>
            <w:pPr>
              <w:spacing w:after="0"/>
              <w:rPr>
                <w:sz w:val="1"/>
                <w:szCs w:val="1"/>
                <w:color w:val="auto"/>
              </w:rPr>
            </w:pPr>
          </w:p>
        </w:tc>
      </w:tr>
      <w:tr>
        <w:trPr>
          <w:trHeight w:val="33"/>
        </w:trPr>
        <w:tc>
          <w:tcPr>
            <w:tcW w:w="69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6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8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(6.8) %</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SEGMENT PROFIT AS A PERCENT OF NET SALES</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690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7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ID Solutions</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19.2 %</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4"/>
        </w:trPr>
        <w:tc>
          <w:tcPr>
            <w:tcW w:w="77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Workplace Safety</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7.1 %</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9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6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8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15.9 %</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ID Solutions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IDS net sales decreased 9.1% to $784.7 million in fiscal 2020, compared to $863.1 million in fiscal 2019. The net sales decrease consisted of an organic sales decline of 8.0% and a decrease from foreign currency translation of 1.1%. The economic slowdown caused by the COVID-19 pandemic had a significant impact on organic sales trends during the second half of fiscal 2020, in large part due to the varied government responses to the pandemic. Following a 0.7% organic sales decline through the first half of fiscal 2020, organic sales declined in all product lines in the second half of the year resulting in an 8.0% organic sales decline in fiscal 2020.</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Organic sales in the Americas region declined in the high-single digits in fiscal 2020 compared to fiscal 2019. Organic sales declined in all major product lines during the second half of fiscal 2020 due to the economic slowdown caused by the COVID-19 pandemic. Organic sales declined in the high-single digits in the U.S., Canada, and Brazil, and declined in the low-teens in Mexico.</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Organic sales in Europe decreased in the low-teens in fiscal 2020 compared to fiscal 2019. The decline was broad-based throughout Europe due to the economic slowdown caused by the COVID-19 pandemic in the second half of fiscal 2020, except within a group of small businesses based in the Nordic region. Organic sales declined in all major product lines in the second half of 2020 due to the economic slowdown caused by the COVID-19 pandemic.</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Organic sales in Asia decreased in the low-single digits in fiscal 2020 compared to fiscal 2019. The COVID-19 pandemic had a varying impact on our Asian businesses in fiscal 2020 with a mid-single digit decline in China and a mid-teens decline in India, which were partially offset by a mid-single digit growth in Japan and Malaysia. Organic sales declined in the safety and facility identification product line, which was partially offset by growth in the product identification and wire identification product lines which occurred in the first half of fiscal 2020.</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Segment profit decreased to $150.6 million in fiscal 2020 from $165.0 million in fiscal 2019, a decrease of $14.3 million or 8.7%. As a percent of net sales, segment profit increased to 19.2% in fiscal 2020, compared to 19.1% in fiscal 2019. The increase in segment profit as a percentage of sales was due to cost actions taken in response to the decline in revenue from the impact of the COVID-19 pandemic, reduced incentive-based compensation, and efficiency gains throughout SG&amp;A during fiscal 2020.</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Workplace Safety</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WPS sales decreased 0.3% to $296.6 million in fiscal 2020, compared to $297.5 million in fiscal 2019. The change in net sales consisted of organic sales growth of 2.3% and a decrease from foreign currency translation of 2.6%. The economic effect of the COVID-19 pandemic had a significant impact on organic sales trends during the second half of fiscal 2020. Organic sales decreased by 0.9% through the first half of fiscal 2020 and organic sales increased during the second half of the year, resulting in organic sales growth of 2.3% in fiscal 2020. Digital marketing was the driver of sales growth during the COVID-19 pandemic. Organic sales through the digital channel increased in the mid-teens in fiscal 2020, with the majority of this generated by 45% digital sales growth in the fourth quarter compared to the fourth quarter of fiscal 2019. The WPS business realized increased demand globally for personal protective equipment and other social distancing signage and floor markings resulting from the COVID-19 pandemic. Organic sales growth was generated entirely through the digital channel while sales through the traditional catalog channel decreased in the low-single digits in fiscal 2020 compared to fiscal 2019.</w:t>
      </w:r>
    </w:p>
    <w:p>
      <w:pPr>
        <w:spacing w:after="0" w:line="13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Organic sales in Europe increased in the mid-single digits in fiscal 2020 compared to fiscal 2019. Sales growth was driven by digital marketing campaigns emphasizing personal protective equipment and other pandemic-related products, which resulted in sales growth in the mid-teens. The U.K. and France led sales growth in the region, with both businesses growing organically in the mid-teens in fiscal 2020. This sales growth was partially offset by a mid-single digit decline in Germany.</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Organic sales in North America decreased in the mid-single digits in fiscal 2020 compared to fiscal 2019. Digital channel sales were effectively flat and sales through the traditional catalog channel decreased in the high-single digits. The target customer demographic of one particular business in WPS North America consists primarily of small companies, of which many were subject to government-ordered shutdowns during the second half of fiscal 2020. This resulted in a significant decline in sales orders during the shutdowns which caused the majority of the decline in sales in fiscal 2020.</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Organic sales in Australia increased in the low-teens in fiscal 2020 compared to fiscal 2019. Digital channel sales grew nearly 45%, which was driven by digital marketing campaigns emphasizing personal protective equipment and other pandemic-related products. Sales through the traditional catalog channel increased in the high-single digits. Australia was not impacted as severely by the COVID-19 pandemic as other countries in which we operate, and our Australian business generated increased sales in a variety of product categories related to mitigating the COVID-19 pandemic, including various types of personal protective equipment and other healthcare supplies.</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Segment profit decreased to $21.0 million in fiscal 2020 compared to $23.0 million in fiscal 2019, a decrease of $2.0 million, or 8.7%. As a percentage of net sales, segment profit decreased to 7.1% in fiscal 2020 compared to 7.7% in fiscal 2019. The decrease in segment profit was due to increased reserves for inventory and the accelerated expense of previously capitalized catalog costs, as well as other costs incurred as a result of the COVID-19 pandemic, such as severance. These expenses were approximately $4.0 million, which were included in segment profit in 2020.</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&amp; Capital Resources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cash balances are generated and held in numerous locations throughout the world. At July 31, 2020, approximately 68% of the Company's cash and cash equivalents were held outside the United States. The Company's growth has historically been funded by a combination of cash provided by operating activities and debt financing. The Company believes that its cash flow from operating activities and its borrowing capacity are sufficient to fund its anticipated requirements for working capital, capital expenditures, research and development, common stock repurchases, and dividend payments for the next 12 months. Although the Company believes these sources of cash are currently sufficient to fund domestic operations, annual cash needs could require repatriation of cash to the U.S. from foreign jurisdictions, which may result in additional tax payments.</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Refer to Item 8, Note 6, "Debt" for information regarding the Company's credit facility.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7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Cash and cash equivalents were $217.6 million at July 31, 2020, a decrease of $61.4 million from July 31, 2019. The following summarizes the cash flow statement for the fiscal years ended July 31:</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24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76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flow provided by (used in):</w:t>
            </w: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r>
      <w:tr>
        <w:trPr>
          <w:trHeight w:val="223"/>
        </w:trPr>
        <w:tc>
          <w:tcPr>
            <w:tcW w:w="76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Operating activities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140,977</w:t>
            </w:r>
          </w:p>
        </w:tc>
        <w:tc>
          <w:tcPr>
            <w:tcW w:w="12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162,211</w:t>
            </w:r>
          </w:p>
        </w:tc>
        <w:tc>
          <w:tcPr>
            <w:tcW w:w="10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143,042</w:t>
            </w:r>
          </w:p>
        </w:tc>
      </w:tr>
      <w:tr>
        <w:trPr>
          <w:trHeight w:val="33"/>
        </w:trPr>
        <w:tc>
          <w:tcPr>
            <w:tcW w:w="7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7"/>
        </w:trPr>
        <w:tc>
          <w:tcPr>
            <w:tcW w:w="76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Investing activities</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(36,119)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(34,463)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(2,905)</w:t>
            </w:r>
          </w:p>
        </w:tc>
      </w:tr>
      <w:tr>
        <w:trPr>
          <w:trHeight w:val="224"/>
        </w:trPr>
        <w:tc>
          <w:tcPr>
            <w:tcW w:w="76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Financing activities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(163,520)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(90,680)</w:t>
            </w:r>
          </w:p>
        </w:tc>
      </w:tr>
      <w:tr>
        <w:trPr>
          <w:trHeight w:val="33"/>
        </w:trPr>
        <w:tc>
          <w:tcPr>
            <w:tcW w:w="7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7"/>
        </w:trPr>
        <w:tc>
          <w:tcPr>
            <w:tcW w:w="76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(1,974)</w:t>
            </w:r>
          </w:p>
        </w:tc>
      </w:tr>
      <w:tr>
        <w:trPr>
          <w:trHeight w:val="247"/>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 and cash equivalents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(61,429)</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97,645</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47,483</w:t>
            </w:r>
          </w:p>
        </w:tc>
      </w:tr>
      <w:tr>
        <w:trPr>
          <w:trHeight w:val="23"/>
        </w:trPr>
        <w:tc>
          <w:tcPr>
            <w:tcW w:w="76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3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was $141.0 million during fiscal 2020, compared to $162.2 million in fiscal 2019. The decrease was due to a decrease in net income adjusted for non-cash items and an increase in cash used for inventories in selected geographies to ensure adequate inventory to meet customer demand, which was partially offset by an increase in cash provided by accounts receivable.</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$36.1 million during fiscal 2020, compared to $34.5 million in the prior year. The increase in cash used in investing activities was primarily driven by the $6.0 million equity investment in React Mobile, Inc. and to a lesser extent by investment purchases to fund deferred compensation plans. These increases were partially offset by a decrease in capital expenditures during fiscal 2020 compared to fiscal 2019.</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$163.5 million during fiscal 2020, compared to $27.6 million during the prior year. The change was primarily driven by an increase of $61.3 million in share repurchases, $48.7 million in debt repayments, and a decrease of $20.1 million in cash proceeds from stock option exercises in fiscal 2020 when compared to the fiscal 2019.</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Subsequent Events Affecting Financial Condition</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Refer to Item 8, Note 17, "Subsequent Events" for information regarding the Company's subsequent events affecting financial condition.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Off-Balance Sheet Arrangements</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does not have material off-balance sheet arrangements. The Company is not aware of factors that are reasonably likely to adversely affect liquidity trends, other than the risk factors described in this and other Company filings. However, the following additional information is provided to assist those reviewing the Company’s financial statements.</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Purchase Commitments — The Company has purchase commitments for materials, supplies, services, and property, plant and equipment as part of the ordinary conduct of its business. In the aggregate, such commitments are not in excess of current market prices and are not material to the financial position of the Company. Due to the proprietary nature of many of the Company’s materials and processes, certain supply contracts contain penalty provisions for early termination. The Company does not believe a material amount of penalties will be incurred under these contracts based upon historical experience and current expectations.</w:t>
      </w:r>
    </w:p>
    <w:p>
      <w:pPr>
        <w:spacing w:after="0" w:line="1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Contractual Obligations — The Company does not have material financial guarantees or other contractual commitments that are reasonably likely to adversely affect liquidity.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Payments Due Under Contractual Obligations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future commitments at July 31, 2020, for operating lease obligations, purchase obligations, and tax obligations are as follows (dollars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Payments Due by Period</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3"/>
        </w:trPr>
        <w:tc>
          <w:tcPr>
            <w:tcW w:w="3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7"/>
        </w:trPr>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More</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03"/>
        </w:trPr>
        <w:tc>
          <w:tcPr>
            <w:tcW w:w="3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Less than</w:t>
            </w:r>
          </w:p>
        </w:tc>
        <w:tc>
          <w:tcPr>
            <w:tcW w:w="260" w:type="dxa"/>
            <w:vAlign w:val="bottom"/>
          </w:tcPr>
          <w:p>
            <w:pPr>
              <w:spacing w:after="0"/>
              <w:rPr>
                <w:sz w:val="17"/>
                <w:szCs w:val="17"/>
                <w:color w:val="auto"/>
              </w:rPr>
            </w:pPr>
          </w:p>
        </w:tc>
        <w:tc>
          <w:tcPr>
            <w:tcW w:w="94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1-3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3-5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than</w:t>
            </w:r>
          </w:p>
        </w:tc>
        <w:tc>
          <w:tcPr>
            <w:tcW w:w="160" w:type="dxa"/>
            <w:vAlign w:val="bottom"/>
          </w:tcPr>
          <w:p>
            <w:pPr>
              <w:spacing w:after="0"/>
              <w:rPr>
                <w:sz w:val="17"/>
                <w:szCs w:val="17"/>
                <w:color w:val="auto"/>
              </w:rPr>
            </w:pPr>
          </w:p>
        </w:tc>
        <w:tc>
          <w:tcPr>
            <w:tcW w:w="10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Uncertain</w:t>
            </w:r>
          </w:p>
        </w:tc>
      </w:tr>
      <w:tr>
        <w:trPr>
          <w:trHeight w:val="212"/>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Contractual Obligations</w:t>
            </w:r>
          </w:p>
        </w:tc>
        <w:tc>
          <w:tcPr>
            <w:tcW w:w="260" w:type="dxa"/>
            <w:vAlign w:val="bottom"/>
          </w:tcPr>
          <w:p>
            <w:pPr>
              <w:spacing w:after="0"/>
              <w:rPr>
                <w:sz w:val="18"/>
                <w:szCs w:val="18"/>
                <w:color w:val="auto"/>
              </w:rPr>
            </w:pP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8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6"/>
              </w:rPr>
              <w:t>1 Year</w:t>
            </w:r>
          </w:p>
        </w:tc>
        <w:tc>
          <w:tcPr>
            <w:tcW w:w="260" w:type="dxa"/>
            <w:vAlign w:val="bottom"/>
          </w:tcPr>
          <w:p>
            <w:pPr>
              <w:spacing w:after="0"/>
              <w:rPr>
                <w:sz w:val="18"/>
                <w:szCs w:val="18"/>
                <w:color w:val="auto"/>
              </w:rPr>
            </w:pP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240" w:type="dxa"/>
            <w:vAlign w:val="bottom"/>
          </w:tcPr>
          <w:p>
            <w:pPr>
              <w:spacing w:after="0"/>
              <w:rPr>
                <w:sz w:val="18"/>
                <w:szCs w:val="18"/>
                <w:color w:val="auto"/>
              </w:rPr>
            </w:pP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22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5 Years</w:t>
            </w:r>
          </w:p>
        </w:tc>
        <w:tc>
          <w:tcPr>
            <w:tcW w:w="160" w:type="dxa"/>
            <w:vAlign w:val="bottom"/>
          </w:tcPr>
          <w:p>
            <w:pPr>
              <w:spacing w:after="0"/>
              <w:rPr>
                <w:sz w:val="18"/>
                <w:szCs w:val="18"/>
                <w:color w:val="auto"/>
              </w:rPr>
            </w:pPr>
          </w:p>
        </w:tc>
        <w:tc>
          <w:tcPr>
            <w:tcW w:w="10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Timeframe</w:t>
            </w:r>
          </w:p>
        </w:tc>
      </w:tr>
      <w:tr>
        <w:trPr>
          <w:trHeight w:val="33"/>
        </w:trPr>
        <w:tc>
          <w:tcPr>
            <w:tcW w:w="3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3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Obligations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50,251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16,684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24,522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7"/>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Purchase Obligations</w:t>
            </w:r>
            <w:r>
              <w:rPr>
                <w:rFonts w:ascii="Times New Roman" w:cs="Times New Roman" w:eastAsia="Times New Roman" w:hAnsi="Times New Roman"/>
                <w:sz w:val="21"/>
                <w:szCs w:val="21"/>
                <w:color w:val="auto"/>
                <w:vertAlign w:val="superscript"/>
              </w:rPr>
              <w:t>(1)</w:t>
            </w: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53,293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52,423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6"/>
        </w:trPr>
        <w:tc>
          <w:tcPr>
            <w:tcW w:w="3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Obligations</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13,622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13,622</w:t>
            </w:r>
          </w:p>
        </w:tc>
      </w:tr>
      <w:tr>
        <w:trPr>
          <w:trHeight w:val="217"/>
        </w:trPr>
        <w:tc>
          <w:tcPr>
            <w:tcW w:w="34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117,166</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69,107</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25,384</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8,091</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962</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13,622</w:t>
            </w:r>
          </w:p>
        </w:tc>
      </w:tr>
      <w:tr>
        <w:trPr>
          <w:trHeight w:val="33"/>
        </w:trPr>
        <w:tc>
          <w:tcPr>
            <w:tcW w:w="3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
        </w:trPr>
        <w:tc>
          <w:tcPr>
            <w:tcW w:w="3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Purchase obligations include all open purchase orders as of July 31, 2020.</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and Changing Prices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Essentially all of the Company’s revenue is derived from the sale of its products and services in competitive markets. Because prices are influenced by market conditions, it is not always possible to fully recover cost increases through pricing. Changes in product mix from year to year, timing differences in instituting price changes, and the large amount of part numbers make it impracticable to accurately define the impact of inflation on profit margins.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Management’s discussion and analysis of the Company’s financial condition and results of operations are based upon the Company’s Consolidated Financial Statements, which have been prepared in accordance with accounting principles generally accepted in the United States. The preparation of these financial statements requires management to make estimates and judgments that affect the reported amounts of assets, liabilities, revenues and expenses, and related disclosure of contingent assets and liabilities. The Company bases these estimates and judgments on historical experience and on various other assumptions that are believed to be reasonable under the circumstances. Actual results may differ from these estimates and judgments.</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believes the following accounting estimates are most critical to an understanding of its financial statements. Estimates are considered to be critical if they meet both of the following criteria: (1) the estimate requires assumptions about material matters that are uncertain at the time the accounting estimates are made, and (2) material changes in the estimates are reasonably likely from period to period. For a detailed discussion on the application of these and other accounting estimates, refer to Note 1 to the Company’s Consolidated Financial Statements.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operates in numerous taxing jurisdictions and is subject to regular examinations by U.S. federal, state and non-U.S. taxing authorities. Its income tax positions are based on research and interpretations of the income tax laws and rulings in each of the jurisdictions in which the Company does business. Due to the ambiguity of laws and rulings in each jurisdiction, the differences and interplay in tax laws between those jurisdictions, the uncertainty of how underlying facts may be construed and the inherent uncertainty in estimating the final resolution of complex tax audit matters, the Company's estimates of income tax liabilities may differ from actual payments or assessments.</w:t>
      </w:r>
    </w:p>
    <w:p>
      <w:pPr>
        <w:spacing w:after="0" w:line="12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While the Company has support for the positions it takes on tax returns, taxing authorities may assert different interpretations of laws and facts and may challenge cross-jurisdictional transactions. The Company generally re-evaluates the technical merits of its tax positions and recognizes an uncertain tax benefit when (i) there is completion of a tax audit; (ii) there is a change in applicable tax laws including a tax case ruling or legislative guidance; or</w:t>
      </w:r>
    </w:p>
    <w:p>
      <w:pPr>
        <w:spacing w:after="0" w:line="1" w:lineRule="exact"/>
        <w:rPr>
          <w:sz w:val="20"/>
          <w:szCs w:val="20"/>
          <w:color w:val="auto"/>
        </w:rPr>
      </w:pPr>
    </w:p>
    <w:p>
      <w:pPr>
        <w:jc w:val="both"/>
        <w:ind w:firstLine="8"/>
        <w:spacing w:after="0" w:line="251" w:lineRule="auto"/>
        <w:tabs>
          <w:tab w:leader="none" w:pos="32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an expiration of the statute of limitations. The liability for unrecognized tax benefits, excluding interest and penalties, was $13.6 million and $14.8 million as of July 31, 2020 and 2019, respectively. If recognized, $10.6 million and $12.0 million of unrecognized tax benefits as of July 31, 2020 and 2019, respectively, would reduce the Company's income tax rate. Accrued interest and penalties related to unrecognized tax benefits were $2.0 million and $2.4 million as of July 31, 2020 and 2019, respectively. The Company recognizes interest and penalties related to unrecognized tax benefits in income tax expense on the Consolidated Statements of Income. The Company believes it is reasonably possible that the amount of gross unrecognized tax benefits could be reduced by up to $1.4 million in the next 12 months as a result of the resolution of worldwide tax matters, tax audit settlements, amended tax filings, and/or statute expirations, which would be the maximum amount that would be recognized as an income tax benefit in the Consolidated Statements of Income.</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recognizes deferred tax assets and liabilities for differences between the financial statement and tax basis of assets and liabilities that will result in taxable or deductible amounts in the future, based on enacted tax laws and rates applicable to the periods in which the differences are expected to affect taxable income. The Company establishes valuation allowances for its deferred tax assets if it is more likely than not that some or all of the deferred tax asset will not be realized. This requires management to make judgments regarding: (i) the timing and amount of the reversal of taxable temporary differences, (ii) expected future taxable income or loss, and (iii) the impact of tax planning strategies. The Company recognized valuation allowances for its deferred tax assets of $58.8 million and $60.1 million as of July 31, 2020 and 2019, respectively, which were primarily related to foreign tax credit carryforwards and net operating loss carryforwards in its various tax jurisdictions.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Goodwill and Other Indefinite-lived Intangible Assets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allocation of purchase price for business combinations requires management estimates and judgment as to expectations for future cash flows of the acquired business and the allocation of those cash flows to identifiable intangible assets in determining the estimated fair value for purchase price allocation purposes. If the actual results differ from the estimates and judgments used in these estimates, the amounts recorded in the financial statements could result in a possible impairment of the intangible assets and goodwill or require acceleration of the amortization expense of finite-lived intangible assets. In addition, accounting guidance requires that goodwill and other indefinite-lived intangible assets be tested at least annually for impairment. If circumstances or events prior to the date of the required annual assessment indicate that, in management's judgment, it is more likely than not that there has been a reduction of fair value of a reporting unit below its carrying value, the Company performs an impairment analysis at the time of such circumstance or event. Changes in management's estimates or judgments could result in an impairment charge, and such a charge could have an adverse effect on the Company's financial condition and results of operations.</w:t>
      </w:r>
    </w:p>
    <w:p>
      <w:pPr>
        <w:spacing w:after="0" w:line="13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 has identified six reporting units within its two reportable segments, IDS and WPS, with the following goodwill balances as of July 31, 2020: IDS Americas &amp; Europe, $289.1 million; PDC, $93.3 million; and WPS Europe, $33.6 million. The IDS APAC, WPS Americas, and WPS APAC reporting units each have a goodwill balance of zero. The Company believes that the discounted cash flow model and the market approach provide a reasonable and meaningful fair value estimate based upon the reporting units' projections of future operating results and cash flows and replicates how market participants would value the Company's reporting units. The projections of future operating results, which are based on both past performance and the projections and assumptions used in the Company's current and long-range operating plans, are subject to change as a result of changing economic and competitive conditions. Significant estimates used by management in the discounted cash flows methodology include estimates of future cash flows based on expected growth rates, price increases, fluctuations in gross profit margins and SG&amp;A expense as a percentage of sales, capital expenditures, working capital levels, income tax rates, and a weighted-average cost of capital reflecting the specific risk profile of the reporting unit being tested. Significant negative industry or economic trends, disruptions to the Company's business, loss of significant customers, inability to effectively integrate acquired businesses, unexpected significant changes or planned changes in use of the assets or in entity structure, and divestitures may adversely impact the assumptions used in the valuations.</w:t>
      </w:r>
    </w:p>
    <w:p>
      <w:pPr>
        <w:spacing w:after="0" w:line="13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 completes its annual goodwill impairment analysis on May 1 of each fiscal year and evaluates its reporting units for potential triggering events on a quarterly basis in accordance with ASC 350, "Intangibles - Goodwill and Other." In addition to the metrics listed above, the Company considers multiple internal and external factors when evaluating its reporting units for potential impairment, including (i) U.S. GDP growth, (ii) industry and market factors such as competition and changes in the market for the reporting unit's products, (iii) new product development, (iv) hospital admission rates, (v) competing technologies, (vi) overall financial performance such as cash flows, actual and planned revenue and profitability, and (vii) changes in the strategy of the reporting unit. In the event the fair value of a reporting unit is less than the carrying value, including goodwill, the Company would then perform an additional assessment that would compare the implied fair value of goodwill with the carrying amount of goodwill. The determination of the implied fair value of goodwill would require management to compare the fair value of the reporting unit to the estimated fair value of the assets and liabilities of the reporting unit. If necessary, the Company may consult valuation specialists to assist with the assessment of the estimated fair value of assets and liabilities for the reporting unit. If the implied fair value of the goodwill is less than the carrying value, an impairment charge would be recognized.</w:t>
      </w:r>
    </w:p>
    <w:p>
      <w:pPr>
        <w:spacing w:after="0" w:line="1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considers a reporting unit’s fair value to be substantially in excess of its carrying value at 20% or greater. The annual impairment testing performed on May 1, 2020, in accordance with ASC 350, “Intangibles - Goodwill and Other” (“Step One”) indicated that all of the reporting units passed Step One of the goodwill impairment test, and each had a fair value substantially in excess of its carrying value.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Indefinite-Lived Intangible Assets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Other indefinite-lived intangible assets in accordance with the Company's policy outlined above using the income approach. Fair value is estimated using the income approach based upon current sales projections applying the relief from royalty method. If the carrying value of the indefinite-lived intangible asset exceeds its fair value, an impairment loss is recognized in an amount equal to that excess. Indicators of impairment primarily in the WPS segment consisted of a decline in sales in certain of its businesses resulting from the economic challenges presented by the COVID-19 pandemic. As a result of the impairment analyses performed during the fiscal year ended July 31, 2020, indefinite-lived tradenames with a carrying amount of $9.3 million were written down to their estimated fair value of $0.6 million. Refer to Note 3, "Other Intangible and Long-Lived Assets" for further information regarding impairment charges during fiscal 2020.</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Standards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provided in Note 1 of the Notes to Consolidated Financial Statements contained in Item 8 — Financial Statements and Supplementary Data.</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business operations give rise to market risk exposure due to changes in foreign exchange rates. To manage that risk effectively, the Company enters into hedging transactions according to established guidelines and policies that enable it to mitigate the adverse effects of this financial market risk.</w:t>
      </w:r>
    </w:p>
    <w:p>
      <w:pPr>
        <w:spacing w:after="0" w:line="12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global nature of the Company’s business requires active participation in the foreign exchange markets. The Company has manufacturing facilities and sells and distributes its products throughout the world and therefore has assets, liabilities and cash flows in currencies other than the U.S. dollar. As a result, the Company’s financial results could be significantly affected by factors such as changes in foreign currency exchange rates or weak economic conditions in the foreign markets in which the Company manufactures, distributes and sells its products. The Company’s operating results are principally exposed to changes in exchange rates between the U.S. dollar and the Euro, the British Pound, the Mexican Peso, the Canadian dollar, the Australian dollar, the Singapore dollar, the Malaysian Ringgit, and the Chinese Yuan.</w:t>
      </w:r>
    </w:p>
    <w:p>
      <w:pPr>
        <w:spacing w:after="0" w:line="13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objective of the Company’s foreign currency exchange risk management is to minimize the impact of currency movements on non-functional currency transactions. To achieve this objective, the Company hedges a portion of known exposures using forward contracts. As of July 31, 2020, the notional amount of outstanding forward foreign exchange contracts designated as cash flow hedges was $24.6 million. The Company's multi-currency revolving credit facility allows it to borrow up to $200.0 million in currencies other than U.S. dollars. The Company has periodically borrowed funds in Euros and British Pounds under its revolving credit facility. Debt issued in currencies other than U.S. dollars acts as a natural hedge to the Company's exposure to the associated currency.</w:t>
      </w:r>
    </w:p>
    <w:p>
      <w:pPr>
        <w:spacing w:after="0" w:line="13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also faces exchange rate risk from transactions with customers in countries outside the United States and from intercompany transactions between affiliates. Although the Company has a U.S. dollar functional currency for reporting purposes, it has manufacturing sites throughout the world and a significant portion of its sales are generated in foreign currencies. Costs incurred and sales recorded by subsidiaries operating outside of the United States are translated into U.S. dollars using exchange rates in effect during the respective period. As a result, the Company is exposed to movements in the exchange rates of various currencies against the U.S. dollar. In particular, the Company has more sales in European currencies than it has expenses in those currencies. Therefore, when European currencies strengthen or weaken against the U.S. dollar, operating profits are increased or decreased, respectively. Currency exchange rates decreased fiscal 2020 net sales by 1.4% compared to fiscal 2019 as the U.S. dollar appreciated, on average, against other major currencies throughout the year.</w:t>
      </w:r>
    </w:p>
    <w:p>
      <w:pPr>
        <w:spacing w:after="0" w:line="13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Changes in foreign currency exchange rates for the Company’s foreign subsidiaries reporting in local currencies are generally reported as a component of stockholders’ equity. The Company’s currency translation adjustments recorded in the fiscal years ended July 31, 2020, 2019, and 2018, as a separate component of stockholders’ equity, was favorable by $6.6 million, unfavorable by $13.2 million, and unfavorable by $13.7 million, respectively. As of July 31, 2020 and 2019, the Company’s foreign subsidiaries had net current assets (defined as current assets less current liabilities) subject to foreign currency translation risk of $210.6 million and $192.9 million, respectively. The potential decrease in net current assets as of July 31, 2020, from a hypothetical 10 percent adverse change in quoted foreign currency exchange rates would be approximately $21.1 million. This sensitivity analysis assumes a parallel shift in all major foreign currency exchange rates versus the U.S. dollar. Exchange rates rarely move in the same direction relative to the U.S. dollar due to positive and negative correlations of the various global currencies. This assumption may overstate the impact of changing exchange rates on individual assets and liabilities denominated in a foreign currency.</w:t>
      </w:r>
    </w:p>
    <w:p>
      <w:pPr>
        <w:spacing w:after="0" w:line="13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could be exposed to interest rate risk through its corporate borrowing activities. The objective of the Company’s interest rate risk management activities is to manage the levels of the Company’s fixed and floating interest rate exposure to be consistent with the Company’s preferred mix. The interest rate risk management program allows the Company to enter into approved interest rate derivatives if there is a desire to modify the Company’s exposure to interest rates. As of July 31, 2020, the Company had no interest rate derivatives and no variable rate debt outstanding.</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p>
      <w:pPr>
        <w:spacing w:after="0" w:line="17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BRADY CORPORATION &amp; SUBSIDIARIES</w:t>
      </w:r>
    </w:p>
    <w:p>
      <w:pPr>
        <w:spacing w:after="0" w:line="17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00" w:lineRule="exact"/>
        <w:rPr>
          <w:sz w:val="20"/>
          <w:szCs w:val="20"/>
          <w:color w:val="auto"/>
        </w:rPr>
      </w:pP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9320" w:type="dxa"/>
            <w:vAlign w:val="bottom"/>
          </w:tcPr>
          <w:p>
            <w:pPr>
              <w:spacing w:after="0"/>
              <w:rPr>
                <w:sz w:val="16"/>
                <w:szCs w:val="16"/>
                <w:color w:val="auto"/>
              </w:rPr>
            </w:pPr>
          </w:p>
        </w:tc>
        <w:tc>
          <w:tcPr>
            <w:tcW w:w="190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4"/>
        </w:trPr>
        <w:tc>
          <w:tcPr>
            <w:tcW w:w="9320" w:type="dxa"/>
            <w:vAlign w:val="bottom"/>
          </w:tcPr>
          <w:p>
            <w:pPr>
              <w:spacing w:after="0"/>
              <w:rPr>
                <w:rFonts w:ascii="Times New Roman" w:cs="Times New Roman" w:eastAsia="Times New Roman" w:hAnsi="Times New Roman"/>
                <w:sz w:val="18"/>
                <w:szCs w:val="18"/>
                <w:color w:val="0000FF"/>
              </w:rPr>
            </w:pPr>
            <w:hyperlink w:anchor="page26">
              <w:r>
                <w:rPr>
                  <w:rFonts w:ascii="Times New Roman" w:cs="Times New Roman" w:eastAsia="Times New Roman" w:hAnsi="Times New Roman"/>
                  <w:sz w:val="18"/>
                  <w:szCs w:val="18"/>
                  <w:color w:val="0000FF"/>
                </w:rPr>
                <w:t>Report of Independent Registered Public Accounting Firm</w:t>
              </w:r>
            </w:hyperlink>
          </w:p>
        </w:tc>
        <w:tc>
          <w:tcPr>
            <w:tcW w:w="1900" w:type="dxa"/>
            <w:vAlign w:val="bottom"/>
          </w:tcPr>
          <w:p>
            <w:pPr>
              <w:jc w:val="right"/>
              <w:spacing w:after="0"/>
              <w:rPr>
                <w:rFonts w:ascii="Times New Roman" w:cs="Times New Roman" w:eastAsia="Times New Roman" w:hAnsi="Times New Roman"/>
                <w:sz w:val="18"/>
                <w:szCs w:val="18"/>
                <w:color w:val="0000FF"/>
              </w:rPr>
            </w:pPr>
            <w:hyperlink w:anchor="page26">
              <w:r>
                <w:rPr>
                  <w:rFonts w:ascii="Times New Roman" w:cs="Times New Roman" w:eastAsia="Times New Roman" w:hAnsi="Times New Roman"/>
                  <w:sz w:val="18"/>
                  <w:szCs w:val="18"/>
                  <w:color w:val="0000FF"/>
                </w:rPr>
                <w:t>26</w:t>
              </w:r>
            </w:hyperlink>
          </w:p>
        </w:tc>
      </w:tr>
      <w:tr>
        <w:trPr>
          <w:trHeight w:val="238"/>
        </w:trPr>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1900" w:type="dxa"/>
            <w:vAlign w:val="bottom"/>
          </w:tcPr>
          <w:p>
            <w:pPr>
              <w:spacing w:after="0"/>
              <w:rPr>
                <w:sz w:val="20"/>
                <w:szCs w:val="20"/>
                <w:color w:val="auto"/>
              </w:rPr>
            </w:pPr>
          </w:p>
        </w:tc>
      </w:tr>
      <w:tr>
        <w:trPr>
          <w:trHeight w:val="252"/>
        </w:trPr>
        <w:tc>
          <w:tcPr>
            <w:tcW w:w="9320" w:type="dxa"/>
            <w:vAlign w:val="bottom"/>
          </w:tcPr>
          <w:p>
            <w:pPr>
              <w:spacing w:after="0"/>
              <w:rPr>
                <w:rFonts w:ascii="Times New Roman" w:cs="Times New Roman" w:eastAsia="Times New Roman" w:hAnsi="Times New Roman"/>
                <w:sz w:val="18"/>
                <w:szCs w:val="18"/>
                <w:color w:val="0000FF"/>
              </w:rPr>
            </w:pPr>
            <w:hyperlink w:anchor="page27">
              <w:r>
                <w:rPr>
                  <w:rFonts w:ascii="Times New Roman" w:cs="Times New Roman" w:eastAsia="Times New Roman" w:hAnsi="Times New Roman"/>
                  <w:sz w:val="18"/>
                  <w:szCs w:val="18"/>
                  <w:color w:val="0000FF"/>
                </w:rPr>
                <w:t>Consolidated Balance Sheets — July 31, 2020 and 2019</w:t>
              </w:r>
            </w:hyperlink>
          </w:p>
        </w:tc>
        <w:tc>
          <w:tcPr>
            <w:tcW w:w="1900" w:type="dxa"/>
            <w:vAlign w:val="bottom"/>
          </w:tcPr>
          <w:p>
            <w:pPr>
              <w:jc w:val="right"/>
              <w:spacing w:after="0"/>
              <w:rPr>
                <w:rFonts w:ascii="Times New Roman" w:cs="Times New Roman" w:eastAsia="Times New Roman" w:hAnsi="Times New Roman"/>
                <w:sz w:val="18"/>
                <w:szCs w:val="18"/>
                <w:color w:val="0000FF"/>
              </w:rPr>
            </w:pPr>
            <w:hyperlink w:anchor="page27">
              <w:r>
                <w:rPr>
                  <w:rFonts w:ascii="Times New Roman" w:cs="Times New Roman" w:eastAsia="Times New Roman" w:hAnsi="Times New Roman"/>
                  <w:sz w:val="18"/>
                  <w:szCs w:val="18"/>
                  <w:color w:val="0000FF"/>
                </w:rPr>
                <w:t>28</w:t>
              </w:r>
            </w:hyperlink>
          </w:p>
        </w:tc>
      </w:tr>
      <w:tr>
        <w:trPr>
          <w:trHeight w:val="230"/>
        </w:trPr>
        <w:tc>
          <w:tcPr>
            <w:tcW w:w="9320" w:type="dxa"/>
            <w:vAlign w:val="bottom"/>
          </w:tcPr>
          <w:p>
            <w:pPr>
              <w:spacing w:after="0"/>
              <w:rPr>
                <w:rFonts w:ascii="Times New Roman" w:cs="Times New Roman" w:eastAsia="Times New Roman" w:hAnsi="Times New Roman"/>
                <w:sz w:val="18"/>
                <w:szCs w:val="18"/>
                <w:color w:val="0000FF"/>
              </w:rPr>
            </w:pPr>
            <w:hyperlink w:anchor="page28">
              <w:r>
                <w:rPr>
                  <w:rFonts w:ascii="Times New Roman" w:cs="Times New Roman" w:eastAsia="Times New Roman" w:hAnsi="Times New Roman"/>
                  <w:sz w:val="18"/>
                  <w:szCs w:val="18"/>
                  <w:color w:val="0000FF"/>
                </w:rPr>
                <w:t>Consolidated Statements of Income — Years Ended July 31, 2020, 2019, and 2018</w:t>
              </w:r>
            </w:hyperlink>
          </w:p>
        </w:tc>
        <w:tc>
          <w:tcPr>
            <w:tcW w:w="1900" w:type="dxa"/>
            <w:vAlign w:val="bottom"/>
          </w:tcPr>
          <w:p>
            <w:pPr>
              <w:jc w:val="right"/>
              <w:spacing w:after="0"/>
              <w:rPr>
                <w:rFonts w:ascii="Times New Roman" w:cs="Times New Roman" w:eastAsia="Times New Roman" w:hAnsi="Times New Roman"/>
                <w:sz w:val="18"/>
                <w:szCs w:val="18"/>
                <w:color w:val="0000FF"/>
              </w:rPr>
            </w:pPr>
            <w:hyperlink w:anchor="page28">
              <w:r>
                <w:rPr>
                  <w:rFonts w:ascii="Times New Roman" w:cs="Times New Roman" w:eastAsia="Times New Roman" w:hAnsi="Times New Roman"/>
                  <w:sz w:val="18"/>
                  <w:szCs w:val="18"/>
                  <w:color w:val="0000FF"/>
                </w:rPr>
                <w:t>29</w:t>
              </w:r>
            </w:hyperlink>
          </w:p>
        </w:tc>
      </w:tr>
      <w:tr>
        <w:trPr>
          <w:trHeight w:val="229"/>
        </w:trPr>
        <w:tc>
          <w:tcPr>
            <w:tcW w:w="9320" w:type="dxa"/>
            <w:vAlign w:val="bottom"/>
          </w:tcPr>
          <w:p>
            <w:pPr>
              <w:spacing w:after="0"/>
              <w:rPr>
                <w:rFonts w:ascii="Times New Roman" w:cs="Times New Roman" w:eastAsia="Times New Roman" w:hAnsi="Times New Roman"/>
                <w:sz w:val="18"/>
                <w:szCs w:val="18"/>
                <w:color w:val="0000FF"/>
              </w:rPr>
            </w:pPr>
            <w:hyperlink w:anchor="page29">
              <w:r>
                <w:rPr>
                  <w:rFonts w:ascii="Times New Roman" w:cs="Times New Roman" w:eastAsia="Times New Roman" w:hAnsi="Times New Roman"/>
                  <w:sz w:val="18"/>
                  <w:szCs w:val="18"/>
                  <w:color w:val="0000FF"/>
                </w:rPr>
                <w:t>Consolidated Statements of Comprehensive Income — Years Ended July 31, 2020, 2019, and 2018</w:t>
              </w:r>
            </w:hyperlink>
          </w:p>
        </w:tc>
        <w:tc>
          <w:tcPr>
            <w:tcW w:w="1900" w:type="dxa"/>
            <w:vAlign w:val="bottom"/>
          </w:tcPr>
          <w:p>
            <w:pPr>
              <w:jc w:val="right"/>
              <w:spacing w:after="0"/>
              <w:rPr>
                <w:rFonts w:ascii="Times New Roman" w:cs="Times New Roman" w:eastAsia="Times New Roman" w:hAnsi="Times New Roman"/>
                <w:sz w:val="18"/>
                <w:szCs w:val="18"/>
                <w:color w:val="0000FF"/>
              </w:rPr>
            </w:pPr>
            <w:hyperlink w:anchor="page29">
              <w:r>
                <w:rPr>
                  <w:rFonts w:ascii="Times New Roman" w:cs="Times New Roman" w:eastAsia="Times New Roman" w:hAnsi="Times New Roman"/>
                  <w:sz w:val="18"/>
                  <w:szCs w:val="18"/>
                  <w:color w:val="0000FF"/>
                </w:rPr>
                <w:t>30</w:t>
              </w:r>
            </w:hyperlink>
          </w:p>
        </w:tc>
      </w:tr>
      <w:tr>
        <w:trPr>
          <w:trHeight w:val="229"/>
        </w:trPr>
        <w:tc>
          <w:tcPr>
            <w:tcW w:w="9320" w:type="dxa"/>
            <w:vAlign w:val="bottom"/>
          </w:tcPr>
          <w:p>
            <w:pPr>
              <w:spacing w:after="0"/>
              <w:rPr>
                <w:rFonts w:ascii="Times New Roman" w:cs="Times New Roman" w:eastAsia="Times New Roman" w:hAnsi="Times New Roman"/>
                <w:sz w:val="18"/>
                <w:szCs w:val="18"/>
                <w:color w:val="0000FF"/>
              </w:rPr>
            </w:pPr>
            <w:hyperlink w:anchor="page30">
              <w:r>
                <w:rPr>
                  <w:rFonts w:ascii="Times New Roman" w:cs="Times New Roman" w:eastAsia="Times New Roman" w:hAnsi="Times New Roman"/>
                  <w:sz w:val="18"/>
                  <w:szCs w:val="18"/>
                  <w:color w:val="0000FF"/>
                </w:rPr>
                <w:t>Consolidated Statements of Stockholders’ Equity — Years Ended July 31, 2020, 2019, and 2018</w:t>
              </w:r>
            </w:hyperlink>
          </w:p>
        </w:tc>
        <w:tc>
          <w:tcPr>
            <w:tcW w:w="1900" w:type="dxa"/>
            <w:vAlign w:val="bottom"/>
          </w:tcPr>
          <w:p>
            <w:pPr>
              <w:jc w:val="right"/>
              <w:spacing w:after="0"/>
              <w:rPr>
                <w:rFonts w:ascii="Times New Roman" w:cs="Times New Roman" w:eastAsia="Times New Roman" w:hAnsi="Times New Roman"/>
                <w:sz w:val="18"/>
                <w:szCs w:val="18"/>
                <w:color w:val="0000FF"/>
              </w:rPr>
            </w:pPr>
            <w:hyperlink w:anchor="page30">
              <w:r>
                <w:rPr>
                  <w:rFonts w:ascii="Times New Roman" w:cs="Times New Roman" w:eastAsia="Times New Roman" w:hAnsi="Times New Roman"/>
                  <w:sz w:val="18"/>
                  <w:szCs w:val="18"/>
                  <w:color w:val="0000FF"/>
                </w:rPr>
                <w:t>31</w:t>
              </w:r>
            </w:hyperlink>
          </w:p>
        </w:tc>
      </w:tr>
      <w:tr>
        <w:trPr>
          <w:trHeight w:val="230"/>
        </w:trPr>
        <w:tc>
          <w:tcPr>
            <w:tcW w:w="9320" w:type="dxa"/>
            <w:vAlign w:val="bottom"/>
          </w:tcPr>
          <w:p>
            <w:pPr>
              <w:spacing w:after="0"/>
              <w:rPr>
                <w:rFonts w:ascii="Times New Roman" w:cs="Times New Roman" w:eastAsia="Times New Roman" w:hAnsi="Times New Roman"/>
                <w:sz w:val="18"/>
                <w:szCs w:val="18"/>
                <w:color w:val="0000FF"/>
              </w:rPr>
            </w:pPr>
            <w:hyperlink w:anchor="page31">
              <w:r>
                <w:rPr>
                  <w:rFonts w:ascii="Times New Roman" w:cs="Times New Roman" w:eastAsia="Times New Roman" w:hAnsi="Times New Roman"/>
                  <w:sz w:val="18"/>
                  <w:szCs w:val="18"/>
                  <w:color w:val="0000FF"/>
                </w:rPr>
                <w:t>Consolidated Statements of Cash Flows — Years Ended July 31, 2020, 2019, and 2018</w:t>
              </w:r>
            </w:hyperlink>
          </w:p>
        </w:tc>
        <w:tc>
          <w:tcPr>
            <w:tcW w:w="1900" w:type="dxa"/>
            <w:vAlign w:val="bottom"/>
          </w:tcPr>
          <w:p>
            <w:pPr>
              <w:jc w:val="right"/>
              <w:spacing w:after="0"/>
              <w:rPr>
                <w:rFonts w:ascii="Times New Roman" w:cs="Times New Roman" w:eastAsia="Times New Roman" w:hAnsi="Times New Roman"/>
                <w:sz w:val="18"/>
                <w:szCs w:val="18"/>
                <w:color w:val="0000FF"/>
              </w:rPr>
            </w:pPr>
            <w:hyperlink w:anchor="page31">
              <w:r>
                <w:rPr>
                  <w:rFonts w:ascii="Times New Roman" w:cs="Times New Roman" w:eastAsia="Times New Roman" w:hAnsi="Times New Roman"/>
                  <w:sz w:val="18"/>
                  <w:szCs w:val="18"/>
                  <w:color w:val="0000FF"/>
                </w:rPr>
                <w:t>32</w:t>
              </w:r>
            </w:hyperlink>
          </w:p>
        </w:tc>
      </w:tr>
      <w:tr>
        <w:trPr>
          <w:trHeight w:val="234"/>
        </w:trPr>
        <w:tc>
          <w:tcPr>
            <w:tcW w:w="9320" w:type="dxa"/>
            <w:vAlign w:val="bottom"/>
          </w:tcPr>
          <w:p>
            <w:pPr>
              <w:spacing w:after="0"/>
              <w:rPr>
                <w:rFonts w:ascii="Times New Roman" w:cs="Times New Roman" w:eastAsia="Times New Roman" w:hAnsi="Times New Roman"/>
                <w:sz w:val="18"/>
                <w:szCs w:val="18"/>
                <w:color w:val="0000FF"/>
              </w:rPr>
            </w:pPr>
            <w:hyperlink w:anchor="page32">
              <w:r>
                <w:rPr>
                  <w:rFonts w:ascii="Times New Roman" w:cs="Times New Roman" w:eastAsia="Times New Roman" w:hAnsi="Times New Roman"/>
                  <w:sz w:val="18"/>
                  <w:szCs w:val="18"/>
                  <w:color w:val="0000FF"/>
                </w:rPr>
                <w:t>Notes to Consolidated Financial Statements — Years Ended July 31, 2020, 2019, and 2018</w:t>
              </w:r>
            </w:hyperlink>
          </w:p>
        </w:tc>
        <w:tc>
          <w:tcPr>
            <w:tcW w:w="1900" w:type="dxa"/>
            <w:vAlign w:val="bottom"/>
          </w:tcPr>
          <w:p>
            <w:pPr>
              <w:jc w:val="right"/>
              <w:spacing w:after="0"/>
              <w:rPr>
                <w:rFonts w:ascii="Times New Roman" w:cs="Times New Roman" w:eastAsia="Times New Roman" w:hAnsi="Times New Roman"/>
                <w:sz w:val="18"/>
                <w:szCs w:val="18"/>
                <w:color w:val="0000FF"/>
              </w:rPr>
            </w:pPr>
            <w:hyperlink w:anchor="page32">
              <w:r>
                <w:rPr>
                  <w:rFonts w:ascii="Times New Roman" w:cs="Times New Roman" w:eastAsia="Times New Roman" w:hAnsi="Times New Roman"/>
                  <w:sz w:val="18"/>
                  <w:szCs w:val="18"/>
                  <w:color w:val="0000FF"/>
                </w:rPr>
                <w:t>33</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Brady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Milwaukee, Wisconsin</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Brady Corporation and subsidiaries (the "Company") as of July 31, 2020 and 2019, the related consolidated statements of income, comprehensive income, stockholders’ equity, and cash flows, for each of the three years in the period ended July 31, 2020, and the related notes and the schedule listed in the Index at Item 15 (collectively referred to as the "financial statements"). In our opinion, the financial statements present fairly, in all material respects, the financial position of the Company as of July 31, 2020 and 2019, and the results of its operations and its cash flows for each of the three years in the period ended July 31, 2020, in conformity with accounting principles generally accepted in the United States of America.</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July 31, 2020,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September 16, 2020, expressed an unqualified opinion on the Company's internal control over financial reporting.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Adoption of a New Accounting Standard</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As discussed in Note 1 to the consolidated financial statements, the Company has changed its method of accounting for leases in the year ended July 31, 2020, due to the adoption of the Financial Accounting Standards Board Accounting Standard Update No. 2016-02, </w:t>
      </w:r>
      <w:r>
        <w:rPr>
          <w:rFonts w:ascii="Times New Roman" w:cs="Times New Roman" w:eastAsia="Times New Roman" w:hAnsi="Times New Roman"/>
          <w:sz w:val="18"/>
          <w:szCs w:val="18"/>
          <w:i w:val="1"/>
          <w:iCs w:val="1"/>
          <w:color w:val="auto"/>
        </w:rPr>
        <w:t>Leases (Topic ASC 842)</w:t>
      </w:r>
      <w:r>
        <w:rPr>
          <w:rFonts w:ascii="Times New Roman" w:cs="Times New Roman" w:eastAsia="Times New Roman" w:hAnsi="Times New Roman"/>
          <w:sz w:val="18"/>
          <w:szCs w:val="18"/>
          <w:color w:val="auto"/>
        </w:rPr>
        <w:t xml:space="preserve"> using the optional transition method allowing a cumulative effect adjustment to the opening balance of retained earnings during the period of adoption.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25" w:lineRule="exact"/>
        <w:rPr>
          <w:sz w:val="20"/>
          <w:szCs w:val="20"/>
          <w:color w:val="auto"/>
        </w:rPr>
      </w:pPr>
    </w:p>
    <w:p>
      <w:pPr>
        <w:ind w:right="5460"/>
        <w:spacing w:after="0" w:line="440"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Taxes — Valuation Allowances — Refer to Note 11 to the financial statements </w:t>
      </w:r>
      <w:r>
        <w:rPr>
          <w:rFonts w:ascii="Times New Roman" w:cs="Times New Roman" w:eastAsia="Times New Roman" w:hAnsi="Times New Roman"/>
          <w:sz w:val="18"/>
          <w:szCs w:val="18"/>
          <w:i w:val="1"/>
          <w:iCs w:val="1"/>
          <w:color w:val="auto"/>
        </w:rPr>
        <w:t>Critical Audit Matter Description</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recognizes deferred income tax assets and liabilities for the estimated future tax effects attributable to temporary differences and carryforwards. Valuation allowances are established when necessary to reduce deferred tax assets to the amounts expected to be realized in the future. Future realization of deferred tax assets depends on the existence of sufficient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taxable income within the carryback or carryforward period of the appropriate character under the relevant tax law. Sources of taxable income include future reversals of deferred tax assets and liabilities, future taxable income (exclusive of the reversals of deferred tax assets and liabilities), taxable income in prior carryback year(s) if permitted under the tax law, and tax planning strategies. The Company’s valuation allowance for deferred tax assets was $58.8 million as of July 31, 2020.</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determination of the valuation allowance involves estimates. Management’s primary estimate in determining whether a valuation allowance should be established is the projection of future sources of taxable income. Auditing management’s estimate of future sources of taxable income, which affects the recorded valuation allowances, required a high degree of auditor judgment and an increased extent of effort, including the need to involve our income tax specialists.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estimated future sources of taxable income included the following, among others:</w:t>
      </w:r>
    </w:p>
    <w:p>
      <w:pPr>
        <w:spacing w:after="0" w:line="171"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management’s controls over the estimates of future sources of taxable income.</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income tax specialists, we considered relevant tax laws and regulations in evaluating the appropriateness of management’s estimates of future sources of taxable income.</w:t>
      </w:r>
    </w:p>
    <w:p>
      <w:pPr>
        <w:spacing w:after="0" w:line="107"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ability to accurately estimate future sources of taxable income by comparing actual results to management’s historical estimates. Further, we evaluated the reasonableness of management’s estimates of future sources of taxable income by comparing the estimates to historical sources of taxable income or losses and minutes of the Board of Directors.</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income tax specialists, we evaluated whether the estimated future sources of taxable income were of the appropriate character to utilize the deferred tax assets under tax law.</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assessment that it is more likely than not that sufficient taxable income will be generated in the future to utilize the net deferred tax assets.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Milwaukee, Wisconsin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16, 2020</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at least since 1981; however, an earlier year cannot be reliably determined.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BRADY CORPORATION AND SUBSIDIARIES</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July 31, 2020 and 2019</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33"/>
        </w:trPr>
        <w:tc>
          <w:tcPr>
            <w:tcW w:w="77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gridSpan w:val="4"/>
          </w:tcPr>
          <w:p>
            <w:pPr>
              <w:spacing w:after="0"/>
              <w:rPr>
                <w:sz w:val="2"/>
                <w:szCs w:val="2"/>
                <w:color w:val="auto"/>
              </w:rPr>
            </w:pPr>
          </w:p>
        </w:tc>
      </w:tr>
      <w:tr>
        <w:trPr>
          <w:trHeight w:val="217"/>
        </w:trPr>
        <w:tc>
          <w:tcPr>
            <w:tcW w:w="7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40" w:type="dxa"/>
            <w:vAlign w:val="bottom"/>
            <w:gridSpan w:val="4"/>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(Dollars in thousands)</w:t>
            </w:r>
          </w:p>
        </w:tc>
      </w:tr>
      <w:tr>
        <w:trPr>
          <w:trHeight w:val="33"/>
        </w:trPr>
        <w:tc>
          <w:tcPr>
            <w:tcW w:w="7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7780" w:type="dxa"/>
            <w:vAlign w:val="bottom"/>
            <w:tcBorders>
              <w:bottom w:val="single" w:sz="8" w:color="CCEEFF"/>
            </w:tcBorders>
            <w:shd w:val="clear" w:color="auto" w:fill="CCEEFF"/>
          </w:tcPr>
          <w:p>
            <w:pPr>
              <w:ind w:left="36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3"/>
        </w:trPr>
        <w:tc>
          <w:tcPr>
            <w:tcW w:w="7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77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217,643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279,072</w:t>
            </w:r>
          </w:p>
        </w:tc>
      </w:tr>
      <w:tr>
        <w:trPr>
          <w:trHeight w:val="224"/>
        </w:trPr>
        <w:tc>
          <w:tcPr>
            <w:tcW w:w="7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receivable—net</w:t>
            </w:r>
          </w:p>
        </w:tc>
        <w:tc>
          <w:tcPr>
            <w:tcW w:w="38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146,181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158,114</w:t>
            </w:r>
          </w:p>
        </w:tc>
      </w:tr>
      <w:tr>
        <w:trPr>
          <w:trHeight w:val="33"/>
        </w:trPr>
        <w:tc>
          <w:tcPr>
            <w:tcW w:w="7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77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Inventories</w:t>
            </w: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135,662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120,037</w:t>
            </w:r>
          </w:p>
        </w:tc>
      </w:tr>
      <w:tr>
        <w:trPr>
          <w:trHeight w:val="223"/>
        </w:trPr>
        <w:tc>
          <w:tcPr>
            <w:tcW w:w="7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8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9,962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16,056</w:t>
            </w:r>
          </w:p>
        </w:tc>
      </w:tr>
      <w:tr>
        <w:trPr>
          <w:trHeight w:val="33"/>
        </w:trPr>
        <w:tc>
          <w:tcPr>
            <w:tcW w:w="77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77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current assets</w:t>
            </w: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509,448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573,279</w:t>
            </w: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equipment—net</w:t>
            </w:r>
          </w:p>
        </w:tc>
        <w:tc>
          <w:tcPr>
            <w:tcW w:w="38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115,068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110,048</w:t>
            </w:r>
          </w:p>
        </w:tc>
      </w:tr>
      <w:tr>
        <w:trPr>
          <w:trHeight w:val="33"/>
        </w:trPr>
        <w:tc>
          <w:tcPr>
            <w:tcW w:w="7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416,034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410,987</w:t>
            </w:r>
          </w:p>
        </w:tc>
      </w:tr>
      <w:tr>
        <w:trPr>
          <w:trHeight w:val="224"/>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intangible assets</w:t>
            </w:r>
          </w:p>
        </w:tc>
        <w:tc>
          <w:tcPr>
            <w:tcW w:w="38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22,334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36,123</w:t>
            </w:r>
          </w:p>
        </w:tc>
      </w:tr>
      <w:tr>
        <w:trPr>
          <w:trHeight w:val="33"/>
        </w:trPr>
        <w:tc>
          <w:tcPr>
            <w:tcW w:w="7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8,845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7,298</w:t>
            </w: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assets</w:t>
            </w:r>
          </w:p>
        </w:tc>
        <w:tc>
          <w:tcPr>
            <w:tcW w:w="38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41,899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7"/>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3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28,838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19,573</w:t>
            </w:r>
          </w:p>
        </w:tc>
      </w:tr>
      <w:tr>
        <w:trPr>
          <w:trHeight w:val="217"/>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1,142,466</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1,157,308</w:t>
            </w:r>
          </w:p>
        </w:tc>
      </w:tr>
      <w:tr>
        <w:trPr>
          <w:trHeight w:val="33"/>
        </w:trPr>
        <w:tc>
          <w:tcPr>
            <w:tcW w:w="77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03"/>
        </w:trPr>
        <w:tc>
          <w:tcPr>
            <w:tcW w:w="7780" w:type="dxa"/>
            <w:vAlign w:val="bottom"/>
            <w:tcBorders>
              <w:bottom w:val="single" w:sz="8" w:color="CCEEFF"/>
            </w:tcBorders>
            <w:shd w:val="clear" w:color="auto" w:fill="CCEEFF"/>
          </w:tcPr>
          <w:p>
            <w:pPr>
              <w:ind w:left="214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3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r>
      <w:tr>
        <w:trPr>
          <w:trHeight w:val="224"/>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3"/>
        </w:trPr>
        <w:tc>
          <w:tcPr>
            <w:tcW w:w="7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77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62,547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64,810</w:t>
            </w:r>
          </w:p>
        </w:tc>
      </w:tr>
      <w:tr>
        <w:trPr>
          <w:trHeight w:val="223"/>
        </w:trPr>
        <w:tc>
          <w:tcPr>
            <w:tcW w:w="7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38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41,546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62,509</w:t>
            </w:r>
          </w:p>
        </w:tc>
      </w:tr>
      <w:tr>
        <w:trPr>
          <w:trHeight w:val="33"/>
        </w:trPr>
        <w:tc>
          <w:tcPr>
            <w:tcW w:w="7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77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Taxes, other than income taxes</w:t>
            </w: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8,057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8,107</w:t>
            </w:r>
          </w:p>
        </w:tc>
      </w:tr>
      <w:tr>
        <w:trPr>
          <w:trHeight w:val="223"/>
        </w:trPr>
        <w:tc>
          <w:tcPr>
            <w:tcW w:w="7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Accrued income taxes</w:t>
            </w:r>
          </w:p>
        </w:tc>
        <w:tc>
          <w:tcPr>
            <w:tcW w:w="38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8,652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6,557</w:t>
            </w:r>
          </w:p>
        </w:tc>
      </w:tr>
      <w:tr>
        <w:trPr>
          <w:trHeight w:val="33"/>
        </w:trPr>
        <w:tc>
          <w:tcPr>
            <w:tcW w:w="7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6"/>
        </w:trPr>
        <w:tc>
          <w:tcPr>
            <w:tcW w:w="77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15,304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7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38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49,782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49,796</w:t>
            </w:r>
          </w:p>
        </w:tc>
      </w:tr>
      <w:tr>
        <w:trPr>
          <w:trHeight w:val="33"/>
        </w:trPr>
        <w:tc>
          <w:tcPr>
            <w:tcW w:w="7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6"/>
        </w:trPr>
        <w:tc>
          <w:tcPr>
            <w:tcW w:w="77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Current maturities on long-term debt</w:t>
            </w:r>
          </w:p>
        </w:tc>
        <w:tc>
          <w:tcPr>
            <w:tcW w:w="3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50,166</w:t>
            </w:r>
          </w:p>
        </w:tc>
      </w:tr>
      <w:tr>
        <w:trPr>
          <w:trHeight w:val="217"/>
        </w:trPr>
        <w:tc>
          <w:tcPr>
            <w:tcW w:w="77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185,888</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241,945</w:t>
            </w:r>
          </w:p>
        </w:tc>
      </w:tr>
      <w:tr>
        <w:trPr>
          <w:trHeight w:val="33"/>
        </w:trPr>
        <w:tc>
          <w:tcPr>
            <w:tcW w:w="7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31,982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38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61,524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64,589</w:t>
            </w:r>
          </w:p>
        </w:tc>
      </w:tr>
      <w:tr>
        <w:trPr>
          <w:trHeight w:val="33"/>
        </w:trPr>
        <w:tc>
          <w:tcPr>
            <w:tcW w:w="77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77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liabilities</w:t>
            </w: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279,394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306,534</w:t>
            </w: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3"/>
        </w:trPr>
        <w:tc>
          <w:tcPr>
            <w:tcW w:w="7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16"/>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Class A nonvoting common stock — Issued 51,261,487 shares, and outstanding 48,456,954 and 49,458,841</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3"/>
        </w:trPr>
        <w:tc>
          <w:tcPr>
            <w:tcW w:w="77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shares, respectively (aggregate liquidation preference of $42,716 and $42,803, respectively)</w:t>
            </w:r>
          </w:p>
        </w:tc>
        <w:tc>
          <w:tcPr>
            <w:tcW w:w="3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w:t>
            </w:r>
          </w:p>
        </w:tc>
      </w:tr>
      <w:tr>
        <w:trPr>
          <w:trHeight w:val="223"/>
        </w:trPr>
        <w:tc>
          <w:tcPr>
            <w:tcW w:w="7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Class B voting common stock — Issued and outstanding 3,538,628 shares</w:t>
            </w:r>
          </w:p>
        </w:tc>
        <w:tc>
          <w:tcPr>
            <w:tcW w:w="38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33"/>
        </w:trPr>
        <w:tc>
          <w:tcPr>
            <w:tcW w:w="7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6"/>
        </w:trPr>
        <w:tc>
          <w:tcPr>
            <w:tcW w:w="77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331,761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329,969</w:t>
            </w:r>
          </w:p>
        </w:tc>
      </w:tr>
      <w:tr>
        <w:trPr>
          <w:trHeight w:val="224"/>
        </w:trPr>
        <w:tc>
          <w:tcPr>
            <w:tcW w:w="7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Retained earnings</w:t>
            </w:r>
          </w:p>
        </w:tc>
        <w:tc>
          <w:tcPr>
            <w:tcW w:w="38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704,456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637,843</w:t>
            </w:r>
          </w:p>
        </w:tc>
      </w:tr>
      <w:tr>
        <w:trPr>
          <w:trHeight w:val="33"/>
        </w:trPr>
        <w:tc>
          <w:tcPr>
            <w:tcW w:w="7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6"/>
        </w:trPr>
        <w:tc>
          <w:tcPr>
            <w:tcW w:w="77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Treasury stock — 2,804,533 and 1,802,646 shares, respectively, of Class A nonvoting common stock, at cost</w:t>
            </w: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(107,216)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(46,332)</w:t>
            </w:r>
          </w:p>
        </w:tc>
      </w:tr>
      <w:tr>
        <w:trPr>
          <w:trHeight w:val="224"/>
        </w:trPr>
        <w:tc>
          <w:tcPr>
            <w:tcW w:w="7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(71,254)</w:t>
            </w:r>
          </w:p>
        </w:tc>
      </w:tr>
      <w:tr>
        <w:trPr>
          <w:trHeight w:val="33"/>
        </w:trPr>
        <w:tc>
          <w:tcPr>
            <w:tcW w:w="77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863,072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850,774</w:t>
            </w:r>
          </w:p>
        </w:tc>
      </w:tr>
      <w:tr>
        <w:trPr>
          <w:trHeight w:val="217"/>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1,142,466</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1,157,308</w:t>
            </w:r>
          </w:p>
        </w:tc>
      </w:tr>
      <w:tr>
        <w:trPr>
          <w:trHeight w:val="33"/>
        </w:trPr>
        <w:tc>
          <w:tcPr>
            <w:tcW w:w="77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77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-6265545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18" w:right="479" w:bottom="1440" w:gutter="0" w:footer="0" w:header="0"/>
        </w:sectPr>
      </w:pPr>
    </w:p>
    <w:bookmarkStart w:id="28" w:name="page29"/>
    <w:bookmarkEnd w:id="28"/>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BRADY CORPORATION AND SUBSIDIARIES</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Years Ended July 31, 2020, 2019 and 2018</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2018</w:t>
            </w:r>
          </w:p>
        </w:tc>
        <w:tc>
          <w:tcPr>
            <w:tcW w:w="0" w:type="dxa"/>
            <w:vAlign w:val="bottom"/>
          </w:tcPr>
          <w:p>
            <w:pPr>
              <w:spacing w:after="0"/>
              <w:rPr>
                <w:sz w:val="1"/>
                <w:szCs w:val="1"/>
                <w:color w:val="auto"/>
              </w:rPr>
            </w:pPr>
          </w:p>
        </w:tc>
      </w:tr>
      <w:tr>
        <w:trPr>
          <w:trHeight w:val="33"/>
        </w:trPr>
        <w:tc>
          <w:tcPr>
            <w:tcW w:w="6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gridSpan w:val="7"/>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60" w:type="dxa"/>
            <w:vAlign w:val="bottom"/>
            <w:gridSpan w:val="7"/>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(In thousands, except per share amounts)</w:t>
            </w:r>
          </w:p>
        </w:tc>
        <w:tc>
          <w:tcPr>
            <w:tcW w:w="0" w:type="dxa"/>
            <w:vAlign w:val="bottom"/>
          </w:tcPr>
          <w:p>
            <w:pPr>
              <w:spacing w:after="0"/>
              <w:rPr>
                <w:sz w:val="1"/>
                <w:szCs w:val="1"/>
                <w:color w:val="auto"/>
              </w:rPr>
            </w:pPr>
          </w:p>
        </w:tc>
      </w:tr>
      <w:tr>
        <w:trPr>
          <w:trHeight w:val="33"/>
        </w:trPr>
        <w:tc>
          <w:tcPr>
            <w:tcW w:w="6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1,081,299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1,160,645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1,173,851</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552,734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581,967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585,560</w:t>
            </w:r>
          </w:p>
        </w:tc>
        <w:tc>
          <w:tcPr>
            <w:tcW w:w="0" w:type="dxa"/>
            <w:vAlign w:val="bottom"/>
          </w:tcPr>
          <w:p>
            <w:pPr>
              <w:spacing w:after="0"/>
              <w:rPr>
                <w:sz w:val="1"/>
                <w:szCs w:val="1"/>
                <w:color w:val="auto"/>
              </w:rPr>
            </w:pPr>
          </w:p>
        </w:tc>
      </w:tr>
      <w:tr>
        <w:trPr>
          <w:trHeight w:val="33"/>
        </w:trPr>
        <w:tc>
          <w:tcPr>
            <w:tcW w:w="6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Gross margin</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528,565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578,678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588,291</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40,662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45,168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45,253</w:t>
            </w:r>
          </w:p>
        </w:tc>
        <w:tc>
          <w:tcPr>
            <w:tcW w:w="0" w:type="dxa"/>
            <w:vAlign w:val="bottom"/>
          </w:tcPr>
          <w:p>
            <w:pPr>
              <w:spacing w:after="0"/>
              <w:rPr>
                <w:sz w:val="1"/>
                <w:szCs w:val="1"/>
                <w:color w:val="auto"/>
              </w:rPr>
            </w:pPr>
          </w:p>
        </w:tc>
      </w:tr>
      <w:tr>
        <w:trPr>
          <w:trHeight w:val="224"/>
        </w:trPr>
        <w:tc>
          <w:tcPr>
            <w:tcW w:w="6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336,059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371,082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390,342</w:t>
            </w:r>
          </w:p>
        </w:tc>
        <w:tc>
          <w:tcPr>
            <w:tcW w:w="0" w:type="dxa"/>
            <w:vAlign w:val="bottom"/>
          </w:tcPr>
          <w:p>
            <w:pPr>
              <w:spacing w:after="0"/>
              <w:rPr>
                <w:sz w:val="1"/>
                <w:szCs w:val="1"/>
                <w:color w:val="auto"/>
              </w:rPr>
            </w:pPr>
          </w:p>
        </w:tc>
      </w:tr>
      <w:tr>
        <w:trPr>
          <w:trHeight w:val="33"/>
        </w:trPr>
        <w:tc>
          <w:tcPr>
            <w:tcW w:w="6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Impairment charges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13,821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390,542</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416,250</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435,595</w:t>
            </w:r>
          </w:p>
        </w:tc>
        <w:tc>
          <w:tcPr>
            <w:tcW w:w="0" w:type="dxa"/>
            <w:vAlign w:val="bottom"/>
          </w:tcPr>
          <w:p>
            <w:pPr>
              <w:spacing w:after="0"/>
              <w:rPr>
                <w:sz w:val="1"/>
                <w:szCs w:val="1"/>
                <w:color w:val="auto"/>
              </w:rPr>
            </w:pPr>
          </w:p>
        </w:tc>
      </w:tr>
      <w:tr>
        <w:trPr>
          <w:trHeight w:val="33"/>
        </w:trPr>
        <w:tc>
          <w:tcPr>
            <w:tcW w:w="6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138,023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162,428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152,696</w:t>
            </w:r>
          </w:p>
        </w:tc>
        <w:tc>
          <w:tcPr>
            <w:tcW w:w="0" w:type="dxa"/>
            <w:vAlign w:val="bottom"/>
          </w:tcPr>
          <w:p>
            <w:pPr>
              <w:spacing w:after="0"/>
              <w:rPr>
                <w:sz w:val="1"/>
                <w:szCs w:val="1"/>
                <w:color w:val="auto"/>
              </w:rPr>
            </w:pPr>
          </w:p>
        </w:tc>
      </w:tr>
      <w:tr>
        <w:trPr>
          <w:trHeight w:val="224"/>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Investment and other income</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2,487</w:t>
            </w:r>
          </w:p>
        </w:tc>
        <w:tc>
          <w:tcPr>
            <w:tcW w:w="0" w:type="dxa"/>
            <w:vAlign w:val="bottom"/>
          </w:tcPr>
          <w:p>
            <w:pPr>
              <w:spacing w:after="0"/>
              <w:rPr>
                <w:sz w:val="1"/>
                <w:szCs w:val="1"/>
                <w:color w:val="auto"/>
              </w:rPr>
            </w:pPr>
          </w:p>
        </w:tc>
      </w:tr>
      <w:tr>
        <w:trPr>
          <w:trHeight w:val="223"/>
        </w:trPr>
        <w:tc>
          <w:tcPr>
            <w:tcW w:w="6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(3,168)</w:t>
            </w:r>
          </w:p>
        </w:tc>
        <w:tc>
          <w:tcPr>
            <w:tcW w:w="0" w:type="dxa"/>
            <w:vAlign w:val="bottom"/>
          </w:tcPr>
          <w:p>
            <w:pPr>
              <w:spacing w:after="0"/>
              <w:rPr>
                <w:sz w:val="1"/>
                <w:szCs w:val="1"/>
                <w:color w:val="auto"/>
              </w:rPr>
            </w:pPr>
          </w:p>
        </w:tc>
      </w:tr>
      <w:tr>
        <w:trPr>
          <w:trHeight w:val="33"/>
        </w:trPr>
        <w:tc>
          <w:tcPr>
            <w:tcW w:w="6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 and losses of unconsolidated affiliate</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140,936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164,644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152,015</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60,955</w:t>
            </w:r>
          </w:p>
        </w:tc>
        <w:tc>
          <w:tcPr>
            <w:tcW w:w="0" w:type="dxa"/>
            <w:vAlign w:val="bottom"/>
          </w:tcPr>
          <w:p>
            <w:pPr>
              <w:spacing w:after="0"/>
              <w:rPr>
                <w:sz w:val="1"/>
                <w:szCs w:val="1"/>
                <w:color w:val="auto"/>
              </w:rPr>
            </w:pPr>
          </w:p>
        </w:tc>
      </w:tr>
      <w:tr>
        <w:trPr>
          <w:trHeight w:val="33"/>
        </w:trPr>
        <w:tc>
          <w:tcPr>
            <w:tcW w:w="6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losses of unconsolidated affiliate</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112,615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131,258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91,060</w:t>
            </w:r>
          </w:p>
        </w:tc>
        <w:tc>
          <w:tcPr>
            <w:tcW w:w="0" w:type="dxa"/>
            <w:vAlign w:val="bottom"/>
          </w:tcPr>
          <w:p>
            <w:pPr>
              <w:spacing w:after="0"/>
              <w:rPr>
                <w:sz w:val="1"/>
                <w:szCs w:val="1"/>
                <w:color w:val="auto"/>
              </w:rPr>
            </w:pPr>
          </w:p>
        </w:tc>
      </w:tr>
      <w:tr>
        <w:trPr>
          <w:trHeight w:val="224"/>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in losses of unconsolidated affiliate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112,369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131,258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91,060</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 per Class A Nonvoting Common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67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6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6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0" w:type="dxa"/>
            <w:vAlign w:val="bottom"/>
          </w:tcPr>
          <w:p>
            <w:pPr>
              <w:spacing w:after="0"/>
              <w:rPr>
                <w:sz w:val="1"/>
                <w:szCs w:val="1"/>
                <w:color w:val="auto"/>
              </w:rPr>
            </w:pPr>
          </w:p>
        </w:tc>
      </w:tr>
      <w:tr>
        <w:trPr>
          <w:trHeight w:val="223"/>
        </w:trPr>
        <w:tc>
          <w:tcPr>
            <w:tcW w:w="6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0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0" w:type="dxa"/>
            <w:vAlign w:val="bottom"/>
          </w:tcPr>
          <w:p>
            <w:pPr>
              <w:spacing w:after="0"/>
              <w:rPr>
                <w:sz w:val="1"/>
                <w:szCs w:val="1"/>
                <w:color w:val="auto"/>
              </w:rPr>
            </w:pPr>
          </w:p>
        </w:tc>
      </w:tr>
      <w:tr>
        <w:trPr>
          <w:trHeight w:val="33"/>
        </w:trPr>
        <w:tc>
          <w:tcPr>
            <w:tcW w:w="6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6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Dividends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0.83</w:t>
            </w:r>
          </w:p>
        </w:tc>
        <w:tc>
          <w:tcPr>
            <w:tcW w:w="0" w:type="dxa"/>
            <w:vAlign w:val="bottom"/>
          </w:tcPr>
          <w:p>
            <w:pPr>
              <w:spacing w:after="0"/>
              <w:rPr>
                <w:sz w:val="1"/>
                <w:szCs w:val="1"/>
                <w:color w:val="auto"/>
              </w:rPr>
            </w:pPr>
          </w:p>
        </w:tc>
      </w:tr>
      <w:tr>
        <w:trPr>
          <w:trHeight w:val="224"/>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Class B Voting Common Share:</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6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0" w:type="dxa"/>
            <w:vAlign w:val="bottom"/>
          </w:tcPr>
          <w:p>
            <w:pPr>
              <w:spacing w:after="0"/>
              <w:rPr>
                <w:sz w:val="1"/>
                <w:szCs w:val="1"/>
                <w:color w:val="auto"/>
              </w:rPr>
            </w:pPr>
          </w:p>
        </w:tc>
      </w:tr>
      <w:tr>
        <w:trPr>
          <w:trHeight w:val="224"/>
        </w:trPr>
        <w:tc>
          <w:tcPr>
            <w:tcW w:w="6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0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0" w:type="dxa"/>
            <w:vAlign w:val="bottom"/>
          </w:tcPr>
          <w:p>
            <w:pPr>
              <w:spacing w:after="0"/>
              <w:rPr>
                <w:sz w:val="1"/>
                <w:szCs w:val="1"/>
                <w:color w:val="auto"/>
              </w:rPr>
            </w:pPr>
          </w:p>
        </w:tc>
      </w:tr>
      <w:tr>
        <w:trPr>
          <w:trHeight w:val="33"/>
        </w:trPr>
        <w:tc>
          <w:tcPr>
            <w:tcW w:w="6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Dividends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0.81</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52,763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52,596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51,677</w:t>
            </w:r>
          </w:p>
        </w:tc>
        <w:tc>
          <w:tcPr>
            <w:tcW w:w="0" w:type="dxa"/>
            <w:vAlign w:val="bottom"/>
          </w:tcPr>
          <w:p>
            <w:pPr>
              <w:spacing w:after="0"/>
              <w:rPr>
                <w:sz w:val="1"/>
                <w:szCs w:val="1"/>
                <w:color w:val="auto"/>
              </w:rPr>
            </w:pPr>
          </w:p>
        </w:tc>
      </w:tr>
      <w:tr>
        <w:trPr>
          <w:trHeight w:val="223"/>
        </w:trPr>
        <w:tc>
          <w:tcPr>
            <w:tcW w:w="6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52,524</w:t>
            </w:r>
          </w:p>
        </w:tc>
        <w:tc>
          <w:tcPr>
            <w:tcW w:w="0" w:type="dxa"/>
            <w:vAlign w:val="bottom"/>
          </w:tcPr>
          <w:p>
            <w:pPr>
              <w:spacing w:after="0"/>
              <w:rPr>
                <w:sz w:val="1"/>
                <w:szCs w:val="1"/>
                <w:color w:val="auto"/>
              </w:rPr>
            </w:pPr>
          </w:p>
        </w:tc>
      </w:tr>
      <w:tr>
        <w:trPr>
          <w:trHeight w:val="338"/>
        </w:trPr>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6082665</wp:posOffset>
            </wp:positionH>
            <wp:positionV relativeFrom="paragraph">
              <wp:posOffset>-4984750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-4984750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18" w:right="499" w:bottom="1440" w:gutter="0" w:footer="0" w:header="0"/>
        </w:sectPr>
      </w:pPr>
    </w:p>
    <w:bookmarkStart w:id="29" w:name="page30"/>
    <w:bookmarkEnd w:id="29"/>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BRADY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July 31, 2020, 2019 and 2018</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6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4"/>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6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3"/>
        </w:trPr>
        <w:tc>
          <w:tcPr>
            <w:tcW w:w="6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112,369</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131,258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91,060</w:t>
            </w:r>
          </w:p>
        </w:tc>
      </w:tr>
      <w:tr>
        <w:trPr>
          <w:trHeight w:val="224"/>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33"/>
        </w:trPr>
        <w:tc>
          <w:tcPr>
            <w:tcW w:w="6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6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(13,675)</w:t>
            </w:r>
          </w:p>
        </w:tc>
      </w:tr>
      <w:tr>
        <w:trPr>
          <w:trHeight w:val="256"/>
        </w:trPr>
        <w:tc>
          <w:tcPr>
            <w:tcW w:w="69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37"/>
        </w:trPr>
        <w:tc>
          <w:tcPr>
            <w:tcW w:w="6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flow hedges:</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24"/>
        </w:trPr>
        <w:tc>
          <w:tcPr>
            <w:tcW w:w="69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Net (loss) gain recognized in other comprehensive loss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966</w:t>
            </w:r>
          </w:p>
        </w:tc>
      </w:tr>
      <w:tr>
        <w:trPr>
          <w:trHeight w:val="33"/>
        </w:trPr>
        <w:tc>
          <w:tcPr>
            <w:tcW w:w="6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7"/>
        </w:trPr>
        <w:tc>
          <w:tcPr>
            <w:tcW w:w="69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Reclassification adjustment for (gains) losses included in net income</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w:t>
            </w:r>
          </w:p>
        </w:tc>
      </w:tr>
      <w:tr>
        <w:trPr>
          <w:trHeight w:val="217"/>
        </w:trPr>
        <w:tc>
          <w:tcPr>
            <w:tcW w:w="69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(1,190)</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1,517</w:t>
            </w:r>
          </w:p>
        </w:tc>
      </w:tr>
      <w:tr>
        <w:trPr>
          <w:trHeight w:val="33"/>
        </w:trPr>
        <w:tc>
          <w:tcPr>
            <w:tcW w:w="6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6"/>
        </w:trPr>
        <w:tc>
          <w:tcPr>
            <w:tcW w:w="6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Pension and other post-retirement benefits:</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24"/>
        </w:trPr>
        <w:tc>
          <w:tcPr>
            <w:tcW w:w="69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Net (loss) gain recognized in other comprehensive income (loss)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w:t>
            </w:r>
          </w:p>
        </w:tc>
      </w:tr>
      <w:tr>
        <w:trPr>
          <w:trHeight w:val="33"/>
        </w:trPr>
        <w:tc>
          <w:tcPr>
            <w:tcW w:w="6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7"/>
        </w:trPr>
        <w:tc>
          <w:tcPr>
            <w:tcW w:w="69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Net actuarial gain amortization</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w:t>
            </w:r>
          </w:p>
        </w:tc>
      </w:tr>
      <w:tr>
        <w:trPr>
          <w:trHeight w:val="217"/>
        </w:trPr>
        <w:tc>
          <w:tcPr>
            <w:tcW w:w="69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(848)</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(666)</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w:t>
            </w:r>
          </w:p>
        </w:tc>
      </w:tr>
      <w:tr>
        <w:trPr>
          <w:trHeight w:val="33"/>
        </w:trPr>
        <w:tc>
          <w:tcPr>
            <w:tcW w:w="6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7"/>
        </w:trPr>
        <w:tc>
          <w:tcPr>
            <w:tcW w:w="69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23"/>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before tax</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(12,288)</w:t>
            </w:r>
          </w:p>
        </w:tc>
      </w:tr>
      <w:tr>
        <w:trPr>
          <w:trHeight w:val="33"/>
        </w:trPr>
        <w:tc>
          <w:tcPr>
            <w:tcW w:w="6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7"/>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 (expense) related to items of other comprehensive income (loss)</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w:t>
            </w:r>
          </w:p>
        </w:tc>
      </w:tr>
      <w:tr>
        <w:trPr>
          <w:trHeight w:val="217"/>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4,777</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(14,853)</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(11,719)</w:t>
            </w:r>
          </w:p>
        </w:tc>
      </w:tr>
      <w:tr>
        <w:trPr>
          <w:trHeight w:val="33"/>
        </w:trPr>
        <w:tc>
          <w:tcPr>
            <w:tcW w:w="6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75"/>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117,146</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116,405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79,341</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-3007995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-3007995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BRADY CORPORATION AND SUBSIDIARIES</w:t>
      </w:r>
    </w:p>
    <w:p>
      <w:pPr>
        <w:spacing w:after="0" w:line="29"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July 31, 2020, 2019 and 2018</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Accumulated</w:t>
            </w:r>
          </w:p>
        </w:tc>
      </w:tr>
      <w:tr>
        <w:trPr>
          <w:trHeight w:val="203"/>
        </w:trPr>
        <w:tc>
          <w:tcPr>
            <w:tcW w:w="3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Other</w:t>
            </w:r>
          </w:p>
        </w:tc>
      </w:tr>
      <w:tr>
        <w:trPr>
          <w:trHeight w:val="203"/>
        </w:trPr>
        <w:tc>
          <w:tcPr>
            <w:tcW w:w="3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Additional Paid-In</w:t>
            </w: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Comprehensive</w:t>
            </w:r>
          </w:p>
        </w:tc>
      </w:tr>
      <w:tr>
        <w:trPr>
          <w:trHeight w:val="212"/>
        </w:trPr>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60" w:type="dxa"/>
            <w:vAlign w:val="bottom"/>
          </w:tcPr>
          <w:p>
            <w:pPr>
              <w:spacing w:after="0"/>
              <w:rPr>
                <w:sz w:val="18"/>
                <w:szCs w:val="18"/>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Retained Earnings</w:t>
            </w:r>
          </w:p>
        </w:tc>
        <w:tc>
          <w:tcPr>
            <w:tcW w:w="12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40" w:type="dxa"/>
            <w:vAlign w:val="bottom"/>
          </w:tcPr>
          <w:p>
            <w:pPr>
              <w:spacing w:after="0"/>
              <w:rPr>
                <w:sz w:val="18"/>
                <w:szCs w:val="18"/>
                <w:color w:val="auto"/>
              </w:rPr>
            </w:pPr>
          </w:p>
        </w:tc>
        <w:tc>
          <w:tcPr>
            <w:tcW w:w="12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Loss</w:t>
            </w:r>
          </w:p>
        </w:tc>
      </w:tr>
      <w:tr>
        <w:trPr>
          <w:trHeight w:val="33"/>
        </w:trPr>
        <w:tc>
          <w:tcPr>
            <w:tcW w:w="39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gridSpan w:val="8"/>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7"/>
        </w:trPr>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140" w:type="dxa"/>
            <w:vAlign w:val="bottom"/>
            <w:gridSpan w:val="8"/>
          </w:tcPr>
          <w:p>
            <w:pPr>
              <w:ind w:left="480"/>
              <w:spacing w:after="0"/>
              <w:rPr>
                <w:sz w:val="20"/>
                <w:szCs w:val="20"/>
                <w:color w:val="auto"/>
              </w:rPr>
            </w:pPr>
            <w:r>
              <w:rPr>
                <w:rFonts w:ascii="Times New Roman" w:cs="Times New Roman" w:eastAsia="Times New Roman" w:hAnsi="Times New Roman"/>
                <w:sz w:val="16"/>
                <w:szCs w:val="16"/>
                <w:b w:val="1"/>
                <w:bCs w:val="1"/>
                <w:color w:val="auto"/>
              </w:rPr>
              <w:t>(In thousands, except per share amounts)</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3"/>
        </w:trPr>
        <w:tc>
          <w:tcPr>
            <w:tcW w:w="3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6"/>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July 31, 2017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322,608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507,136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(85,470)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(44,682)</w:t>
            </w:r>
          </w:p>
        </w:tc>
      </w:tr>
      <w:tr>
        <w:trPr>
          <w:trHeight w:val="217"/>
        </w:trPr>
        <w:tc>
          <w:tcPr>
            <w:tcW w:w="3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91,060</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3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39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(11,719)</w:t>
            </w:r>
          </w:p>
        </w:tc>
      </w:tr>
      <w:tr>
        <w:trPr>
          <w:trHeight w:val="216"/>
        </w:trPr>
        <w:tc>
          <w:tcPr>
            <w:tcW w:w="3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Issuance of shares of Class A Common Stock under</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0"/>
        </w:trPr>
        <w:tc>
          <w:tcPr>
            <w:tcW w:w="3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 plan</w:t>
            </w: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3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6"/>
        </w:trPr>
        <w:tc>
          <w:tcPr>
            <w:tcW w:w="3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Tax benefit and withholdings from deferred</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3"/>
        </w:trPr>
        <w:tc>
          <w:tcPr>
            <w:tcW w:w="39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compensation distribution</w:t>
            </w: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3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 expense (Note 7)</w:t>
            </w:r>
          </w:p>
        </w:tc>
        <w:tc>
          <w:tcPr>
            <w:tcW w:w="1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9,980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3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39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Repurchase of shares of Class A Common Stock</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4"/>
        </w:trPr>
        <w:tc>
          <w:tcPr>
            <w:tcW w:w="3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Adoption of ASU 2018-02</w:t>
            </w:r>
          </w:p>
        </w:tc>
        <w:tc>
          <w:tcPr>
            <w:tcW w:w="1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3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39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dividends on Common Stock:</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23"/>
        </w:trPr>
        <w:tc>
          <w:tcPr>
            <w:tcW w:w="39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Class A — $0.83 per share</w:t>
            </w:r>
          </w:p>
        </w:tc>
        <w:tc>
          <w:tcPr>
            <w:tcW w:w="1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(39,998)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3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6"/>
        </w:trPr>
        <w:tc>
          <w:tcPr>
            <w:tcW w:w="3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Class B — $0.81 per share</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Balances at July 31, 2018</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20" w:type="dxa"/>
            <w:vAlign w:val="bottom"/>
          </w:tcPr>
          <w:p>
            <w:pPr>
              <w:spacing w:after="0"/>
              <w:rPr>
                <w:sz w:val="18"/>
                <w:szCs w:val="18"/>
                <w:color w:val="auto"/>
              </w:rPr>
            </w:pPr>
          </w:p>
        </w:tc>
        <w:tc>
          <w:tcPr>
            <w:tcW w:w="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325,631</w:t>
            </w:r>
          </w:p>
        </w:tc>
        <w:tc>
          <w:tcPr>
            <w:tcW w:w="100" w:type="dxa"/>
            <w:vAlign w:val="bottom"/>
          </w:tcPr>
          <w:p>
            <w:pPr>
              <w:spacing w:after="0"/>
              <w:rPr>
                <w:sz w:val="18"/>
                <w:szCs w:val="18"/>
                <w:color w:val="auto"/>
              </w:rPr>
            </w:pPr>
          </w:p>
        </w:tc>
        <w:tc>
          <w:tcPr>
            <w:tcW w:w="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553,454</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(71,120)</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(56,401)</w:t>
            </w:r>
          </w:p>
        </w:tc>
      </w:tr>
      <w:tr>
        <w:trPr>
          <w:trHeight w:val="33"/>
        </w:trPr>
        <w:tc>
          <w:tcPr>
            <w:tcW w:w="3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9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131,258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4"/>
        </w:trPr>
        <w:tc>
          <w:tcPr>
            <w:tcW w:w="3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1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(14,853)</w:t>
            </w:r>
          </w:p>
        </w:tc>
      </w:tr>
      <w:tr>
        <w:trPr>
          <w:trHeight w:val="33"/>
        </w:trPr>
        <w:tc>
          <w:tcPr>
            <w:tcW w:w="3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6"/>
        </w:trPr>
        <w:tc>
          <w:tcPr>
            <w:tcW w:w="3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Issuance of shares of Class A Common Stock under</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3"/>
        </w:trPr>
        <w:tc>
          <w:tcPr>
            <w:tcW w:w="39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 plan</w:t>
            </w: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(7,963)</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27,970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3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Tax benefit and withholdings from deferred</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0"/>
        </w:trPr>
        <w:tc>
          <w:tcPr>
            <w:tcW w:w="3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compensation distribution</w:t>
            </w: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3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39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Stock-based compensation expense (Note 7)</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12,092</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3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Repurchase of shares of Class A Common Stock</w:t>
            </w:r>
          </w:p>
        </w:tc>
        <w:tc>
          <w:tcPr>
            <w:tcW w:w="1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3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6"/>
        </w:trPr>
        <w:tc>
          <w:tcPr>
            <w:tcW w:w="3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Adoption of ASU 2014-09 "Revenue from Contracts</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3"/>
        </w:trPr>
        <w:tc>
          <w:tcPr>
            <w:tcW w:w="39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with Customers" (Note 9)</w:t>
            </w: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(2,137)</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r>
      <w:tr>
        <w:trPr>
          <w:trHeight w:val="223"/>
        </w:trPr>
        <w:tc>
          <w:tcPr>
            <w:tcW w:w="3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dividends on Common Stock:</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3"/>
        </w:trPr>
        <w:tc>
          <w:tcPr>
            <w:tcW w:w="3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3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Class A — $0.85 per share</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(41,784)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39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Class B — $0.83 per share</w:t>
            </w:r>
          </w:p>
        </w:tc>
        <w:tc>
          <w:tcPr>
            <w:tcW w:w="1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3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July 31, 2019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329,969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637,843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(71,254)</w:t>
            </w:r>
          </w:p>
        </w:tc>
      </w:tr>
      <w:tr>
        <w:trPr>
          <w:trHeight w:val="217"/>
        </w:trPr>
        <w:tc>
          <w:tcPr>
            <w:tcW w:w="3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112,369</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3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39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4,777</w:t>
            </w:r>
          </w:p>
        </w:tc>
      </w:tr>
      <w:tr>
        <w:trPr>
          <w:trHeight w:val="216"/>
        </w:trPr>
        <w:tc>
          <w:tcPr>
            <w:tcW w:w="3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Issuance of shares of Class A Common Stock under</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0"/>
        </w:trPr>
        <w:tc>
          <w:tcPr>
            <w:tcW w:w="3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 plan</w:t>
            </w: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3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6"/>
        </w:trPr>
        <w:tc>
          <w:tcPr>
            <w:tcW w:w="3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Tax benefit and withholdings from deferred</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3"/>
        </w:trPr>
        <w:tc>
          <w:tcPr>
            <w:tcW w:w="39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compensation distributions</w:t>
            </w: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3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 expense (Note 7)</w:t>
            </w:r>
          </w:p>
        </w:tc>
        <w:tc>
          <w:tcPr>
            <w:tcW w:w="1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3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39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Repurchase of shares of Class A Common Stock</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(64,514)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3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dividends on Common Stock:</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3"/>
        </w:trPr>
        <w:tc>
          <w:tcPr>
            <w:tcW w:w="3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6"/>
        </w:trPr>
        <w:tc>
          <w:tcPr>
            <w:tcW w:w="3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Class A — $0.87 per share</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(42,736)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39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Class B — $0.85 per share</w:t>
            </w:r>
          </w:p>
        </w:tc>
        <w:tc>
          <w:tcPr>
            <w:tcW w:w="1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3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75"/>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July 31, 2020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331,762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704,456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(107,216)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(66,477)</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6185535</wp:posOffset>
            </wp:positionH>
            <wp:positionV relativeFrom="paragraph">
              <wp:posOffset>-6531610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-6531610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-6531610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-6531610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1" w:name="page32"/>
    <w:bookmarkEnd w:id="31"/>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BRADY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July 31, 2020, 2019 and 2018</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2018</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6"/>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40" w:type="dxa"/>
            <w:vAlign w:val="bottom"/>
            <w:gridSpan w:val="6"/>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4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112,369</w:t>
            </w:r>
          </w:p>
        </w:tc>
        <w:tc>
          <w:tcPr>
            <w:tcW w:w="12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131,258</w:t>
            </w:r>
          </w:p>
        </w:tc>
        <w:tc>
          <w:tcPr>
            <w:tcW w:w="10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91,060</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4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4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23,437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25,442</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4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12,092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9,980</w:t>
            </w:r>
          </w:p>
        </w:tc>
        <w:tc>
          <w:tcPr>
            <w:tcW w:w="0" w:type="dxa"/>
            <w:vAlign w:val="bottom"/>
          </w:tcPr>
          <w:p>
            <w:pPr>
              <w:spacing w:after="0"/>
              <w:rPr>
                <w:sz w:val="1"/>
                <w:szCs w:val="1"/>
                <w:color w:val="auto"/>
              </w:rPr>
            </w:pPr>
          </w:p>
        </w:tc>
      </w:tr>
      <w:tr>
        <w:trPr>
          <w:trHeight w:val="224"/>
        </w:trPr>
        <w:tc>
          <w:tcPr>
            <w:tcW w:w="74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Gain on sale of business, net</w:t>
            </w:r>
          </w:p>
        </w:tc>
        <w:tc>
          <w:tcPr>
            <w:tcW w:w="26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(4,666)</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4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33,656</w:t>
            </w:r>
          </w:p>
        </w:tc>
        <w:tc>
          <w:tcPr>
            <w:tcW w:w="0" w:type="dxa"/>
            <w:vAlign w:val="bottom"/>
          </w:tcPr>
          <w:p>
            <w:pPr>
              <w:spacing w:after="0"/>
              <w:rPr>
                <w:sz w:val="1"/>
                <w:szCs w:val="1"/>
                <w:color w:val="auto"/>
              </w:rPr>
            </w:pPr>
          </w:p>
        </w:tc>
      </w:tr>
      <w:tr>
        <w:trPr>
          <w:trHeight w:val="223"/>
        </w:trPr>
        <w:tc>
          <w:tcPr>
            <w:tcW w:w="74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Impairment charges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13,821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4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Equity in losses of unconsolidated affiliate</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4"/>
        </w:trPr>
        <w:tc>
          <w:tcPr>
            <w:tcW w:w="74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4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Changes in operating assets and liabilities (net of effects of business divestitures):</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40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Accounts receivable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13,902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(16,612)</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400" w:type="dxa"/>
            <w:vAlign w:val="bottom"/>
            <w:tcBorders>
              <w:bottom w:val="single" w:sz="8" w:color="CCEEFF"/>
            </w:tcBorders>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Inventories</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(13,917)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(7,563)</w:t>
            </w:r>
          </w:p>
        </w:tc>
        <w:tc>
          <w:tcPr>
            <w:tcW w:w="0" w:type="dxa"/>
            <w:vAlign w:val="bottom"/>
          </w:tcPr>
          <w:p>
            <w:pPr>
              <w:spacing w:after="0"/>
              <w:rPr>
                <w:sz w:val="1"/>
                <w:szCs w:val="1"/>
                <w:color w:val="auto"/>
              </w:rPr>
            </w:pPr>
          </w:p>
        </w:tc>
      </w:tr>
      <w:tr>
        <w:trPr>
          <w:trHeight w:val="224"/>
        </w:trPr>
        <w:tc>
          <w:tcPr>
            <w:tcW w:w="740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1,747</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400" w:type="dxa"/>
            <w:vAlign w:val="bottom"/>
            <w:tcBorders>
              <w:bottom w:val="single" w:sz="8" w:color="CCEEFF"/>
            </w:tcBorders>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(26,128)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(11,903)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13,106</w:t>
            </w:r>
          </w:p>
        </w:tc>
        <w:tc>
          <w:tcPr>
            <w:tcW w:w="0" w:type="dxa"/>
            <w:vAlign w:val="bottom"/>
          </w:tcPr>
          <w:p>
            <w:pPr>
              <w:spacing w:after="0"/>
              <w:rPr>
                <w:sz w:val="1"/>
                <w:szCs w:val="1"/>
                <w:color w:val="auto"/>
              </w:rPr>
            </w:pPr>
          </w:p>
        </w:tc>
      </w:tr>
      <w:tr>
        <w:trPr>
          <w:trHeight w:val="223"/>
        </w:trPr>
        <w:tc>
          <w:tcPr>
            <w:tcW w:w="740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Income taxes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(3,093)</w:t>
            </w:r>
          </w:p>
        </w:tc>
        <w:tc>
          <w:tcPr>
            <w:tcW w:w="0" w:type="dxa"/>
            <w:vAlign w:val="bottom"/>
          </w:tcPr>
          <w:p>
            <w:pPr>
              <w:spacing w:after="0"/>
              <w:rPr>
                <w:sz w:val="1"/>
                <w:szCs w:val="1"/>
                <w:color w:val="auto"/>
              </w:rPr>
            </w:pPr>
          </w:p>
        </w:tc>
      </w:tr>
      <w:tr>
        <w:trPr>
          <w:trHeight w:val="33"/>
        </w:trPr>
        <w:tc>
          <w:tcPr>
            <w:tcW w:w="7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00" w:type="dxa"/>
            <w:vAlign w:val="bottom"/>
            <w:tcBorders>
              <w:bottom w:val="single" w:sz="8" w:color="CCEEFF"/>
            </w:tcBorders>
            <w:shd w:val="clear" w:color="auto" w:fill="CCEEFF"/>
          </w:tcPr>
          <w:p>
            <w:pPr>
              <w:ind w:left="150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140,977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162,211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143,042</w:t>
            </w:r>
          </w:p>
        </w:tc>
        <w:tc>
          <w:tcPr>
            <w:tcW w:w="0" w:type="dxa"/>
            <w:vAlign w:val="bottom"/>
          </w:tcPr>
          <w:p>
            <w:pPr>
              <w:spacing w:after="0"/>
              <w:rPr>
                <w:sz w:val="1"/>
                <w:szCs w:val="1"/>
                <w:color w:val="auto"/>
              </w:rPr>
            </w:pPr>
          </w:p>
        </w:tc>
      </w:tr>
      <w:tr>
        <w:trPr>
          <w:trHeight w:val="223"/>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Investing activities: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4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(27,277)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(32,825)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(21,777)</w:t>
            </w:r>
          </w:p>
        </w:tc>
        <w:tc>
          <w:tcPr>
            <w:tcW w:w="0" w:type="dxa"/>
            <w:vAlign w:val="bottom"/>
          </w:tcPr>
          <w:p>
            <w:pPr>
              <w:spacing w:after="0"/>
              <w:rPr>
                <w:sz w:val="1"/>
                <w:szCs w:val="1"/>
                <w:color w:val="auto"/>
              </w:rPr>
            </w:pPr>
          </w:p>
        </w:tc>
      </w:tr>
      <w:tr>
        <w:trPr>
          <w:trHeight w:val="224"/>
        </w:trPr>
        <w:tc>
          <w:tcPr>
            <w:tcW w:w="74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Purchase of equity method investment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4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Sale of business, net of cash transferred with business</w:t>
            </w: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19,141</w:t>
            </w:r>
          </w:p>
        </w:tc>
        <w:tc>
          <w:tcPr>
            <w:tcW w:w="0" w:type="dxa"/>
            <w:vAlign w:val="bottom"/>
          </w:tcPr>
          <w:p>
            <w:pPr>
              <w:spacing w:after="0"/>
              <w:rPr>
                <w:sz w:val="1"/>
                <w:szCs w:val="1"/>
                <w:color w:val="auto"/>
              </w:rPr>
            </w:pPr>
          </w:p>
        </w:tc>
      </w:tr>
      <w:tr>
        <w:trPr>
          <w:trHeight w:val="223"/>
        </w:trPr>
        <w:tc>
          <w:tcPr>
            <w:tcW w:w="74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0" w:type="dxa"/>
            <w:vAlign w:val="bottom"/>
          </w:tcPr>
          <w:p>
            <w:pPr>
              <w:spacing w:after="0"/>
              <w:rPr>
                <w:sz w:val="1"/>
                <w:szCs w:val="1"/>
                <w:color w:val="auto"/>
              </w:rPr>
            </w:pPr>
          </w:p>
        </w:tc>
      </w:tr>
      <w:tr>
        <w:trPr>
          <w:trHeight w:val="33"/>
        </w:trPr>
        <w:tc>
          <w:tcPr>
            <w:tcW w:w="7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00" w:type="dxa"/>
            <w:vAlign w:val="bottom"/>
            <w:tcBorders>
              <w:bottom w:val="single" w:sz="8" w:color="CCEEFF"/>
            </w:tcBorders>
            <w:shd w:val="clear" w:color="auto" w:fill="CCEEFF"/>
          </w:tcPr>
          <w:p>
            <w:pPr>
              <w:ind w:left="150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(36,119)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(34,463)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(2,905)</w:t>
            </w:r>
          </w:p>
        </w:tc>
        <w:tc>
          <w:tcPr>
            <w:tcW w:w="0" w:type="dxa"/>
            <w:vAlign w:val="bottom"/>
          </w:tcPr>
          <w:p>
            <w:pPr>
              <w:spacing w:after="0"/>
              <w:rPr>
                <w:sz w:val="1"/>
                <w:szCs w:val="1"/>
                <w:color w:val="auto"/>
              </w:rPr>
            </w:pPr>
          </w:p>
        </w:tc>
      </w:tr>
      <w:tr>
        <w:trPr>
          <w:trHeight w:val="223"/>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Financing activities: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4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Payment of dividends</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(45,756)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(44,732)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(42,873)</w:t>
            </w:r>
          </w:p>
        </w:tc>
        <w:tc>
          <w:tcPr>
            <w:tcW w:w="0" w:type="dxa"/>
            <w:vAlign w:val="bottom"/>
          </w:tcPr>
          <w:p>
            <w:pPr>
              <w:spacing w:after="0"/>
              <w:rPr>
                <w:sz w:val="1"/>
                <w:szCs w:val="1"/>
                <w:color w:val="auto"/>
              </w:rPr>
            </w:pPr>
          </w:p>
        </w:tc>
      </w:tr>
      <w:tr>
        <w:trPr>
          <w:trHeight w:val="223"/>
        </w:trPr>
        <w:tc>
          <w:tcPr>
            <w:tcW w:w="74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12,999</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4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Payments for employee taxes withheld from stock-based awards</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(3,936)</w:t>
            </w:r>
          </w:p>
        </w:tc>
        <w:tc>
          <w:tcPr>
            <w:tcW w:w="0" w:type="dxa"/>
            <w:vAlign w:val="bottom"/>
          </w:tcPr>
          <w:p>
            <w:pPr>
              <w:spacing w:after="0"/>
              <w:rPr>
                <w:sz w:val="1"/>
                <w:szCs w:val="1"/>
                <w:color w:val="auto"/>
              </w:rPr>
            </w:pPr>
          </w:p>
        </w:tc>
      </w:tr>
      <w:tr>
        <w:trPr>
          <w:trHeight w:val="223"/>
        </w:trPr>
        <w:tc>
          <w:tcPr>
            <w:tcW w:w="74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(64,514)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(1,462)</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4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Proceeds from borrowing on credit facilities</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20,697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13,637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23,221</w:t>
            </w:r>
          </w:p>
        </w:tc>
        <w:tc>
          <w:tcPr>
            <w:tcW w:w="0" w:type="dxa"/>
            <w:vAlign w:val="bottom"/>
          </w:tcPr>
          <w:p>
            <w:pPr>
              <w:spacing w:after="0"/>
              <w:rPr>
                <w:sz w:val="1"/>
                <w:szCs w:val="1"/>
                <w:color w:val="auto"/>
              </w:rPr>
            </w:pPr>
          </w:p>
        </w:tc>
      </w:tr>
      <w:tr>
        <w:trPr>
          <w:trHeight w:val="224"/>
        </w:trPr>
        <w:tc>
          <w:tcPr>
            <w:tcW w:w="74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Repayment of borrowing on credit facilities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(21,855)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(13,568)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(78,419)</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4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Principal payments on debt</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(48,672)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4"/>
        </w:trPr>
        <w:tc>
          <w:tcPr>
            <w:tcW w:w="74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0" w:type="dxa"/>
            <w:vAlign w:val="bottom"/>
          </w:tcPr>
          <w:p>
            <w:pPr>
              <w:spacing w:after="0"/>
              <w:rPr>
                <w:sz w:val="1"/>
                <w:szCs w:val="1"/>
                <w:color w:val="auto"/>
              </w:rPr>
            </w:pPr>
          </w:p>
        </w:tc>
      </w:tr>
      <w:tr>
        <w:trPr>
          <w:trHeight w:val="33"/>
        </w:trPr>
        <w:tc>
          <w:tcPr>
            <w:tcW w:w="7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00" w:type="dxa"/>
            <w:vAlign w:val="bottom"/>
            <w:tcBorders>
              <w:bottom w:val="single" w:sz="8" w:color="CCEEFF"/>
            </w:tcBorders>
            <w:shd w:val="clear" w:color="auto" w:fill="CCEEFF"/>
          </w:tcPr>
          <w:p>
            <w:pPr>
              <w:ind w:left="150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(163,520)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(27,628)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(90,680)</w:t>
            </w:r>
          </w:p>
        </w:tc>
        <w:tc>
          <w:tcPr>
            <w:tcW w:w="0" w:type="dxa"/>
            <w:vAlign w:val="bottom"/>
          </w:tcPr>
          <w:p>
            <w:pPr>
              <w:spacing w:after="0"/>
              <w:rPr>
                <w:sz w:val="1"/>
                <w:szCs w:val="1"/>
                <w:color w:val="auto"/>
              </w:rPr>
            </w:pPr>
          </w:p>
        </w:tc>
      </w:tr>
      <w:tr>
        <w:trPr>
          <w:trHeight w:val="223"/>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(1,974)</w:t>
            </w:r>
          </w:p>
        </w:tc>
        <w:tc>
          <w:tcPr>
            <w:tcW w:w="0" w:type="dxa"/>
            <w:vAlign w:val="bottom"/>
          </w:tcPr>
          <w:p>
            <w:pPr>
              <w:spacing w:after="0"/>
              <w:rPr>
                <w:sz w:val="1"/>
                <w:szCs w:val="1"/>
                <w:color w:val="auto"/>
              </w:rPr>
            </w:pPr>
          </w:p>
        </w:tc>
      </w:tr>
      <w:tr>
        <w:trPr>
          <w:trHeight w:val="33"/>
        </w:trPr>
        <w:tc>
          <w:tcPr>
            <w:tcW w:w="7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 and cash equivalents</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(61,429)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97,645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47,483</w:t>
            </w:r>
          </w:p>
        </w:tc>
        <w:tc>
          <w:tcPr>
            <w:tcW w:w="0" w:type="dxa"/>
            <w:vAlign w:val="bottom"/>
          </w:tcPr>
          <w:p>
            <w:pPr>
              <w:spacing w:after="0"/>
              <w:rPr>
                <w:sz w:val="1"/>
                <w:szCs w:val="1"/>
                <w:color w:val="auto"/>
              </w:rPr>
            </w:pPr>
          </w:p>
        </w:tc>
      </w:tr>
      <w:tr>
        <w:trPr>
          <w:trHeight w:val="224"/>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279,072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181,427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133,944</w:t>
            </w:r>
          </w:p>
        </w:tc>
        <w:tc>
          <w:tcPr>
            <w:tcW w:w="0" w:type="dxa"/>
            <w:vAlign w:val="bottom"/>
          </w:tcPr>
          <w:p>
            <w:pPr>
              <w:spacing w:after="0"/>
              <w:rPr>
                <w:sz w:val="1"/>
                <w:szCs w:val="1"/>
                <w:color w:val="auto"/>
              </w:rPr>
            </w:pPr>
          </w:p>
        </w:tc>
      </w:tr>
      <w:tr>
        <w:trPr>
          <w:trHeight w:val="33"/>
        </w:trPr>
        <w:tc>
          <w:tcPr>
            <w:tcW w:w="7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217,643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279,072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181,427</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4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4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paid during the period for:</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4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Interest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2,401</w:t>
            </w:r>
          </w:p>
        </w:tc>
        <w:tc>
          <w:tcPr>
            <w:tcW w:w="12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2,651</w:t>
            </w:r>
          </w:p>
        </w:tc>
        <w:tc>
          <w:tcPr>
            <w:tcW w:w="10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2,976</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4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Income taxes</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29,600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24,335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33,267</w:t>
            </w:r>
          </w:p>
        </w:tc>
        <w:tc>
          <w:tcPr>
            <w:tcW w:w="0" w:type="dxa"/>
            <w:vAlign w:val="bottom"/>
          </w:tcPr>
          <w:p>
            <w:pPr>
              <w:spacing w:after="0"/>
              <w:rPr>
                <w:sz w:val="1"/>
                <w:szCs w:val="1"/>
                <w:color w:val="auto"/>
              </w:rPr>
            </w:pPr>
          </w:p>
        </w:tc>
      </w:tr>
      <w:tr>
        <w:trPr>
          <w:trHeight w:val="304"/>
        </w:trPr>
        <w:tc>
          <w:tcPr>
            <w:tcW w:w="7400" w:type="dxa"/>
            <w:vAlign w:val="bottom"/>
          </w:tcPr>
          <w:p>
            <w:pPr>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6297295</wp:posOffset>
            </wp:positionH>
            <wp:positionV relativeFrom="paragraph">
              <wp:posOffset>-7101840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-7101840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2" w:name="page33"/>
    <w:bookmarkEnd w:id="32"/>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BRADY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July 31, 2020, 2019 and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Nature of Operations — </w:t>
      </w:r>
      <w:r>
        <w:rPr>
          <w:rFonts w:ascii="Times New Roman" w:cs="Times New Roman" w:eastAsia="Times New Roman" w:hAnsi="Times New Roman"/>
          <w:sz w:val="18"/>
          <w:szCs w:val="18"/>
          <w:color w:val="auto"/>
        </w:rPr>
        <w:t>Brady Corporation is a global manufacturer and supplier of identification solutions and workplace safety products that identify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protect premises, products and people. The ability to provide customers with a broad range of proprietary, customized, and diverse products for use in various applications, along with a commitment to quality and service, a global footprint, and multiple sales channels, have made Brady a world leader in many of its markets.</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Principles of Consolidation — </w:t>
      </w:r>
      <w:r>
        <w:rPr>
          <w:rFonts w:ascii="Times New Roman" w:cs="Times New Roman" w:eastAsia="Times New Roman" w:hAnsi="Times New Roman"/>
          <w:sz w:val="18"/>
          <w:szCs w:val="18"/>
          <w:color w:val="auto"/>
        </w:rPr>
        <w:t>The accompanying consolidated financial statements include the accounts of Brady Corporation and its wholly owned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The equity method of accounting is used for investments in the associated company where the Company has significant influence and generally 20% to 50% ownership interest. All intercompany accounts and transactions between consolidated subsidiaries have been eliminated in consolidation.</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Use of Estimates — </w:t>
      </w:r>
      <w:r>
        <w:rPr>
          <w:rFonts w:ascii="Times New Roman" w:cs="Times New Roman" w:eastAsia="Times New Roman" w:hAnsi="Times New Roman"/>
          <w:sz w:val="18"/>
          <w:szCs w:val="18"/>
          <w:color w:val="auto"/>
        </w:rPr>
        <w:t>The consolidated financial statements have been prepared in accordance with accounting principles generally accepted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United States ("U.S. GAAP"), which requires management to make estimates and assumptions that affect the reported amounts of assets and liabilities and disclosure of contingent assets and liabilities as of the date of the consolidated financial statements, and the reported amounts of revenues and expenses during the reporting period. Actual results could differ from those estimates.</w:t>
      </w:r>
    </w:p>
    <w:p>
      <w:pPr>
        <w:spacing w:after="0" w:line="126"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 Equivalents — </w:t>
      </w:r>
      <w:r>
        <w:rPr>
          <w:rFonts w:ascii="Times New Roman" w:cs="Times New Roman" w:eastAsia="Times New Roman" w:hAnsi="Times New Roman"/>
          <w:sz w:val="18"/>
          <w:szCs w:val="18"/>
          <w:color w:val="auto"/>
        </w:rPr>
        <w:t>The Company considers all highly-liquid investments purchased with original maturities of three months or less to be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equivalents.</w:t>
      </w:r>
    </w:p>
    <w:p>
      <w:pPr>
        <w:spacing w:after="0" w:line="10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Concentration of Credit Risk </w:t>
      </w:r>
      <w:r>
        <w:rPr>
          <w:rFonts w:ascii="Times New Roman" w:cs="Times New Roman" w:eastAsia="Times New Roman" w:hAnsi="Times New Roman"/>
          <w:sz w:val="18"/>
          <w:szCs w:val="18"/>
          <w:color w:val="auto"/>
        </w:rPr>
        <w:t>— The Company places temporary cash investments with global financial institutions of high credit quality.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performs periodic evaluations of the relative credit standing of its financial institutions and limits the amount of credit exposure with any one financial institution. In addition, the Company has a broad customer base representing many diverse industries throughout the globe. Consequently, no significant concentration of credit risk is considered to exist.</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Accounts Receivables — </w:t>
      </w:r>
      <w:r>
        <w:rPr>
          <w:rFonts w:ascii="Times New Roman" w:cs="Times New Roman" w:eastAsia="Times New Roman" w:hAnsi="Times New Roman"/>
          <w:sz w:val="18"/>
          <w:szCs w:val="18"/>
          <w:color w:val="auto"/>
        </w:rPr>
        <w:t>Accounts receivables are stated at net realizable value. Specific customer reserves are made during review of significant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balances due, in which customer creditworthiness and current economic trends may indicate that it is probable the receivable will not be recovered. In addition, general reserves are made for the remainder of accounts receivable based on historical loss experience, the age of the delinquent receivable balances due, and economic conditions. Accounts receivables are presented net of allowances for doubtful accounts of $7,157 and $5,005 as of July 31, 2020 and 2019, respectively.</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Inventories — </w:t>
      </w:r>
      <w:r>
        <w:rPr>
          <w:rFonts w:ascii="Times New Roman" w:cs="Times New Roman" w:eastAsia="Times New Roman" w:hAnsi="Times New Roman"/>
          <w:sz w:val="18"/>
          <w:szCs w:val="18"/>
          <w:color w:val="auto"/>
        </w:rPr>
        <w:t>Inventories are stated at the lower of cost or net realizable value and include material, labor, and overhead. Cost has been determined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using the last-in, first-out (“LIFO”) method for certain inventories in the U.S. (14.7% of total inventories at July 31, 2020, and 13.4% of total inventories at July 31, 2019) and the first-in, first-out (“FIFO”) or average cost methods for other inventories. Had all inventories been accounted for on a FIFO basis instead of on a LIFO basis, the carrying value of inventories would have increased by $7,195 and $7,259 as of July 31, 2020 and 2019, respectively.</w:t>
      </w:r>
    </w:p>
    <w:p>
      <w:pPr>
        <w:spacing w:after="0" w:line="1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Inventories consist of the following as of July 31:</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33"/>
        </w:trPr>
        <w:tc>
          <w:tcPr>
            <w:tcW w:w="8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8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Finished products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85,547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77,532</w:t>
            </w:r>
          </w:p>
        </w:tc>
      </w:tr>
      <w:tr>
        <w:trPr>
          <w:trHeight w:val="223"/>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Work-in-process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24,044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20,515</w:t>
            </w:r>
          </w:p>
        </w:tc>
      </w:tr>
      <w:tr>
        <w:trPr>
          <w:trHeight w:val="33"/>
        </w:trPr>
        <w:tc>
          <w:tcPr>
            <w:tcW w:w="8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7"/>
        </w:trPr>
        <w:tc>
          <w:tcPr>
            <w:tcW w:w="8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Raw materials and supplies</w:t>
            </w: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26,071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21,990</w:t>
            </w:r>
          </w:p>
        </w:tc>
      </w:tr>
      <w:tr>
        <w:trPr>
          <w:trHeight w:val="217"/>
        </w:trPr>
        <w:tc>
          <w:tcPr>
            <w:tcW w:w="8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inventories</w:t>
            </w: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135,662</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120,037</w:t>
            </w:r>
          </w:p>
        </w:tc>
      </w:tr>
      <w:tr>
        <w:trPr>
          <w:trHeight w:val="33"/>
        </w:trPr>
        <w:tc>
          <w:tcPr>
            <w:tcW w:w="8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8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Property, Plant and Equipment — </w:t>
      </w:r>
      <w:r>
        <w:rPr>
          <w:rFonts w:ascii="Times New Roman" w:cs="Times New Roman" w:eastAsia="Times New Roman" w:hAnsi="Times New Roman"/>
          <w:sz w:val="18"/>
          <w:szCs w:val="18"/>
          <w:color w:val="auto"/>
        </w:rPr>
        <w:t>Property, plant and equipment are stated at cost, less accumulated depreciation. Depreciation is computed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a straight-line basis over the estimated useful lives of the related assets. Leasehold improvements are depreciated over the shorter of the lease term or the estimated useful life of the respective asset. The estimated useful lives range from 3 to 33 years as shown below.</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Property, plant and equipment consist of the following as of July 31:</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260" w:type="dxa"/>
            <w:vAlign w:val="bottom"/>
          </w:tcPr>
          <w:p>
            <w:pPr>
              <w:spacing w:after="0"/>
              <w:rPr>
                <w:sz w:val="18"/>
                <w:szCs w:val="18"/>
                <w:color w:val="auto"/>
              </w:rPr>
            </w:pPr>
          </w:p>
        </w:tc>
        <w:tc>
          <w:tcPr>
            <w:tcW w:w="2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Range of Useful Lives</w:t>
            </w:r>
          </w:p>
        </w:tc>
        <w:tc>
          <w:tcPr>
            <w:tcW w:w="28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33"/>
        </w:trPr>
        <w:tc>
          <w:tcPr>
            <w:tcW w:w="6260" w:type="dxa"/>
            <w:vAlign w:val="bottom"/>
            <w:tcBorders>
              <w:bottom w:val="single" w:sz="8" w:color="CCEEFF"/>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Land</w:t>
            </w:r>
          </w:p>
        </w:tc>
        <w:tc>
          <w:tcPr>
            <w:tcW w:w="2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9,752</w:t>
            </w:r>
          </w:p>
        </w:tc>
      </w:tr>
      <w:tr>
        <w:trPr>
          <w:trHeight w:val="223"/>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Buildings and improvements</w:t>
            </w:r>
          </w:p>
        </w:tc>
        <w:tc>
          <w:tcPr>
            <w:tcW w:w="2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10 to 33 Years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105,129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99,685</w:t>
            </w:r>
          </w:p>
        </w:tc>
      </w:tr>
      <w:tr>
        <w:trPr>
          <w:trHeight w:val="33"/>
        </w:trPr>
        <w:tc>
          <w:tcPr>
            <w:tcW w:w="62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Machinery and equipment</w:t>
            </w:r>
          </w:p>
        </w:tc>
        <w:tc>
          <w:tcPr>
            <w:tcW w:w="24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3 to 10 Years</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267,795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266,991</w:t>
            </w:r>
          </w:p>
        </w:tc>
      </w:tr>
      <w:tr>
        <w:trPr>
          <w:trHeight w:val="224"/>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Construction in progress</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8,432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w:t>
            </w:r>
          </w:p>
        </w:tc>
      </w:tr>
      <w:tr>
        <w:trPr>
          <w:trHeight w:val="33"/>
        </w:trPr>
        <w:tc>
          <w:tcPr>
            <w:tcW w:w="626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62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Property, plant and equipment—gross</w:t>
            </w:r>
          </w:p>
        </w:tc>
        <w:tc>
          <w:tcPr>
            <w:tcW w:w="2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391,316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383,928</w:t>
            </w:r>
          </w:p>
        </w:tc>
      </w:tr>
      <w:tr>
        <w:trPr>
          <w:trHeight w:val="223"/>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depreciation</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(276,248)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(273,880)</w:t>
            </w:r>
          </w:p>
        </w:tc>
      </w:tr>
      <w:tr>
        <w:trPr>
          <w:trHeight w:val="33"/>
        </w:trPr>
        <w:tc>
          <w:tcPr>
            <w:tcW w:w="626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75"/>
        </w:trPr>
        <w:tc>
          <w:tcPr>
            <w:tcW w:w="62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Property, plant and equipment—net</w:t>
            </w:r>
          </w:p>
        </w:tc>
        <w:tc>
          <w:tcPr>
            <w:tcW w:w="23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115,068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110,048</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Depreciation expense was $18,218, $18,023, and $19,009 for the years ended July 31, 2020, 2019 and 2018, respectively.</w:t>
      </w:r>
    </w:p>
    <w:p>
      <w:pPr>
        <w:spacing w:after="0" w:line="16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Goodwill — </w:t>
      </w:r>
      <w:r>
        <w:rPr>
          <w:rFonts w:ascii="Times New Roman" w:cs="Times New Roman" w:eastAsia="Times New Roman" w:hAnsi="Times New Roman"/>
          <w:sz w:val="18"/>
          <w:szCs w:val="18"/>
          <w:color w:val="auto"/>
        </w:rPr>
        <w:t>The Company evaluates the carrying amount of goodwill annually or more frequently if events or changes in circumstances have occurred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indicate the goodwill might be impaired. The Company completes impairment reviews for its reporting units using a fair-value method based on management's judgments and assumptions. When performing its annual impairment assessment, the Company evaluates the recoverability of goodwill assigned to each of its reporting units by comparing the estimated fair value of the respective reporting unit to the carrying value, including goodwill. The Company estimates fair value utilizing the income approach and the market approach. The income approach requires management to make a number of assumptions and estimates for each reporting unit, including projected future operating results, economic projections, anticipated future cash flows, working capital levels, income tax rates, and a weighted-average cost of capital reflecting the specific risk profile of the respective reporting unit. The market approach estimates fair value using performance multiples of comparable publically-traded companies. In the event the fair value of a reporting unit is less than the carrying value, including goodwill, an impairment loss, if any, is recognized for the difference between the implied fair value and the carrying value of the reporting unit's goodwill. The annual impairment testing performed on May 1, 2020, indicated that all reporting units with remaining goodwill had a fair value substantially in excess of its carrying value. No goodwill impairment charges were recognized during the year ended July 31, 2020.</w:t>
      </w:r>
    </w:p>
    <w:p>
      <w:pPr>
        <w:spacing w:after="0" w:line="136"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Other Intangible and Long-Lived Assets — </w:t>
      </w:r>
      <w:r>
        <w:rPr>
          <w:rFonts w:ascii="Times New Roman" w:cs="Times New Roman" w:eastAsia="Times New Roman" w:hAnsi="Times New Roman"/>
          <w:sz w:val="18"/>
          <w:szCs w:val="18"/>
          <w:color w:val="auto"/>
        </w:rPr>
        <w:t>Intangible assets with definite lives are amortized on a straight-line basis over their estimated useful lives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reflect the pattern of economic benefits consumed. Intangible assets with indefinite lives as well as goodwill are not subject to amortization. These assets are assessed for impairment on an annual basis or more frequently if events or changes in circumstances have occurred that indicate the asset may not be recoverable or that the remaining estimated useful life may warrant revision. In addition, the Company performs qualitative assessments on a quarterly basis of significant events and circumstances, such as historical and current results, assumptions regarding future performance, and strategic initiatives and overall economic factors.</w:t>
      </w:r>
    </w:p>
    <w:p>
      <w:pPr>
        <w:spacing w:after="0" w:line="13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evaluates indefinite-lived intangible assets for impairment by comparing the estimated fair value of the asset to the carrying value. Fair value is estimated using the income approach based upon current sales projections applying the relief from royalty method. If the carrying value of the indefinite-lived intangible asset exceeds its fair value, an impairment loss is recognized in an amount equal to that excess. The Company evaluates long-lived assets, including finite-lived intangible assets, operating lease assets, and property, plant, and equipment, for recoverability by comparing an estimate of undiscounted future cash flows, derived from internal forecasts, over the remaining life of the primary asset to the carrying amount of the asset group. To the extent the undiscounted future cash flows attributable to the asset are less than the carrying amount, an impairment loss is recognized for the amount by which the carrying value of the asset exceeds its fair value.</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Indicators of impairment primarily in the WPS segment consisted of a decline in sales in certain of its businesses resulting from the economic challenges presented by the COVID-19 pandemic. As a result of impairment assessments performed, impairment charges of $13,821 were recognized in connection with writing down the carrying values of certain indefinite-lived intangible assets and long-lived assets to their respective fair values during the year ended July 31, 2020. Refer to Note 3, "Other Intangible and Long-Lived Assets" for further information regarding impairment charges during fiscal 2020.</w:t>
      </w:r>
    </w:p>
    <w:p>
      <w:pPr>
        <w:spacing w:after="0" w:line="1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Leases </w:t>
      </w:r>
      <w:r>
        <w:rPr>
          <w:rFonts w:ascii="Times New Roman" w:cs="Times New Roman" w:eastAsia="Times New Roman" w:hAnsi="Times New Roman"/>
          <w:sz w:val="18"/>
          <w:szCs w:val="18"/>
          <w:color w:val="auto"/>
        </w:rPr>
        <w:t>— The Company determines whether an arrangement contains a lease at contract inception. The contract is considered to contain a lease if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provides the Company with the right to direct the use of and the right to obtain substantially all of the economic benefits from an identified asset in exchange for consideration. </w:t>
      </w:r>
      <w:r>
        <w:rPr>
          <w:rFonts w:ascii="Times New Roman" w:cs="Times New Roman" w:eastAsia="Times New Roman" w:hAnsi="Times New Roman"/>
          <w:sz w:val="18"/>
          <w:szCs w:val="18"/>
          <w:color w:val="212529"/>
        </w:rPr>
        <w:t>The Company recognizes a right-of-use ("ROU") asset and lease liability for its lease commitments with initial terms greater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than one year.</w:t>
      </w:r>
    </w:p>
    <w:p>
      <w:pPr>
        <w:spacing w:after="0" w:line="12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initial measurement of ROU assets and lease liabilities are recognized at the lease commencement date based on the present value of future lease payments over the expected lease term. The ROU asset also includes any lease payments made on or before the commencement date, initial direct costs incurred, and is reduced by any lease incentives received. Some of the</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4" w:name="page35"/>
    <w:bookmarkEnd w:id="34"/>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Company’s leases include options to extend the lease agreement, of which the exercise is at the Company’s sole discretion. The majority of renewal options are not included in the calculation of ROU assets and liabilities as they are not reasonably certain to be exercised. Some of the Company's lease agreements include rental payments that are adjusted periodically for inflation or the change in an index or rate. These variable lease payments are generally excluded from the initial measurement of the ROU asset and lease liability and are recognized in the period in which the obligation for those payments is incurred. The Company has lease agreements that include both lease and non-lease components, which the Company has elected to account for as a single lease component. The Company's lease agreements do not contain any material residual value guarantees or material restrictive covenants.</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determines the present value of future lease payments using its incremental borrowing rate, as the discount rate implicit within the Company’s leases generally cannot be readily determined. The incremental borrowing rate is estimated based on the sovereign credit rating for the countries in which the Company has its largest operations, adjusted for several factors, such as internal credit spread, lease terms, and other market information available at the lease commencement date.</w:t>
      </w:r>
    </w:p>
    <w:p>
      <w:pPr>
        <w:spacing w:after="0" w:line="12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of July 31, 2020, all leases are accounted for as operating leases, with lease expense being recognized on a straight-line basis over the lease term. Operating leases are reflected in “Operating lease assets,” “Current operating lease liabilities,” and “Long-term operating lease liabilities” in the accompanying Consolidated Balance Sheets. Operating lease expense is recognized in either cost of goods sold or selling, general, and administrative expenses in the Consolidated Statements of Income, based on the nature of the lease. ROU assets are evaluated for impairment in the same manner as long-lived assets. Impairment charges of $2,475 were recognized related to operating lease assets during the fiscal year ended July 31, 2020. Refer to Note 3, "Other Intangible and Long-Lived Assets" for additional information regarding the impairment charges recognized.</w:t>
      </w:r>
    </w:p>
    <w:p>
      <w:pPr>
        <w:spacing w:after="0" w:line="13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Revenue Recognition — </w:t>
      </w:r>
      <w:r>
        <w:rPr>
          <w:rFonts w:ascii="Times New Roman" w:cs="Times New Roman" w:eastAsia="Times New Roman" w:hAnsi="Times New Roman"/>
          <w:sz w:val="18"/>
          <w:szCs w:val="18"/>
          <w:color w:val="auto"/>
        </w:rPr>
        <w:t>The majority of the Company’s revenue relates to the sale of identification solutions and workplace safety products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The Company accounts for revenue in accordance with Accounting Standards Codification (ASC) Topic 606 "Revenue from Contracts with Customers", which was adopted on August 1, 2018 using the modified retrospective approach. Revenue is recognized when control of the product or service transfers to the customer in an amount that represents the consideration expected to be received in exchange for those products and services. The Company considers control to have transferred when legal title, physical possession, and the significant risks and rewards of ownership of the asset have transferred to the customer and the collection of the transaction price is reasonably assured, most of which occur upon shipment or delivery of goods to customers. Given the nature of the Company’s business, revenue recognition practices do not contain estimates that materially affect the results of operations, with the exception of estimated customer returns and credit memos. The Company records an allowance for estimated product returns and credit memos using the expected value method based on historical experience, which is recognized as a deduction from net sales at the time of sale. As of July 31, 2020 and 2019, the Company had a reserve for estimated product returns and credit memos of $6,295 and $5,796, respectively.</w:t>
      </w:r>
    </w:p>
    <w:p>
      <w:pPr>
        <w:spacing w:after="0" w:line="131"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Sales Incentives — </w:t>
      </w:r>
      <w:r>
        <w:rPr>
          <w:rFonts w:ascii="Times New Roman" w:cs="Times New Roman" w:eastAsia="Times New Roman" w:hAnsi="Times New Roman"/>
          <w:sz w:val="18"/>
          <w:szCs w:val="18"/>
          <w:color w:val="auto"/>
        </w:rPr>
        <w:t>The Company accounts for cash consideration (such as sales incentives, rebates, and cash discounts) given to its customers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resellers as a reduction of revenue. Sales incentives for the years ended July 31, 2020, 2019, and 2018 were $38,476, $40,811, and $40,671, respectively.</w:t>
      </w:r>
    </w:p>
    <w:p>
      <w:pPr>
        <w:spacing w:after="0" w:line="104"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Shipping and Handling Costs — </w:t>
      </w:r>
      <w:r>
        <w:rPr>
          <w:rFonts w:ascii="Times New Roman" w:cs="Times New Roman" w:eastAsia="Times New Roman" w:hAnsi="Times New Roman"/>
          <w:sz w:val="18"/>
          <w:szCs w:val="18"/>
          <w:color w:val="auto"/>
        </w:rPr>
        <w:t>Shipping and handling fees billed to a customer in a sale transaction are reported as net sales and the related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incurred for shipping and handling are reported in cost of goods sold.</w:t>
      </w:r>
    </w:p>
    <w:p>
      <w:pPr>
        <w:spacing w:after="0" w:line="104"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Advertising Costs — </w:t>
      </w:r>
      <w:r>
        <w:rPr>
          <w:rFonts w:ascii="Times New Roman" w:cs="Times New Roman" w:eastAsia="Times New Roman" w:hAnsi="Times New Roman"/>
          <w:sz w:val="18"/>
          <w:szCs w:val="18"/>
          <w:color w:val="auto"/>
        </w:rPr>
        <w:t>Advertising costs are expensed as incurred. Advertising expense for the years ended July 31, 2020, 2019, and 2018 was $63,482,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$62,454, and $67,429, respectively.</w:t>
      </w:r>
    </w:p>
    <w:p>
      <w:pPr>
        <w:spacing w:after="0" w:line="10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Stock-Based Compensation — </w:t>
      </w:r>
      <w:r>
        <w:rPr>
          <w:rFonts w:ascii="Times New Roman" w:cs="Times New Roman" w:eastAsia="Times New Roman" w:hAnsi="Times New Roman"/>
          <w:sz w:val="18"/>
          <w:szCs w:val="18"/>
          <w:color w:val="auto"/>
        </w:rPr>
        <w:t>The Company measures and recognizes the compensation expense for all share-based awards made to employees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based on estimated grant-date fair values. The Black-Scholes option valuation model is used to determine the fair value of stock option awards on the date of grant. The Company recognizes the compensation cost, net of estimated forfeitures, of all share-based awards on a straight-line basis over the vesting period of the award. If it is determined that it is unlikely the award will vest, the expense recognized to date for the award is reversed in the period in which this is evident and the remaining expense is not recorded.</w:t>
      </w:r>
    </w:p>
    <w:p>
      <w:pPr>
        <w:spacing w:after="0" w:line="13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Black-Scholes model requires the use of assumptions which determine the fair value of stock-based awards. The Company uses historical data regarding stock option exercise behaviors to estimate the expected term of options granted based on the period of time that options granted are expected to be outstanding. Expected volatilities are based on the historical volatility of the Company’s stock. The expected dividend yield is based on the Company’s historical dividend payments and historical yield. The risk-free interest rate is based on the U.S. Treasury yield curve in effect on the grant date for the length of time corresponding to the expected term of the option. The market value is calculated as the average of the high and the low stock price on the date of the grant. Refer to Note 7, “Stockholders' Equity” for more information regarding the Company’s incentive stock plans.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Research and Development — </w:t>
      </w:r>
      <w:r>
        <w:rPr>
          <w:rFonts w:ascii="Times New Roman" w:cs="Times New Roman" w:eastAsia="Times New Roman" w:hAnsi="Times New Roman"/>
          <w:sz w:val="18"/>
          <w:szCs w:val="18"/>
          <w:color w:val="auto"/>
        </w:rPr>
        <w:t>Amounts expended for research and development are expensed as incurred.</w:t>
      </w:r>
    </w:p>
    <w:p>
      <w:pPr>
        <w:spacing w:after="0" w:line="171"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Comprehensive Income — </w:t>
      </w:r>
      <w:r>
        <w:rPr>
          <w:rFonts w:ascii="Times New Roman" w:cs="Times New Roman" w:eastAsia="Times New Roman" w:hAnsi="Times New Roman"/>
          <w:sz w:val="18"/>
          <w:szCs w:val="18"/>
          <w:color w:val="auto"/>
        </w:rPr>
        <w:t>Other comprehensive income consists of net unrealized gains and losses from cash flow hedges, the unamortized gain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defined-benefit pension plans net of their related tax effects, and foreign currency translation adjustments, which includes the impact of foreign currency translations and the settlements of net investment hedges.</w:t>
      </w:r>
    </w:p>
    <w:p>
      <w:pPr>
        <w:spacing w:after="0" w:line="119"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Foreign Currency Translation — </w:t>
      </w:r>
      <w:r>
        <w:rPr>
          <w:rFonts w:ascii="Times New Roman" w:cs="Times New Roman" w:eastAsia="Times New Roman" w:hAnsi="Times New Roman"/>
          <w:sz w:val="18"/>
          <w:szCs w:val="18"/>
          <w:color w:val="auto"/>
        </w:rPr>
        <w:t>The assets and liabilities of subsidiaries whose functional currency is a currency other than the U.S. dollar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translated into United States dollars at end of period rates of exchange, and income and expense accounts are translated at the average rates of exchange for the period. Resulting foreign currency translation adjustments are included in other comprehensive income.</w:t>
      </w:r>
    </w:p>
    <w:p>
      <w:pPr>
        <w:spacing w:after="0" w:line="1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Income Taxes — </w:t>
      </w:r>
      <w:r>
        <w:rPr>
          <w:rFonts w:ascii="Times New Roman" w:cs="Times New Roman" w:eastAsia="Times New Roman" w:hAnsi="Times New Roman"/>
          <w:sz w:val="18"/>
          <w:szCs w:val="18"/>
          <w:color w:val="auto"/>
        </w:rPr>
        <w:t>The Company accounts for income taxes under the asset and liability method in accordance with ASC 740 "Income Taxes."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method, deferred income tax assets and liabilities are recognized for the expected future tax consequences attributable to differences between the financial reporting and tax basis of assets and liabilities. Deferred tax assets and liabilities are measured using the currently enacted tax laws and rates applicable to the periods in which the differences are expected to be realized or settled. Valuation allowances are established when it is estimated that it is more likely than not that the tax benefit of the deferred tax asset will not be realized. The Company recognizes the benefit of income tax positions only if those positions are more likely than not to be sustained upon examination by the tax authority. Changes in recognition or measurement are reflected in the period in which a change in judgment occurs.</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Fair Value of Financial Instruments — </w:t>
      </w:r>
      <w:r>
        <w:rPr>
          <w:rFonts w:ascii="Times New Roman" w:cs="Times New Roman" w:eastAsia="Times New Roman" w:hAnsi="Times New Roman"/>
          <w:sz w:val="18"/>
          <w:szCs w:val="18"/>
          <w:color w:val="auto"/>
        </w:rPr>
        <w:t>The Company believes that the carrying amount of its financial instruments (cash and cash equivalents,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accounts receivable, accounts payable, and other current liabilities) approximate fair value due to the short-term nature of these instruments. Refer to Note 6, "Debt" for more information regarding the fair value of long-term debt and Note 13, "Fair Value Measurements" for information regarding fair value measurements.</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Foreign Currency Hedging — </w:t>
      </w:r>
      <w:r>
        <w:rPr>
          <w:rFonts w:ascii="Times New Roman" w:cs="Times New Roman" w:eastAsia="Times New Roman" w:hAnsi="Times New Roman"/>
          <w:sz w:val="18"/>
          <w:szCs w:val="18"/>
          <w:color w:val="auto"/>
        </w:rPr>
        <w:t>The objective of the Company’s foreign currency exchange risk management is to minimize the impact of currency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movements on non-functional currency transactions and minimize the foreign currency translation impact on the Company’s foreign operations. While the Company’s risk management objectives and strategies are driven from an economic perspective, the Company attempts, where possible and practical, to ensure that the hedging strategies it engages in qualify for hedge accounting and result in accounting treatment where the earnings effect of the hedging instrument provides substantial offset (in the same period) to the income effect of the hedged item.</w:t>
      </w:r>
    </w:p>
    <w:p>
      <w:pPr>
        <w:spacing w:after="0" w:line="13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recognizes derivative instruments as either assets or liabilities in the accompanying Consolidated Balance Sheets at fair value. Gains and losses resulting from changes in fair value of the derivatives designated as hedges are recorded as a component of Accumulated Other Comprehensive Income ("AOCI") in the accompanying Consolidated Balance Sheets and in the Consolidated Statements of Comprehensive Income and are reclassified into the same income statement line item in the period or periods during which the hedged transaction affects income. Refer to Note 14, "Derivatives and Hedging Activities" for more information regarding the Company’s derivative instruments and hedging activities.</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New Accounting Standards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Adopted Standards</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February 2016, the FASB issued ASU 2016-02, "Leases (Topic 842)" ("ASC 842"), which replaced the former lease accounting standards. The update requires, among other items, lessees to recognize the assets and liabilities that arise from most leases on the balance sheet and disclose key information about leasing arrangements. In July 2018, the FASB issued ASU 2018-11 "Leases (Topic 842): Targeted Improvements," which provides, among other items, an additional transition method allowing a cumulative effect adjustment to the opening balance of retained earnings during the period of adoption.</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adopted ASU 2016-02 (and related updates) effective August 1, 2019, using the optional transition method provided in ASU 2018-11 to apply this guidance to the impacted lease population at the date of initial application. Results for reporting periods beginning after August 1, 2019, are presented under ASU 2016-02, while comparative prior period amounts have not been restated and continue to be presented under accounting standards in effect during those periods.</w:t>
      </w:r>
    </w:p>
    <w:p>
      <w:pPr>
        <w:spacing w:after="0" w:line="12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elected the package of practical expedients permitted within the new standard, which among other things, allows the Company to carryforward the historical lease accounting of expired or existing leases with respect to lease identification, lease classification and accounting treatment for initial direct costs as of the adoption date. The Company also elected the practical expedient related to lease versus nonlease components, allowing the Company to recognize lease and nonlease components as a single lease. Lastly, the Company elected the hindsight practical expedient, allowing the Company to use hindsight in determining the lease term and assessing impairment of right-of-use assets when transitioning to ASC 842. The Company has made a policy election not to capitalize leases with an initial term of 12 months or less.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Upon adoption of ASC 842, the Company recorded additional operating lease assets and liabilities of $55,984 and $58,544, respectively, as of August 1, 2019, which included operating lease assets and liabilities of $9,769 and $9,674, respectively, for leases that commenced on the adoption date of August 1, 2019. No cumulative effect adjustment to retained earnings was recognized upon adoption of the new standard. Adoption of ASC 842 did not have a material impact on the Company's cash flows or operating results. Refer to Note 4 "Leases" for additional information and required disclosures under the new standard.</w:t>
      </w:r>
    </w:p>
    <w:p>
      <w:pPr>
        <w:spacing w:after="0" w:line="1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August 2017, the Financial Accounting Standards Board ("FASB") issued ASU 2017-12, "Derivatives and Hedging (Topic 815): Targeted Improvements to Accounting for Hedging Activities," which simplifies and reduces the complexity of the hedge accounting requirements and better aligns an entity's financial reporting for hedging relationships with its risk management activities. The guidance is effective for interim periods in fiscal years beginning after December 15, 2018, with early adoption permitted. The Company adopted ASU 2017-12 effective August 1, 2019, using the required modified retrospective adoption approach to apply this guidance to existing hedging relationships as of the adoption date, which did not have a material impact on its consolidated financial statements.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Standards not yet adopted</w:t>
      </w:r>
    </w:p>
    <w:p>
      <w:pPr>
        <w:spacing w:after="0" w:line="17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June 2016, the FASB issued ASU 2016-13, "Financial Instruments - Credit Losses (Topic 326): Measurement of Credit Losses on Financial Instruments," which changes the impairment model for most financial instruments. Current guidance requires the recognition of credit losses based on an incurred loss impairment methodology that reflects losses once the losses are probable. Under ASU 2016-13, the Company will be required to use a current expected credit loss model ("CECL") that will immediately recognize an estimate of credit losses that are expected to occur over the life of the financial instruments that are in the scope of this update, including trade receivables. The CECL model uses a broader range of reasonable and supportable information in the development of credit loss estimates. This guidance becomes effective for interim periods in fiscal years beginning after December 15, 2019. The Company adopted ASU 2016-13 effective August 1, 2020, which did not have a material impact on its consolidated financial statements.</w:t>
      </w:r>
    </w:p>
    <w:p>
      <w:pPr>
        <w:spacing w:after="0" w:line="13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January 2017, the FASB issued ASU 2017-04, "Goodwill and Other, Simplifying the Test for Goodwill Impairment." The new guidance removes Step 2 of the goodwill impairment test, which requires a hypothetical purchase price allocation. A goodwill impairment will now be the amount by which a reporting unit’s carrying value exceeds its fair value, not to exceed the carrying amount of goodwill. All other goodwill impairment guidance will remain largely unchanged. This guidance is effective for annual periods beginning after December 15, 2019, and interim periods thereafter. Early adoption is permitted for any impairment tests performed after January 1, 2017. The Company adopted this guidance, effective August 1, 2020. This guidance will only impact the Company's consolidated financial statements if there is a future impairment of goodwill.</w:t>
      </w:r>
    </w:p>
    <w:p>
      <w:pPr>
        <w:spacing w:after="0" w:line="13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December 2019, the FASB issued ASU 2019-12, "Income Taxes - Simplifying the Accounting for Income Taxes (Topic 740)." The new guidance removes certain exceptions to the general principles in ASC 740 such as recognizing deferred taxes for equity investments, the incremental approach to performing intraperiod tax allocation and calculating income taxes in interim periods. The standard also simplifies accounting for income taxes under U.S. GAAP by clarifying and amending existing guidance, including the recognition of deferred taxes for goodwill, the allocation of taxes to members of a consolidated group and requiring that an entity reflect the effect of enacted changes in tax laws or rates in the annual effective tax rate computation in the interim period that includes the enactment date. This guidance is effective for annual periods beginning after December 15, 2020, and interim periods thereafter. Early adoption is permitted. The Company is currently evaluating the impact that the adoption of this ASU will have on the consolidated financial statements and related disclosures.</w:t>
      </w:r>
    </w:p>
    <w:p>
      <w:pPr>
        <w:spacing w:after="0" w:line="13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March 2020, the FASB issued ASU 2020-04, "Reference Rate Reform (Topic 848): Facilitation of the Effects of Reference Rate Reform on Financial Reporting." Subject to meeting certain criteria, the new guidance provides optional expedients and exceptions to applying contract modification accounting under existing U.S. GAAP, to address the expected phase out of the London Inter-bank Offered Rate ("LIBOR") by the end of 2021. This guidance is effective upon issuance and allows application to contract changes as early as January 1, 2020. Some of the Company's contracts with respect to its borrowing agreements already contain comparable alternative reference rates that would automatically take effect upon the phasing out of LIBOR. The Company is in the process of reviewing its bank facilities and commercial contracts that utilize LIBOR as the reference rate and is currently evaluating the potential impact that the adoption of this ASU will have on the consolidated financial statements and related disclosures.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Goodwill</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Changes in the carrying amount of goodwill by reportable segment for the years ended July 31, 2020 and 2019, were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IDS</w:t>
            </w:r>
          </w:p>
        </w:tc>
        <w:tc>
          <w:tcPr>
            <w:tcW w:w="260" w:type="dxa"/>
            <w:vAlign w:val="bottom"/>
          </w:tcPr>
          <w:p>
            <w:pPr>
              <w:spacing w:after="0"/>
              <w:rPr>
                <w:sz w:val="18"/>
                <w:szCs w:val="18"/>
                <w:color w:val="auto"/>
              </w:rPr>
            </w:pPr>
          </w:p>
        </w:tc>
        <w:tc>
          <w:tcPr>
            <w:tcW w:w="10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WPS</w:t>
            </w:r>
          </w:p>
        </w:tc>
        <w:tc>
          <w:tcPr>
            <w:tcW w:w="260" w:type="dxa"/>
            <w:vAlign w:val="bottom"/>
          </w:tcPr>
          <w:p>
            <w:pPr>
              <w:spacing w:after="0"/>
              <w:rPr>
                <w:sz w:val="18"/>
                <w:szCs w:val="18"/>
                <w:color w:val="auto"/>
              </w:rPr>
            </w:pPr>
          </w:p>
        </w:tc>
        <w:tc>
          <w:tcPr>
            <w:tcW w:w="96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33"/>
        </w:trPr>
        <w:tc>
          <w:tcPr>
            <w:tcW w:w="7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July 31, 2018</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385,524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34,291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419,815</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6"/>
                <w:szCs w:val="16"/>
                <w:color w:val="auto"/>
              </w:rPr>
              <w:t>Translation adjustments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3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(8,828)</w:t>
            </w:r>
          </w:p>
        </w:tc>
        <w:tc>
          <w:tcPr>
            <w:tcW w:w="0" w:type="dxa"/>
            <w:vAlign w:val="bottom"/>
          </w:tcPr>
          <w:p>
            <w:pPr>
              <w:spacing w:after="0"/>
              <w:rPr>
                <w:sz w:val="1"/>
                <w:szCs w:val="1"/>
                <w:color w:val="auto"/>
              </w:rPr>
            </w:pP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July 31, 2019</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379,005</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31,982</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410,987</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6"/>
                <w:szCs w:val="16"/>
                <w:color w:val="auto"/>
              </w:rPr>
              <w:t>Translation adjustments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3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5,047</w:t>
            </w:r>
          </w:p>
        </w:tc>
        <w:tc>
          <w:tcPr>
            <w:tcW w:w="0" w:type="dxa"/>
            <w:vAlign w:val="bottom"/>
          </w:tcPr>
          <w:p>
            <w:pPr>
              <w:spacing w:after="0"/>
              <w:rPr>
                <w:sz w:val="1"/>
                <w:szCs w:val="1"/>
                <w:color w:val="auto"/>
              </w:rPr>
            </w:pPr>
          </w:p>
        </w:tc>
      </w:tr>
      <w:tr>
        <w:trPr>
          <w:trHeight w:val="33"/>
        </w:trPr>
        <w:tc>
          <w:tcPr>
            <w:tcW w:w="7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July 31, 2020</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382,347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33,687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416,034</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annual impairment testing performed on May 1, 2020, in accordance with ASC 350, “Intangibles - Goodwill and Other” (“Step One”) indicated that all of the reporting units with remaining goodwill (IDS Americas &amp; Europe, PDC, and WPS Europe) passed Step One of the goodwill impairment test as each had a fair value substantially in excess of its carrying value.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Other Intangible and Long-Lived Assets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intangible assets include customer relationships and tradenames with finite lives being amortized in accordance with the accounting guidance for other intangible assets. The Company also has unamortized indefinite-lived tradenames that are classified as other intangible assets.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net book value of these assets was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7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July 31, 2020</w:t>
            </w: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July 31, 2019</w:t>
            </w: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12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12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8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20" w:type="dxa"/>
            <w:vAlign w:val="bottom"/>
          </w:tcPr>
          <w:p>
            <w:pPr>
              <w:spacing w:after="0"/>
              <w:rPr>
                <w:sz w:val="12"/>
                <w:szCs w:val="12"/>
                <w:color w:val="auto"/>
              </w:rPr>
            </w:pPr>
          </w:p>
        </w:tc>
        <w:tc>
          <w:tcPr>
            <w:tcW w:w="12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74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6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97"/>
              </w:rPr>
              <w:t>Net Book</w:t>
            </w: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12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Period</w:t>
            </w:r>
          </w:p>
        </w:tc>
        <w:tc>
          <w:tcPr>
            <w:tcW w:w="10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720" w:type="dxa"/>
            <w:vAlign w:val="bottom"/>
          </w:tcPr>
          <w:p>
            <w:pPr>
              <w:spacing w:after="0"/>
              <w:rPr>
                <w:sz w:val="16"/>
                <w:szCs w:val="16"/>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2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6"/>
                <w:szCs w:val="16"/>
                <w:color w:val="auto"/>
              </w:rPr>
            </w:pPr>
          </w:p>
        </w:tc>
        <w:tc>
          <w:tcPr>
            <w:tcW w:w="60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6"/>
                <w:szCs w:val="16"/>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0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6"/>
                <w:szCs w:val="16"/>
                <w:color w:val="auto"/>
              </w:rPr>
            </w:pPr>
          </w:p>
        </w:tc>
        <w:tc>
          <w:tcPr>
            <w:tcW w:w="66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88"/>
        </w:trPr>
        <w:tc>
          <w:tcPr>
            <w:tcW w:w="2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Amortized other intangible assets:</w:t>
            </w: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7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Customer relationships and other</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45,385</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(32,670)</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12,715</w:t>
            </w:r>
          </w:p>
        </w:tc>
        <w:tc>
          <w:tcPr>
            <w:tcW w:w="12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w w:val="85"/>
              </w:rPr>
              <w:t>9</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46,595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(29,343)</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17,252</w:t>
            </w:r>
          </w:p>
        </w:tc>
        <w:tc>
          <w:tcPr>
            <w:tcW w:w="0" w:type="dxa"/>
            <w:vAlign w:val="bottom"/>
          </w:tcPr>
          <w:p>
            <w:pPr>
              <w:spacing w:after="0"/>
              <w:rPr>
                <w:sz w:val="1"/>
                <w:szCs w:val="1"/>
                <w:color w:val="auto"/>
              </w:rPr>
            </w:pPr>
          </w:p>
        </w:tc>
      </w:tr>
      <w:tr>
        <w:trPr>
          <w:trHeight w:val="208"/>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Unamortized other intangible assets: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7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Tradenames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9,619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9,619</w:t>
            </w:r>
          </w:p>
        </w:tc>
        <w:tc>
          <w:tcPr>
            <w:tcW w:w="10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N/A</w:t>
            </w:r>
          </w:p>
        </w:tc>
        <w:tc>
          <w:tcPr>
            <w:tcW w:w="10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18,871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18,871</w:t>
            </w:r>
          </w:p>
        </w:tc>
        <w:tc>
          <w:tcPr>
            <w:tcW w:w="0" w:type="dxa"/>
            <w:vAlign w:val="bottom"/>
          </w:tcPr>
          <w:p>
            <w:pPr>
              <w:spacing w:after="0"/>
              <w:rPr>
                <w:sz w:val="1"/>
                <w:szCs w:val="1"/>
                <w:color w:val="auto"/>
              </w:rPr>
            </w:pPr>
          </w:p>
        </w:tc>
      </w:tr>
      <w:tr>
        <w:trPr>
          <w:trHeight w:val="221"/>
        </w:trPr>
        <w:tc>
          <w:tcPr>
            <w:tcW w:w="2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55,004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(32,670)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22,334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65,466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(29,343)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36,123</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change in the gross carrying amount of other intangible assets as of July 31, 2020 compared to July 31, 2019 was primarily due to $8,665 of impairment charges recognized and to a lesser extent the effect of currency translations during the fiscal year.</w:t>
      </w:r>
    </w:p>
    <w:p>
      <w:pPr>
        <w:spacing w:after="0" w:line="10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evaluates other intangible and long-lived assets for impairment on an annual basis or more frequently if events or changes in circumstances have occurred that indicate the asset may not be recoverable or that the remaining estimated useful life may warrant revision. As a result of the adverse impacts of the COVID-19 pandemic on both the global economic environment and the Company’s supply chain, operations, and customer demand, the Company performed an interim analysis during the third quarter of the fiscal year ended July 31, 2020. Indefinite-lived tradenames were valued using the income approach based upon current sales projections applying the relief from royalty method. As a result of the analysis, indefinite-lived tradenames with a carrying amount of $9,328 were written down to their estimated fair value of $663 during the fiscal year ended July 31, 2020.</w:t>
      </w:r>
    </w:p>
    <w:p>
      <w:pPr>
        <w:spacing w:after="0" w:line="13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Consistent with the circumstances leading to the intangible asset impairment, the Company performed an interim recoverability and fair value test of other long-lived assets in certain businesses within both the IDS and WPS segments. Long-lived assets were evaluated for recoverability by comparing undiscounted future cash flows derived from internal forecasts to the carrying amount of the asset. For specific long-lived assets, this analysis resulted in an amount that was less than the carrying value of the asset. The Company measured the impairment loss of long-lived assets as the amount by which the carrying value of the assets exceeded their fair value. As a result of the analysis, impairment charges of $2,681 were recognized related to property, plant and equipment, of which $2,353 and $328 related to the IDS and WPS segments, respectively. In addition, impairment charges of $2,475 were recognized related to operating lease assets, of which $2,035 and $440 related to the WPS and IDS segments, respectively.</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These items resulted in a total impairment charge of $13,821 recognized in "Impairment charges" on the Consolidated Statements of Income for the fiscal year ended July 31, 2020.</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addition to the interim impairment assessments described above, the Company performed its annual impairment test of other intangible and long-lived assets on May 1, 2020. As a result of the annual analysis, no additional impairment charges were recognized.</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Amortization expense on intangible assets during the fiscal years ended July 31, 2020, 2019, and 2018 was $5,219, $5,776, and $6,433, respectively. Amortization expense over each of the next five fiscal years is projected to be $5,384, $5,140, and $2,191 for the fiscal years ending July 31, 2021, 2022, and 2023 respectively. No amortization expense for intangible assets is projected after July 31, 2023.</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Leases</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leases certain manufacturing facilities, warehouses and office space, computer equipment, and vehicles accounted for as operating leases. Lease terms typically range from one year to fifteen years. As of July 31, 2020, the Company did not have any finance leases.</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evaluates right-of-use assets for impairment in the same manner as long-lived assets. Refer to Note 3, "Other Intangible and Long-Lived Assets" for information regarding impairment charges recognized during the fiscal year ended July 31, 2020.</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Short-term lease expense, variable lease expenses, and sublease income were immaterial to the Consolidated Statements of Income for the for the fiscal year ended July 31, 2020.</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lease expense recognized for the fiscal year ended July 31, 2020:</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860" w:type="dxa"/>
            <w:vAlign w:val="bottom"/>
          </w:tcPr>
          <w:p>
            <w:pPr>
              <w:spacing w:after="0"/>
              <w:rPr>
                <w:sz w:val="18"/>
                <w:szCs w:val="18"/>
                <w:color w:val="auto"/>
              </w:rPr>
            </w:pPr>
          </w:p>
        </w:tc>
        <w:tc>
          <w:tcPr>
            <w:tcW w:w="7200" w:type="dxa"/>
            <w:vAlign w:val="bottom"/>
            <w:gridSpan w:val="2"/>
          </w:tcPr>
          <w:p>
            <w:pPr>
              <w:ind w:left="2000"/>
              <w:spacing w:after="0"/>
              <w:rPr>
                <w:sz w:val="20"/>
                <w:szCs w:val="20"/>
                <w:color w:val="auto"/>
              </w:rPr>
            </w:pPr>
            <w:r>
              <w:rPr>
                <w:rFonts w:ascii="Times New Roman" w:cs="Times New Roman" w:eastAsia="Times New Roman" w:hAnsi="Times New Roman"/>
                <w:sz w:val="16"/>
                <w:szCs w:val="16"/>
                <w:b w:val="1"/>
                <w:bCs w:val="1"/>
                <w:color w:val="auto"/>
              </w:rPr>
              <w:t>Consolidated Statements of Income Location</w:t>
            </w:r>
          </w:p>
        </w:tc>
        <w:tc>
          <w:tcPr>
            <w:tcW w:w="500" w:type="dxa"/>
            <w:vAlign w:val="bottom"/>
          </w:tcPr>
          <w:p>
            <w:pPr>
              <w:spacing w:after="0"/>
              <w:rPr>
                <w:sz w:val="18"/>
                <w:szCs w:val="18"/>
                <w:color w:val="auto"/>
              </w:rPr>
            </w:pPr>
          </w:p>
        </w:tc>
        <w:tc>
          <w:tcPr>
            <w:tcW w:w="1680" w:type="dxa"/>
            <w:vAlign w:val="bottom"/>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33"/>
        </w:trPr>
        <w:tc>
          <w:tcPr>
            <w:tcW w:w="1860" w:type="dxa"/>
            <w:vAlign w:val="bottom"/>
            <w:tcBorders>
              <w:bottom w:val="single" w:sz="8" w:color="CCEEFF"/>
            </w:tcBorders>
          </w:tcPr>
          <w:p>
            <w:pPr>
              <w:spacing w:after="0"/>
              <w:rPr>
                <w:sz w:val="2"/>
                <w:szCs w:val="2"/>
                <w:color w:val="auto"/>
              </w:rPr>
            </w:pPr>
          </w:p>
        </w:tc>
        <w:tc>
          <w:tcPr>
            <w:tcW w:w="7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0"/>
        </w:trPr>
        <w:tc>
          <w:tcPr>
            <w:tcW w:w="1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cost</w:t>
            </w:r>
          </w:p>
        </w:tc>
        <w:tc>
          <w:tcPr>
            <w:tcW w:w="7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9,197</w:t>
            </w:r>
          </w:p>
        </w:tc>
      </w:tr>
      <w:tr>
        <w:trPr>
          <w:trHeight w:val="224"/>
        </w:trPr>
        <w:tc>
          <w:tcPr>
            <w:tcW w:w="1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cost</w:t>
            </w:r>
          </w:p>
        </w:tc>
        <w:tc>
          <w:tcPr>
            <w:tcW w:w="7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8,974</w:t>
            </w:r>
          </w:p>
        </w:tc>
      </w:tr>
    </w:tbl>
    <w:p>
      <w:pPr>
        <w:spacing w:after="0" w:line="3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Lease expense of $19,984 and $15,938 was recognized in operating expenses for the years ended July 31, 2019 and 2018, respectively.</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maturity of the Company's lease liabilities as of July 31, 2020:</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Years ended July 31,</w:t>
            </w:r>
          </w:p>
        </w:tc>
        <w:tc>
          <w:tcPr>
            <w:tcW w:w="280" w:type="dxa"/>
            <w:vAlign w:val="bottom"/>
          </w:tcPr>
          <w:p>
            <w:pPr>
              <w:spacing w:after="0"/>
              <w:rPr>
                <w:sz w:val="18"/>
                <w:szCs w:val="18"/>
                <w:color w:val="auto"/>
              </w:rPr>
            </w:pPr>
          </w:p>
        </w:tc>
        <w:tc>
          <w:tcPr>
            <w:tcW w:w="190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Operating Leases</w:t>
            </w:r>
          </w:p>
        </w:tc>
      </w:tr>
      <w:tr>
        <w:trPr>
          <w:trHeight w:val="33"/>
        </w:trPr>
        <w:tc>
          <w:tcPr>
            <w:tcW w:w="9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30"/>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2021</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16,684</w:t>
            </w:r>
          </w:p>
        </w:tc>
      </w:tr>
      <w:tr>
        <w:trPr>
          <w:trHeight w:val="223"/>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2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14,703</w:t>
            </w:r>
          </w:p>
        </w:tc>
      </w:tr>
      <w:tr>
        <w:trPr>
          <w:trHeight w:val="33"/>
        </w:trPr>
        <w:tc>
          <w:tcPr>
            <w:tcW w:w="9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36"/>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28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9,819</w:t>
            </w:r>
          </w:p>
        </w:tc>
      </w:tr>
      <w:tr>
        <w:trPr>
          <w:trHeight w:val="224"/>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2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5,677</w:t>
            </w:r>
          </w:p>
        </w:tc>
      </w:tr>
      <w:tr>
        <w:trPr>
          <w:trHeight w:val="33"/>
        </w:trPr>
        <w:tc>
          <w:tcPr>
            <w:tcW w:w="9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37"/>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28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2,413</w:t>
            </w:r>
          </w:p>
        </w:tc>
      </w:tr>
      <w:tr>
        <w:trPr>
          <w:trHeight w:val="223"/>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2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955</w:t>
            </w:r>
          </w:p>
        </w:tc>
      </w:tr>
      <w:tr>
        <w:trPr>
          <w:trHeight w:val="33"/>
        </w:trPr>
        <w:tc>
          <w:tcPr>
            <w:tcW w:w="9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30"/>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lease payments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50,251</w:t>
            </w:r>
          </w:p>
        </w:tc>
      </w:tr>
      <w:tr>
        <w:trPr>
          <w:trHeight w:val="223"/>
        </w:trPr>
        <w:tc>
          <w:tcPr>
            <w:tcW w:w="9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Less: interest</w:t>
            </w:r>
          </w:p>
        </w:tc>
        <w:tc>
          <w:tcPr>
            <w:tcW w:w="2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(2,965)</w:t>
            </w:r>
          </w:p>
        </w:tc>
      </w:tr>
      <w:tr>
        <w:trPr>
          <w:trHeight w:val="33"/>
        </w:trPr>
        <w:tc>
          <w:tcPr>
            <w:tcW w:w="9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75"/>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47,286</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weighted average remaining lease terms and discount rates for the Company's operating leases as of July 31, 2020 were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960" w:type="dxa"/>
            <w:vAlign w:val="bottom"/>
          </w:tcPr>
          <w:p>
            <w:pPr>
              <w:spacing w:after="0"/>
              <w:rPr>
                <w:sz w:val="18"/>
                <w:szCs w:val="18"/>
                <w:color w:val="auto"/>
              </w:rPr>
            </w:pPr>
          </w:p>
        </w:tc>
        <w:tc>
          <w:tcPr>
            <w:tcW w:w="228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July 31, 2020</w:t>
            </w:r>
          </w:p>
        </w:tc>
      </w:tr>
      <w:tr>
        <w:trPr>
          <w:trHeight w:val="33"/>
        </w:trPr>
        <w:tc>
          <w:tcPr>
            <w:tcW w:w="896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30"/>
        </w:trPr>
        <w:tc>
          <w:tcPr>
            <w:tcW w:w="8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remaining lease term (in years)</w:t>
            </w:r>
          </w:p>
        </w:tc>
        <w:tc>
          <w:tcPr>
            <w:tcW w:w="2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23"/>
        </w:trPr>
        <w:tc>
          <w:tcPr>
            <w:tcW w:w="8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discount rate</w:t>
            </w:r>
          </w:p>
        </w:tc>
        <w:tc>
          <w:tcPr>
            <w:tcW w:w="2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3.5 %</w:t>
            </w:r>
          </w:p>
        </w:tc>
      </w:tr>
    </w:tbl>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Supplemental cash flow information related to the Company's operating leases for the twelve months ended July 31, 2020, was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Twelve months ended</w:t>
            </w:r>
          </w:p>
        </w:tc>
      </w:tr>
      <w:tr>
        <w:trPr>
          <w:trHeight w:val="257"/>
        </w:trPr>
        <w:tc>
          <w:tcPr>
            <w:tcW w:w="9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6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July 31, 2020</w:t>
            </w:r>
          </w:p>
        </w:tc>
      </w:tr>
      <w:tr>
        <w:trPr>
          <w:trHeight w:val="33"/>
        </w:trPr>
        <w:tc>
          <w:tcPr>
            <w:tcW w:w="9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30"/>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cash outflows from operating leases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17,123</w:t>
            </w:r>
          </w:p>
        </w:tc>
      </w:tr>
      <w:tr>
        <w:trPr>
          <w:trHeight w:val="223"/>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assets obtained in exchange for new operating lease liabilities</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12,641</w:t>
            </w:r>
          </w:p>
        </w:tc>
      </w:tr>
    </w:tbl>
    <w:p>
      <w:pPr>
        <w:spacing w:after="0" w:line="35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Operating lease assets obtained in exchange for new operating lease liabilities include $9,769 of operating lease assets related to leases that commenced on August 1, 2019, which were included in the adoption impact of the new lease accounting standard.</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future minimum lease payments under operating leases as of July 31, 2019:</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Years ended July 31,</w:t>
            </w:r>
          </w:p>
        </w:tc>
        <w:tc>
          <w:tcPr>
            <w:tcW w:w="280" w:type="dxa"/>
            <w:vAlign w:val="bottom"/>
          </w:tcPr>
          <w:p>
            <w:pPr>
              <w:spacing w:after="0"/>
              <w:rPr>
                <w:sz w:val="18"/>
                <w:szCs w:val="18"/>
                <w:color w:val="auto"/>
              </w:rPr>
            </w:pPr>
          </w:p>
        </w:tc>
        <w:tc>
          <w:tcPr>
            <w:tcW w:w="190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Operating Leases</w:t>
            </w:r>
          </w:p>
        </w:tc>
      </w:tr>
      <w:tr>
        <w:trPr>
          <w:trHeight w:val="33"/>
        </w:trPr>
        <w:tc>
          <w:tcPr>
            <w:tcW w:w="9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30"/>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2020</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18,450</w:t>
            </w:r>
          </w:p>
        </w:tc>
      </w:tr>
      <w:tr>
        <w:trPr>
          <w:trHeight w:val="224"/>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2021</w:t>
            </w:r>
          </w:p>
        </w:tc>
        <w:tc>
          <w:tcPr>
            <w:tcW w:w="2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16,132</w:t>
            </w:r>
          </w:p>
        </w:tc>
      </w:tr>
      <w:tr>
        <w:trPr>
          <w:trHeight w:val="33"/>
        </w:trPr>
        <w:tc>
          <w:tcPr>
            <w:tcW w:w="9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36"/>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28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13,439</w:t>
            </w:r>
          </w:p>
        </w:tc>
      </w:tr>
      <w:tr>
        <w:trPr>
          <w:trHeight w:val="224"/>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2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10,065</w:t>
            </w:r>
          </w:p>
        </w:tc>
      </w:tr>
      <w:tr>
        <w:trPr>
          <w:trHeight w:val="33"/>
        </w:trPr>
        <w:tc>
          <w:tcPr>
            <w:tcW w:w="9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37"/>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28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5,656</w:t>
            </w:r>
          </w:p>
        </w:tc>
      </w:tr>
      <w:tr>
        <w:trPr>
          <w:trHeight w:val="224"/>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2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3,502</w:t>
            </w:r>
          </w:p>
        </w:tc>
      </w:tr>
      <w:tr>
        <w:trPr>
          <w:trHeight w:val="33"/>
        </w:trPr>
        <w:tc>
          <w:tcPr>
            <w:tcW w:w="9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75"/>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future minimum lease payments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67,244</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Employee Benefit Plans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accounting guidance on defined benefit pension and other postretirement plans requires full recognition of the funded status of defined benefit and other postretirement plans on the balance sheet as an asset or a liability. The guidance also requires that unrecognized prior service costs/credits, gains/losses, and transition obligations/assets be recorded in AOCI, thus not changing the income statement recognition rules for such plans.</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provides postretirement medical benefits (the “Plan”) for eligible regular full and part-time domestic employees (including spouses) who retired prior to January 1, 2016, as outlined by the Plan. The Plan is unfunded, and the liability, unrecognized gain, and associated income statement impact are immaterial. The liability is recorded in the accompanying Consolidated Balance Sheets as of July 31, 2020 and 2019. The unrecognized gain is reported as a component of AOCI.</w:t>
      </w:r>
    </w:p>
    <w:p>
      <w:pPr>
        <w:spacing w:after="0" w:line="12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also has two deferred compensation plans, the Executive Deferred Compensation Plan and the Director Deferred Compensation Plan which allow for compensation to be deferred into either the Company's Class A Nonvoting Common Stock or in other investment funds. Neither plan allows funds to be transferred between the Company's Class A Nonvoting Common Stock and the other investment funds. The Company also has an additional non-qualified deferred compensation plan, the Brady Restoration Plan, which allows an equivalent benefit to the Matched 401(k) Plan and the Funded Retirement Plan for executives' income exceeding the IRS limits for participation in a qualified 401(k) plan. Deferred compensation of $18,606 and $15,744 was included in "Other liabilities" in the accompanying Consolidated Balance Sheets as of July 31, 2020 and 2019, respectively.</w:t>
      </w:r>
    </w:p>
    <w:p>
      <w:pPr>
        <w:spacing w:after="0" w:line="13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has retirement and profit-sharing plans covering substantially all full-time domestic employees and certain employees of its foreign subsidiaries. Contributions to the plans are determined annually or quarterly, according to the respective plan, based on income of the respective companies and employee contributions. Accrued retirement and profit-sharing contributions of $3,577 and $3,342 were included in "Other current liabilities" on the accompanying Consolidated Balance Sheets as of July 31, 2020 and 2019, respectively. The amounts charged to expense for these retirement and profit sharing plans were $12,129, $14,158, and $14,395 during the years ended July 31, 2020, 2019 and 2018, respectively.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Debt</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May 13, 2010, the Company completed a private placement of €75.0 million aggregate principal amount of senior unsecured notes to accredited institutional investors. The €75.0 million of senior notes consisted of €30.0 million aggregate principal amount of 3.71% Series 2010-A Senior Notes, which were repaid during fiscal 2017, and €45.0 million aggregate principal amount of 4.24% Series 2010-A Senior Notes, which were repaid during fiscal 2020. The Company funded the private placement principal payments due during the year ended July 31, 2020 with cash on hand. The Company had no outstanding debt as of July 31, 2020. As of July 31, 2019, the Company's outstanding debt balance consisted of the €45.0 million aggregate principal amount of 4.24% Series 2010-A Senior Notes, which was included in "Current maturities on long-term debt" in the accompanying Consolidated Balance Sheets.</w:t>
      </w:r>
    </w:p>
    <w:p>
      <w:pPr>
        <w:spacing w:after="0" w:line="13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August 1, 2019, the Company and certain of its subsidiaries entered into an unsecured $200 million multi-currency revolving loan agreement with a group of five banks that replaced and terminated the Company’s previous loan agreement that had been entered into on September 25, 2015. Under the new revolving loan agreement, the Company has the option to select either a Eurocurrency rate loan that bears interest at the LIBOR rate plus a margin based on the Company's consolidated net leverage ratio or a base interest rate (based upon the higher of the federal funds rate plus 0.5%, the prime rate of the Bank of Montreal plus a margin based on the Company’s consolidated net leverage ratio, or the Eurocurrency base rate at the LIBOR rate plus a margin based on the Company’s consolidated net leverage ratio plus 1%). At the Company's option, and subject to certain conditions, the available amount under the revolving loan agreement may be increased from $200 million to $400 million. The maximum amount outstanding on the Company's revolving loan agreement during the fiscal year ended July 31, 2020 was $16.2 million. As of July 31, 2020, there were no borrowings outstanding on the credit facility. The Company had letters of credit outstanding under the loan agreement of $3.1 million as of July 31, 2020 and there was $196.9 million available for future borrowing, which can be increased to $396.9 million at the Company's option, subject to certain conditions. The revolving loan agreement has a final maturity date of August 1, 2024, as such, any borrowing would be classified as long-term on the accompanying Consolidated Balances Sheets.</w:t>
      </w:r>
    </w:p>
    <w:p>
      <w:pPr>
        <w:spacing w:after="0" w:line="1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revolving loan agreement requires it to maintain certain financial covenants, including a ratio of debt to the trailing twelve months EBITDA, as defined in the debt agreements, of not more than a 3.5 to 1.0 ratio (leverage ratio) and the trailing twelve months EBITDA to interest expense of not less than a 3.0 to 1.0 ratio (interest expense coverage). As of July 31, 2020, the Company was in compliance with these financial covenants.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had outstanding letters of credit of $3,116 and $3,271 at July 31, 2020 and 2019, respectively.</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estimated fair value of the Company's current maturities on long-term debt obligations at July 31, 2019 was $51,566, compared to the carrying value of $50,166, which was based on the quoted market prices for similar issues and on the current rates offered for debt of similar maturities.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Stockholders' Equity</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Information as to the Company’s capital stock at July 31, 2020 and 2019 is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July 31, 2020</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July 31, 2019</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33"/>
        </w:trPr>
        <w:tc>
          <w:tcPr>
            <w:tcW w:w="316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7"/>
        </w:trPr>
        <w:tc>
          <w:tcPr>
            <w:tcW w:w="316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tcPr>
          <w:p>
            <w:pPr>
              <w:spacing w:after="0"/>
              <w:rPr>
                <w:sz w:val="18"/>
                <w:szCs w:val="18"/>
                <w:color w:val="auto"/>
              </w:rPr>
            </w:pPr>
          </w:p>
        </w:tc>
        <w:tc>
          <w:tcPr>
            <w:tcW w:w="11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10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60" w:type="dxa"/>
            <w:vAlign w:val="bottom"/>
          </w:tcPr>
          <w:p>
            <w:pPr>
              <w:spacing w:after="0"/>
              <w:rPr>
                <w:sz w:val="18"/>
                <w:szCs w:val="18"/>
                <w:color w:val="auto"/>
              </w:rPr>
            </w:pPr>
          </w:p>
        </w:tc>
        <w:tc>
          <w:tcPr>
            <w:tcW w:w="11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(thousands)</w:t>
            </w:r>
          </w:p>
        </w:tc>
      </w:tr>
      <w:tr>
        <w:trPr>
          <w:trHeight w:val="212"/>
        </w:trPr>
        <w:tc>
          <w:tcPr>
            <w:tcW w:w="316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Authorized</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Issued</w:t>
            </w:r>
          </w:p>
        </w:tc>
        <w:tc>
          <w:tcPr>
            <w:tcW w:w="180" w:type="dxa"/>
            <w:vAlign w:val="bottom"/>
          </w:tcPr>
          <w:p>
            <w:pPr>
              <w:spacing w:after="0"/>
              <w:rPr>
                <w:sz w:val="18"/>
                <w:szCs w:val="18"/>
                <w:color w:val="auto"/>
              </w:rPr>
            </w:pPr>
          </w:p>
        </w:tc>
        <w:tc>
          <w:tcPr>
            <w:tcW w:w="110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Authorized</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Issued</w:t>
            </w:r>
          </w:p>
        </w:tc>
        <w:tc>
          <w:tcPr>
            <w:tcW w:w="160" w:type="dxa"/>
            <w:vAlign w:val="bottom"/>
          </w:tcPr>
          <w:p>
            <w:pPr>
              <w:spacing w:after="0"/>
              <w:rPr>
                <w:sz w:val="18"/>
                <w:szCs w:val="18"/>
                <w:color w:val="auto"/>
              </w:rPr>
            </w:pPr>
          </w:p>
        </w:tc>
        <w:tc>
          <w:tcPr>
            <w:tcW w:w="110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33"/>
        </w:trPr>
        <w:tc>
          <w:tcPr>
            <w:tcW w:w="31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Stock, $.01 par value</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5,000,000</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5,000,000</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16"/>
        </w:trPr>
        <w:tc>
          <w:tcPr>
            <w:tcW w:w="3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Cumulative Preferred Stock:</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0"/>
        </w:trPr>
        <w:tc>
          <w:tcPr>
            <w:tcW w:w="3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6% Cumulative</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33"/>
        </w:trPr>
        <w:tc>
          <w:tcPr>
            <w:tcW w:w="3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1972 Series</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23"/>
        </w:trPr>
        <w:tc>
          <w:tcPr>
            <w:tcW w:w="3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1979 Series</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3"/>
        </w:trPr>
        <w:tc>
          <w:tcPr>
            <w:tcW w:w="3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$.01  par  value:  Class A</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3"/>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Nonvoting</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100,000,000</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51,261,487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100,000,000</w:t>
            </w:r>
          </w:p>
        </w:tc>
        <w:tc>
          <w:tcPr>
            <w:tcW w:w="1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51,261,487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w:t>
            </w:r>
          </w:p>
        </w:tc>
      </w:tr>
      <w:tr>
        <w:trPr>
          <w:trHeight w:val="223"/>
        </w:trPr>
        <w:tc>
          <w:tcPr>
            <w:tcW w:w="3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Class B Voting</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10,000,000</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3,538,628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10,000,000</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3,538,628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33"/>
        </w:trPr>
        <w:tc>
          <w:tcPr>
            <w:tcW w:w="31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5"/>
        </w:trPr>
        <w:tc>
          <w:tcPr>
            <w:tcW w:w="3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Before any dividend may be paid on the Class B Common Stock, holders of the Class A Common Stock are entitled to receive an annual, noncumulative cash dividend of $0.01665 per share. Thereafter, any further dividend in that fiscal year must be paid on each share of Class A Common Stock and Class B Common Stock on an equal basis.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Other than as required by law, holders of the Class A Common Stock are not entitled to any vote on corporate matters, unless, in each of the three preceding fiscal years, the $0.01665 preferential dividend described above has not been paid in full. Holders of the Class A Common Stock are entitled to one vote per share for the entire fiscal year immediately following the third consecutive fiscal year in which the preferential dividend is not paid in full. Holders of Class B Common Stock are entitled to one vote per share for the election of directors and for all other purposes.</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Upon liquidation, dissolution or winding up of the Company, and after distribution of any amounts due to holders of Preferred Stock, if any, holders of the Class A Common Stock are entitled to receive the sum of $0.833 per share before any payment or distribution to holders of the Class B Common Stock. Thereafter, holders of the Class B Common Stock are entitled to receive a payment or distribution of $0.833 per share. Thereafter, holders of the Class A Common Stock and Class B Common Stock share equally in all payments or distributions upon liquidation, dissolution or winding up of the Company.</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preferences in dividends and liquidation rights of the Class A Common Stock over the Class B Common Stock will terminate at any time that the voting rights of Class A Common Stock and Class B Common Stock become equal.</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other activity in stockholders’ equity for the fiscal years ended July 31, 2020, 2019, and 2018:</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Shares Held in Rabbi</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520" w:type="dxa"/>
            <w:vAlign w:val="bottom"/>
          </w:tcPr>
          <w:p>
            <w:pPr>
              <w:spacing w:after="0"/>
              <w:rPr>
                <w:sz w:val="18"/>
                <w:szCs w:val="18"/>
                <w:color w:val="auto"/>
              </w:rPr>
            </w:pPr>
          </w:p>
        </w:tc>
        <w:tc>
          <w:tcPr>
            <w:tcW w:w="196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Deferred Compensation</w:t>
            </w:r>
          </w:p>
        </w:tc>
        <w:tc>
          <w:tcPr>
            <w:tcW w:w="140" w:type="dxa"/>
            <w:vAlign w:val="bottom"/>
          </w:tcPr>
          <w:p>
            <w:pPr>
              <w:spacing w:after="0"/>
              <w:rPr>
                <w:sz w:val="18"/>
                <w:szCs w:val="18"/>
                <w:color w:val="auto"/>
              </w:rPr>
            </w:pPr>
          </w:p>
        </w:tc>
        <w:tc>
          <w:tcPr>
            <w:tcW w:w="168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Trust, at cost</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33"/>
        </w:trPr>
        <w:tc>
          <w:tcPr>
            <w:tcW w:w="55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July 31, 2017</w:t>
            </w:r>
          </w:p>
        </w:tc>
        <w:tc>
          <w:tcPr>
            <w:tcW w:w="680" w:type="dxa"/>
            <w:vAlign w:val="bottom"/>
            <w:tcBorders>
              <w:bottom w:val="single" w:sz="8" w:color="CCEEFF"/>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(8,124)</w:t>
            </w:r>
          </w:p>
        </w:tc>
        <w:tc>
          <w:tcPr>
            <w:tcW w:w="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CCEEFF"/>
            </w:tcBorders>
            <w:shd w:val="clear" w:color="auto" w:fill="CCEEFF"/>
          </w:tcPr>
          <w:p>
            <w:pPr>
              <w:ind w:left="1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Shares at July 31, 2017</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52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314,082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314,082</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 of shares at cost</w:t>
            </w:r>
          </w:p>
        </w:tc>
        <w:tc>
          <w:tcPr>
            <w:tcW w:w="680" w:type="dxa"/>
            <w:vAlign w:val="bottom"/>
            <w:tcBorders>
              <w:bottom w:val="single" w:sz="8" w:color="CCEEFF"/>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w:t>
            </w:r>
          </w:p>
        </w:tc>
        <w:tc>
          <w:tcPr>
            <w:tcW w:w="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CCEEFF"/>
            </w:tcBorders>
            <w:shd w:val="clear" w:color="auto" w:fill="CCEEFF"/>
          </w:tcPr>
          <w:p>
            <w:pPr>
              <w:ind w:left="1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shares at cost</w:t>
            </w:r>
          </w:p>
        </w:tc>
        <w:tc>
          <w:tcPr>
            <w:tcW w:w="6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ind w:left="1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55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July 31, 2018</w:t>
            </w:r>
          </w:p>
        </w:tc>
        <w:tc>
          <w:tcPr>
            <w:tcW w:w="680" w:type="dxa"/>
            <w:vAlign w:val="bottom"/>
            <w:tcBorders>
              <w:bottom w:val="single" w:sz="8" w:color="CCEEFF"/>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(8,222)</w:t>
            </w:r>
          </w:p>
        </w:tc>
        <w:tc>
          <w:tcPr>
            <w:tcW w:w="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CCEEFF"/>
            </w:tcBorders>
            <w:shd w:val="clear" w:color="auto" w:fill="CCEEFF"/>
          </w:tcPr>
          <w:p>
            <w:pPr>
              <w:ind w:left="1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Shares at July 31, 2018</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52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299,916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299,916</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 of shares at cost</w:t>
            </w:r>
          </w:p>
        </w:tc>
        <w:tc>
          <w:tcPr>
            <w:tcW w:w="680" w:type="dxa"/>
            <w:vAlign w:val="bottom"/>
            <w:tcBorders>
              <w:bottom w:val="single" w:sz="8" w:color="CCEEFF"/>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w:t>
            </w:r>
          </w:p>
        </w:tc>
        <w:tc>
          <w:tcPr>
            <w:tcW w:w="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CCEEFF"/>
            </w:tcBorders>
            <w:shd w:val="clear" w:color="auto" w:fill="CCEEFF"/>
          </w:tcPr>
          <w:p>
            <w:pPr>
              <w:ind w:left="1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shares at cost</w:t>
            </w:r>
          </w:p>
        </w:tc>
        <w:tc>
          <w:tcPr>
            <w:tcW w:w="6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ind w:left="1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55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July 31, 2019</w:t>
            </w:r>
          </w:p>
        </w:tc>
        <w:tc>
          <w:tcPr>
            <w:tcW w:w="680" w:type="dxa"/>
            <w:vAlign w:val="bottom"/>
            <w:tcBorders>
              <w:bottom w:val="single" w:sz="8" w:color="CCEEFF"/>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(8,506)</w:t>
            </w:r>
          </w:p>
        </w:tc>
        <w:tc>
          <w:tcPr>
            <w:tcW w:w="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CCEEFF"/>
            </w:tcBorders>
            <w:shd w:val="clear" w:color="auto" w:fill="CCEEFF"/>
          </w:tcPr>
          <w:p>
            <w:pPr>
              <w:ind w:left="1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Shares at July 31, 2019</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52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285,533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285,533</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 of shares at cost</w:t>
            </w:r>
          </w:p>
        </w:tc>
        <w:tc>
          <w:tcPr>
            <w:tcW w:w="680" w:type="dxa"/>
            <w:vAlign w:val="bottom"/>
            <w:tcBorders>
              <w:bottom w:val="single" w:sz="8" w:color="CCEEFF"/>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CCEEFF"/>
            </w:tcBorders>
            <w:shd w:val="clear" w:color="auto" w:fill="CCEEFF"/>
          </w:tcPr>
          <w:p>
            <w:pPr>
              <w:ind w:left="1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4"/>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shares at cost</w:t>
            </w:r>
          </w:p>
        </w:tc>
        <w:tc>
          <w:tcPr>
            <w:tcW w:w="6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ind w:left="1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55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July 31, 2020</w:t>
            </w:r>
          </w:p>
        </w:tc>
        <w:tc>
          <w:tcPr>
            <w:tcW w:w="680" w:type="dxa"/>
            <w:vAlign w:val="bottom"/>
            <w:tcBorders>
              <w:bottom w:val="single" w:sz="8" w:color="CCEEFF"/>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(9,339)</w:t>
            </w:r>
          </w:p>
        </w:tc>
        <w:tc>
          <w:tcPr>
            <w:tcW w:w="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CCEEFF"/>
            </w:tcBorders>
            <w:shd w:val="clear" w:color="auto" w:fill="CCEEFF"/>
          </w:tcPr>
          <w:p>
            <w:pPr>
              <w:ind w:left="1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Shares at July 31, 2020</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52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292,329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292,329</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Deferred Compensation Plans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two deferred compensation plans, the Executive Deferred Compensation Plan and the Director Deferred Compensation Plan that allow for compensation to be deferred into either the Company's Class A Nonvoting Common Stock or into other investment funds. Neither plan allows funds to be transferred between the Company's Class A Nonvoting Common Stock and the other investment funds.</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July 31, 2020, the deferred compensation balance in stockholders’ equity represents the investment at the original cost of shares held in the Company’s Class A Nonvoting Common Stock for the deferred compensation plans. The balance of shares held in the Rabbi Trust represents the investment in the Company’s Class A Nonvoting Common Stock at the original cost of all the Company’s Class A Nonvoting Common Stock held in deferred compensation plans.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Incentive Stock Plans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an incentive stock plan under which the Board of Directors may grant nonqualified stock options to purchase shares of Class A Nonvoting Common Stock, restricted stock units ("RSUs"), or restricted and unrestricted shares of Class A Nonvoting Common Stock to employees and non-employee directors. Certain awards may be subject to pre-established performance goals.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July 31, 2020, the Company has reserved 1,554,402 shares of Class A Nonvoting Common Stock for outstanding stock options and RSUs and 3,348,834 shares of Class A Nonvoting Common Stock remain for future issuance of stock options, RSUs and restricted and unrestricted shares under the active plans. The Company uses treasury stock or will issue new Class A Nonvoting Common Stock to deliver shares under these plans.</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Total stock-based compensation expense recognized by the Company during the years ended July 31, 2020, 2019, and 2018, was $8,843 ($8,048 net of taxes), $12,092 ($10,628 net of taxes), and $9,980 ($7,485 net of taxes), respectively. As of July 31, 2020, total unrecognized compensation cost related to share-based compensation awards that are expected to vest was $9,334 pre-tax, net of estimated forfeitures, which the Company expects to recognize over a weighted-average period of 1.8 years.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stock options issued under the plan have an exercise price equal to the fair market value of the underlying stock at the date of grant and generally vest ratably over a three-year period, with one-third becoming exercisable one year after the grant date and one-third additional in each of the succeeding two years. Options issued under the plan, referred to herein as “time-based” options, generally expire 10 years from the date of grant.</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estimated the fair value of its time-based stock option awards granted during the fiscal years ended July 31, 2020, 2019, and 2018, using the Black-Scholes option valuation model. The weighted-average assumptions used in the Black-Scholes valuation model are reflected in the following table: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Black-Scholes Option Valuation Assumptions</w:t>
            </w:r>
          </w:p>
        </w:tc>
        <w:tc>
          <w:tcPr>
            <w:tcW w:w="280" w:type="dxa"/>
            <w:vAlign w:val="bottom"/>
          </w:tcPr>
          <w:p>
            <w:pPr>
              <w:spacing w:after="0"/>
              <w:rPr>
                <w:sz w:val="18"/>
                <w:szCs w:val="18"/>
                <w:color w:val="auto"/>
              </w:rPr>
            </w:pPr>
          </w:p>
        </w:tc>
        <w:tc>
          <w:tcPr>
            <w:tcW w:w="7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80" w:type="dxa"/>
            <w:vAlign w:val="bottom"/>
          </w:tcPr>
          <w:p>
            <w:pPr>
              <w:spacing w:after="0"/>
              <w:rPr>
                <w:sz w:val="18"/>
                <w:szCs w:val="18"/>
                <w:color w:val="auto"/>
              </w:rPr>
            </w:pPr>
          </w:p>
        </w:tc>
      </w:tr>
      <w:tr>
        <w:trPr>
          <w:trHeight w:val="33"/>
        </w:trPr>
        <w:tc>
          <w:tcPr>
            <w:tcW w:w="7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r>
      <w:tr>
        <w:trPr>
          <w:trHeight w:val="230"/>
        </w:trPr>
        <w:tc>
          <w:tcPr>
            <w:tcW w:w="7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term (in years)</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w:t>
            </w:r>
          </w:p>
        </w:tc>
      </w:tr>
      <w:tr>
        <w:trPr>
          <w:trHeight w:val="223"/>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Expected volatility</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26.07</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26.05</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28.19</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6"/>
        </w:trPr>
        <w:tc>
          <w:tcPr>
            <w:tcW w:w="7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dividend yield</w:t>
            </w:r>
          </w:p>
        </w:tc>
        <w:tc>
          <w:tcPr>
            <w:tcW w:w="2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4"/>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7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market value of underlying stock at grant date</w:t>
            </w:r>
          </w:p>
        </w:tc>
        <w:tc>
          <w:tcPr>
            <w:tcW w:w="2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54.05</w:t>
            </w:r>
          </w:p>
        </w:tc>
        <w:tc>
          <w:tcPr>
            <w:tcW w:w="5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43.96</w:t>
            </w:r>
          </w:p>
        </w:tc>
        <w:tc>
          <w:tcPr>
            <w:tcW w:w="5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36.85</w:t>
            </w:r>
          </w:p>
        </w:tc>
        <w:tc>
          <w:tcPr>
            <w:tcW w:w="180" w:type="dxa"/>
            <w:vAlign w:val="bottom"/>
            <w:tcBorders>
              <w:bottom w:val="single" w:sz="8" w:color="CCEEFF"/>
            </w:tcBorders>
            <w:shd w:val="clear" w:color="auto" w:fill="CCEEFF"/>
          </w:tcPr>
          <w:p>
            <w:pPr>
              <w:spacing w:after="0"/>
              <w:rPr>
                <w:sz w:val="20"/>
                <w:szCs w:val="20"/>
                <w:color w:val="auto"/>
              </w:rPr>
            </w:pPr>
          </w:p>
        </w:tc>
      </w:tr>
      <w:tr>
        <w:trPr>
          <w:trHeight w:val="223"/>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Weighted-average exercise price</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54.05</w:t>
            </w:r>
          </w:p>
        </w:tc>
        <w:tc>
          <w:tcPr>
            <w:tcW w:w="5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43.96</w:t>
            </w:r>
          </w:p>
        </w:tc>
        <w:tc>
          <w:tcPr>
            <w:tcW w:w="5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36.85</w:t>
            </w:r>
          </w:p>
        </w:tc>
        <w:tc>
          <w:tcPr>
            <w:tcW w:w="180" w:type="dxa"/>
            <w:vAlign w:val="bottom"/>
          </w:tcPr>
          <w:p>
            <w:pPr>
              <w:spacing w:after="0"/>
              <w:rPr>
                <w:sz w:val="19"/>
                <w:szCs w:val="19"/>
                <w:color w:val="auto"/>
              </w:rPr>
            </w:pPr>
          </w:p>
        </w:tc>
      </w:tr>
      <w:tr>
        <w:trPr>
          <w:trHeight w:val="33"/>
        </w:trPr>
        <w:tc>
          <w:tcPr>
            <w:tcW w:w="7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23"/>
        </w:trPr>
        <w:tc>
          <w:tcPr>
            <w:tcW w:w="7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fair value of options granted during the period</w:t>
            </w: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w:t>
            </w:r>
          </w:p>
        </w:tc>
        <w:tc>
          <w:tcPr>
            <w:tcW w:w="5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w:t>
            </w:r>
          </w:p>
        </w:tc>
        <w:tc>
          <w:tcPr>
            <w:tcW w:w="5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w:t>
            </w:r>
          </w:p>
        </w:tc>
        <w:tc>
          <w:tcPr>
            <w:tcW w:w="180" w:type="dxa"/>
            <w:vAlign w:val="bottom"/>
            <w:shd w:val="clear" w:color="auto" w:fill="CCEEFF"/>
          </w:tcPr>
          <w:p>
            <w:pPr>
              <w:spacing w:after="0"/>
              <w:rPr>
                <w:sz w:val="19"/>
                <w:szCs w:val="19"/>
                <w:color w:val="auto"/>
              </w:rPr>
            </w:pPr>
          </w:p>
        </w:tc>
      </w:tr>
      <w:tr>
        <w:trPr>
          <w:trHeight w:val="33"/>
        </w:trPr>
        <w:tc>
          <w:tcPr>
            <w:tcW w:w="7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stock option activity for the fiscal year ended July 31, 2020:</w:t>
      </w:r>
    </w:p>
    <w:p>
      <w:pPr>
        <w:spacing w:after="0" w:line="200" w:lineRule="exact"/>
        <w:rPr>
          <w:sz w:val="20"/>
          <w:szCs w:val="20"/>
          <w:color w:val="auto"/>
        </w:rPr>
      </w:pP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5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Time-Based Options</w:t>
            </w:r>
          </w:p>
        </w:tc>
        <w:tc>
          <w:tcPr>
            <w:tcW w:w="200" w:type="dxa"/>
            <w:vAlign w:val="bottom"/>
          </w:tcPr>
          <w:p>
            <w:pPr>
              <w:spacing w:after="0"/>
              <w:rPr>
                <w:sz w:val="18"/>
                <w:szCs w:val="18"/>
                <w:color w:val="auto"/>
              </w:rPr>
            </w:pPr>
          </w:p>
        </w:tc>
        <w:tc>
          <w:tcPr>
            <w:tcW w:w="1620" w:type="dxa"/>
            <w:vAlign w:val="bottom"/>
            <w:gridSpan w:val="3"/>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Option Price</w:t>
            </w:r>
          </w:p>
        </w:tc>
        <w:tc>
          <w:tcPr>
            <w:tcW w:w="0" w:type="dxa"/>
            <w:vAlign w:val="bottom"/>
          </w:tcPr>
          <w:p>
            <w:pPr>
              <w:spacing w:after="0"/>
              <w:rPr>
                <w:sz w:val="1"/>
                <w:szCs w:val="1"/>
                <w:color w:val="auto"/>
              </w:rPr>
            </w:pPr>
          </w:p>
        </w:tc>
      </w:tr>
      <w:tr>
        <w:trPr>
          <w:trHeight w:val="33"/>
        </w:trPr>
        <w:tc>
          <w:tcPr>
            <w:tcW w:w="51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Balance as of July 31, 2019</w:t>
            </w: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00" w:type="dxa"/>
            <w:vAlign w:val="bottom"/>
            <w:vMerge w:val="continue"/>
          </w:tcPr>
          <w:p>
            <w:pPr>
              <w:spacing w:after="0"/>
              <w:rPr>
                <w:sz w:val="21"/>
                <w:szCs w:val="21"/>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19.96</w:t>
            </w:r>
          </w:p>
        </w:tc>
        <w:tc>
          <w:tcPr>
            <w:tcW w:w="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$43.98</w:t>
            </w:r>
          </w:p>
        </w:tc>
        <w:tc>
          <w:tcPr>
            <w:tcW w:w="0" w:type="dxa"/>
            <w:vAlign w:val="bottom"/>
          </w:tcPr>
          <w:p>
            <w:pPr>
              <w:spacing w:after="0"/>
              <w:rPr>
                <w:sz w:val="1"/>
                <w:szCs w:val="1"/>
                <w:color w:val="auto"/>
              </w:rPr>
            </w:pPr>
          </w:p>
        </w:tc>
      </w:tr>
      <w:tr>
        <w:trPr>
          <w:trHeight w:val="283"/>
        </w:trPr>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New grants</w:t>
            </w: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54.05</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Exercised</w:t>
            </w:r>
          </w:p>
        </w:tc>
        <w:tc>
          <w:tcPr>
            <w:tcW w:w="2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19.96</w:t>
            </w:r>
          </w:p>
        </w:tc>
        <w:tc>
          <w:tcPr>
            <w:tcW w:w="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43.98</w:t>
            </w:r>
          </w:p>
        </w:tc>
        <w:tc>
          <w:tcPr>
            <w:tcW w:w="0" w:type="dxa"/>
            <w:vAlign w:val="bottom"/>
          </w:tcPr>
          <w:p>
            <w:pPr>
              <w:spacing w:after="0"/>
              <w:rPr>
                <w:sz w:val="1"/>
                <w:szCs w:val="1"/>
                <w:color w:val="auto"/>
              </w:rPr>
            </w:pPr>
          </w:p>
        </w:tc>
      </w:tr>
      <w:tr>
        <w:trPr>
          <w:trHeight w:val="257"/>
        </w:trPr>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Forfeited</w:t>
            </w:r>
          </w:p>
        </w:tc>
        <w:tc>
          <w:tcPr>
            <w:tcW w:w="2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22.66</w:t>
            </w:r>
          </w:p>
        </w:tc>
        <w:tc>
          <w:tcPr>
            <w:tcW w:w="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54.05</w:t>
            </w:r>
          </w:p>
        </w:tc>
        <w:tc>
          <w:tcPr>
            <w:tcW w:w="0" w:type="dxa"/>
            <w:vAlign w:val="bottom"/>
          </w:tcPr>
          <w:p>
            <w:pPr>
              <w:spacing w:after="0"/>
              <w:rPr>
                <w:sz w:val="1"/>
                <w:szCs w:val="1"/>
                <w:color w:val="auto"/>
              </w:rPr>
            </w:pPr>
          </w:p>
        </w:tc>
      </w:tr>
      <w:tr>
        <w:trPr>
          <w:trHeight w:val="297"/>
        </w:trPr>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Balance as of July 31, 2020</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19.96</w:t>
            </w:r>
          </w:p>
        </w:tc>
        <w:tc>
          <w:tcPr>
            <w:tcW w:w="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$54.05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-861695</wp:posOffset>
            </wp:positionV>
            <wp:extent cx="7098030" cy="1885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9803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-492760</wp:posOffset>
            </wp:positionV>
            <wp:extent cx="7098030" cy="1631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9803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-167005</wp:posOffset>
            </wp:positionV>
            <wp:extent cx="7098030" cy="1885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9803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Weighted Average Exercise</w:t>
            </w:r>
          </w:p>
        </w:tc>
      </w:tr>
      <w:tr>
        <w:trPr>
          <w:trHeight w:val="212"/>
        </w:trPr>
        <w:tc>
          <w:tcPr>
            <w:tcW w:w="20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Options Outstanding</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Price</w:t>
            </w:r>
          </w:p>
        </w:tc>
      </w:tr>
      <w:tr>
        <w:trPr>
          <w:trHeight w:val="33"/>
        </w:trPr>
        <w:tc>
          <w:tcPr>
            <w:tcW w:w="2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7"/>
        </w:trPr>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1,594,716</w:t>
            </w:r>
          </w:p>
        </w:tc>
        <w:tc>
          <w:tcPr>
            <w:tcW w:w="560" w:type="dxa"/>
            <w:vAlign w:val="bottom"/>
            <w:gridSpan w:val="2"/>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31.63</w:t>
            </w:r>
          </w:p>
        </w:tc>
      </w:tr>
      <w:tr>
        <w:trPr>
          <w:trHeight w:val="23"/>
        </w:trPr>
        <w:tc>
          <w:tcPr>
            <w:tcW w:w="2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17"/>
        </w:trPr>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247,297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54.05</w:t>
            </w:r>
          </w:p>
        </w:tc>
      </w:tr>
      <w:tr>
        <w:trPr>
          <w:trHeight w:val="256"/>
        </w:trPr>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(556,143)</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27.21</w:t>
            </w:r>
          </w:p>
        </w:tc>
      </w:tr>
      <w:tr>
        <w:trPr>
          <w:trHeight w:val="257"/>
        </w:trPr>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(12,488)</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39.59</w:t>
            </w:r>
          </w:p>
        </w:tc>
      </w:tr>
      <w:tr>
        <w:trPr>
          <w:trHeight w:val="33"/>
        </w:trPr>
        <w:tc>
          <w:tcPr>
            <w:tcW w:w="2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7"/>
        </w:trPr>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1,273,382</w:t>
            </w:r>
          </w:p>
        </w:tc>
        <w:tc>
          <w:tcPr>
            <w:tcW w:w="560" w:type="dxa"/>
            <w:vAlign w:val="bottom"/>
            <w:gridSpan w:val="2"/>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37.84</w:t>
            </w:r>
          </w:p>
        </w:tc>
      </w:tr>
      <w:tr>
        <w:trPr>
          <w:trHeight w:val="24"/>
        </w:trPr>
        <w:tc>
          <w:tcPr>
            <w:tcW w:w="2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60" w:type="dxa"/>
            <w:vAlign w:val="bottom"/>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6940" w:space="100"/>
            <w:col w:w="4200"/>
          </w:cols>
          <w:pgMar w:left="320" w:top="118" w:right="339" w:bottom="1440" w:gutter="0" w:footer="0" w:header="0"/>
          <w:type w:val="continuous"/>
        </w:sectPr>
      </w:pPr>
    </w:p>
    <w:p>
      <w:pPr>
        <w:spacing w:after="0" w:line="10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total fair value of options vested during the fiscal years ended July 31, 2020, 2019, and 2018, was $2,800, $2,864, and $3,006, respectively. The total intrinsic value of options exercised during the fiscal years ended July 31, 2020, 2019, and 2018, was $14,692, $20,969, and $6,208, respectively.</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There were 776,273, 1,025,811, and 1,722,229 options exercisable with a weighted average exercise price of $31.50, $27.06, and $26.82 at July 31, 2020, 2019, and 2018, respectively. The cash received from the exercise of stock options during the fiscal years ended July 31, 2020, 2019, and 2018, was $5,511, $23,466, and $12,099, respectively. The tax benefit on options exercised during the fiscal years ended July 31, 2020, 2019, and 2018, was $3,673, $5,242, and $1,893, respectively.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3" w:name="page44"/>
    <w:bookmarkEnd w:id="43"/>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options outstanding at July 31, 2020:</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76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 Outstanding and Exercisable</w:t>
            </w:r>
          </w:p>
        </w:tc>
        <w:tc>
          <w:tcPr>
            <w:tcW w:w="0" w:type="dxa"/>
            <w:vAlign w:val="bottom"/>
          </w:tcPr>
          <w:p>
            <w:pPr>
              <w:spacing w:after="0"/>
              <w:rPr>
                <w:sz w:val="1"/>
                <w:szCs w:val="1"/>
                <w:color w:val="auto"/>
              </w:rPr>
            </w:pPr>
          </w:p>
        </w:tc>
      </w:tr>
      <w:tr>
        <w:trPr>
          <w:trHeight w:val="149"/>
        </w:trPr>
        <w:tc>
          <w:tcPr>
            <w:tcW w:w="2760" w:type="dxa"/>
            <w:vAlign w:val="bottom"/>
          </w:tcPr>
          <w:p>
            <w:pPr>
              <w:spacing w:after="0"/>
              <w:rPr>
                <w:sz w:val="12"/>
                <w:szCs w:val="12"/>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4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Shares Exercisable</w:t>
            </w:r>
          </w:p>
        </w:tc>
        <w:tc>
          <w:tcPr>
            <w:tcW w:w="120" w:type="dxa"/>
            <w:vAlign w:val="bottom"/>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320" w:type="dxa"/>
            <w:vAlign w:val="bottom"/>
            <w:gridSpan w:val="2"/>
            <w:vMerge w:val="restart"/>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2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Range of Exercise Prices</w:t>
            </w: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at</w:t>
            </w:r>
          </w:p>
        </w:tc>
        <w:tc>
          <w:tcPr>
            <w:tcW w:w="100" w:type="dxa"/>
            <w:vAlign w:val="bottom"/>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 (in</w:t>
            </w:r>
          </w:p>
        </w:tc>
        <w:tc>
          <w:tcPr>
            <w:tcW w:w="1400" w:type="dxa"/>
            <w:vAlign w:val="bottom"/>
            <w:gridSpan w:val="3"/>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 (in</w:t>
            </w: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760" w:type="dxa"/>
            <w:vAlign w:val="bottom"/>
            <w:tcBorders>
              <w:bottom w:val="single" w:sz="8" w:color="CCEEFF"/>
            </w:tcBorders>
            <w:vMerge w:val="continue"/>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July 31, 2020</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at July 31, 2020</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35"/>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$19.96 - $29.99</w:t>
            </w:r>
          </w:p>
        </w:tc>
        <w:tc>
          <w:tcPr>
            <w:tcW w:w="13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265,600</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22.07</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265,600</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22.07</w:t>
            </w:r>
          </w:p>
        </w:tc>
        <w:tc>
          <w:tcPr>
            <w:tcW w:w="0" w:type="dxa"/>
            <w:vAlign w:val="bottom"/>
          </w:tcPr>
          <w:p>
            <w:pPr>
              <w:spacing w:after="0"/>
              <w:rPr>
                <w:sz w:val="1"/>
                <w:szCs w:val="1"/>
                <w:color w:val="auto"/>
              </w:rPr>
            </w:pPr>
          </w:p>
        </w:tc>
      </w:tr>
      <w:tr>
        <w:trPr>
          <w:trHeight w:val="223"/>
        </w:trPr>
        <w:tc>
          <w:tcPr>
            <w:tcW w:w="2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$30.00 - $39.99</w:t>
            </w: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519,870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35.36</w:t>
            </w:r>
          </w:p>
        </w:tc>
        <w:tc>
          <w:tcPr>
            <w:tcW w:w="100" w:type="dxa"/>
            <w:vAlign w:val="bottom"/>
          </w:tcPr>
          <w:p>
            <w:pPr>
              <w:spacing w:after="0"/>
              <w:rPr>
                <w:sz w:val="19"/>
                <w:szCs w:val="19"/>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433,576</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35.07</w:t>
            </w:r>
          </w:p>
        </w:tc>
        <w:tc>
          <w:tcPr>
            <w:tcW w:w="0" w:type="dxa"/>
            <w:vAlign w:val="bottom"/>
          </w:tcPr>
          <w:p>
            <w:pPr>
              <w:spacing w:after="0"/>
              <w:rPr>
                <w:sz w:val="1"/>
                <w:szCs w:val="1"/>
                <w:color w:val="auto"/>
              </w:rPr>
            </w:pPr>
          </w:p>
        </w:tc>
      </w:tr>
      <w:tr>
        <w:trPr>
          <w:trHeight w:val="33"/>
        </w:trPr>
        <w:tc>
          <w:tcPr>
            <w:tcW w:w="2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$40.00 - $54.05</w:t>
            </w:r>
          </w:p>
        </w:tc>
        <w:tc>
          <w:tcPr>
            <w:tcW w:w="13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487,912</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49.06</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77,097</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43.96</w:t>
            </w:r>
          </w:p>
        </w:tc>
        <w:tc>
          <w:tcPr>
            <w:tcW w:w="0" w:type="dxa"/>
            <w:vAlign w:val="bottom"/>
          </w:tcPr>
          <w:p>
            <w:pPr>
              <w:spacing w:after="0"/>
              <w:rPr>
                <w:sz w:val="1"/>
                <w:szCs w:val="1"/>
                <w:color w:val="auto"/>
              </w:rPr>
            </w:pPr>
          </w:p>
        </w:tc>
      </w:tr>
      <w:tr>
        <w:trPr>
          <w:trHeight w:val="247"/>
        </w:trPr>
        <w:tc>
          <w:tcPr>
            <w:tcW w:w="27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13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1,273,382</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37.84</w:t>
            </w:r>
          </w:p>
        </w:tc>
        <w:tc>
          <w:tcPr>
            <w:tcW w:w="100" w:type="dxa"/>
            <w:vAlign w:val="bottom"/>
          </w:tcPr>
          <w:p>
            <w:pPr>
              <w:spacing w:after="0"/>
              <w:rPr>
                <w:sz w:val="21"/>
                <w:szCs w:val="21"/>
                <w:color w:val="auto"/>
              </w:rPr>
            </w:pPr>
          </w:p>
        </w:tc>
        <w:tc>
          <w:tcPr>
            <w:tcW w:w="13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776,273</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31.50</w:t>
            </w:r>
          </w:p>
        </w:tc>
        <w:tc>
          <w:tcPr>
            <w:tcW w:w="0" w:type="dxa"/>
            <w:vAlign w:val="bottom"/>
          </w:tcPr>
          <w:p>
            <w:pPr>
              <w:spacing w:after="0"/>
              <w:rPr>
                <w:sz w:val="1"/>
                <w:szCs w:val="1"/>
                <w:color w:val="auto"/>
              </w:rPr>
            </w:pPr>
          </w:p>
        </w:tc>
      </w:tr>
      <w:tr>
        <w:trPr>
          <w:trHeight w:val="23"/>
        </w:trPr>
        <w:tc>
          <w:tcPr>
            <w:tcW w:w="276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July 31, 2020, the aggregate intrinsic value (defined as the amount by which the fair value of the underlying stock exceeds the exercise price of an option) of options outstanding and the options exercisable was $11,964 and $10,940, respectively.</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RSUs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RSUs issued under the plan have a grant date fair value equal to the fair market value of the underlying stock at the date of grant. Shares issued under the plan are referred to herein as either "time-based" or "performance-based" RSUs. The time-based RSUs issued under the plan generally vest ratably over a three-year period, with one-third becoming exercisable one year after the grant date and one-third additional in each of the succeeding two years. The performance-based RSUs granted under the plan vest at the end of a three-year service period provided specified financial performance metrics are met.</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summarize the RSU activity for the fiscal year ended July 31, 2020:</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Weighted Average Grant</w:t>
            </w:r>
          </w:p>
        </w:tc>
      </w:tr>
      <w:tr>
        <w:trPr>
          <w:trHeight w:val="203"/>
        </w:trPr>
        <w:tc>
          <w:tcPr>
            <w:tcW w:w="74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w w:val="99"/>
              </w:rPr>
              <w:t>Date</w:t>
            </w:r>
          </w:p>
        </w:tc>
      </w:tr>
      <w:tr>
        <w:trPr>
          <w:trHeight w:val="212"/>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Time-Based RSUs</w:t>
            </w:r>
          </w:p>
        </w:tc>
        <w:tc>
          <w:tcPr>
            <w:tcW w:w="184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w w:val="98"/>
              </w:rPr>
              <w:t>Fair Value</w:t>
            </w:r>
          </w:p>
        </w:tc>
      </w:tr>
      <w:tr>
        <w:trPr>
          <w:trHeight w:val="33"/>
        </w:trPr>
        <w:tc>
          <w:tcPr>
            <w:tcW w:w="744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July 31, 2019</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188,638</w:t>
            </w:r>
          </w:p>
        </w:tc>
        <w:tc>
          <w:tcPr>
            <w:tcW w:w="44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38.15</w:t>
            </w:r>
          </w:p>
        </w:tc>
      </w:tr>
      <w:tr>
        <w:trPr>
          <w:trHeight w:val="223"/>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New grants</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76,358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53.38</w:t>
            </w:r>
          </w:p>
        </w:tc>
      </w:tr>
      <w:tr>
        <w:trPr>
          <w:trHeight w:val="33"/>
        </w:trPr>
        <w:tc>
          <w:tcPr>
            <w:tcW w:w="74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Vested</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(107,187)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35.49</w:t>
            </w:r>
          </w:p>
        </w:tc>
      </w:tr>
      <w:tr>
        <w:trPr>
          <w:trHeight w:val="223"/>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43.73</w:t>
            </w:r>
          </w:p>
        </w:tc>
      </w:tr>
      <w:tr>
        <w:trPr>
          <w:trHeight w:val="33"/>
        </w:trPr>
        <w:tc>
          <w:tcPr>
            <w:tcW w:w="744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r>
      <w:tr>
        <w:trPr>
          <w:trHeight w:val="272"/>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July 31, 2020</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154,960</w:t>
            </w:r>
          </w:p>
        </w:tc>
        <w:tc>
          <w:tcPr>
            <w:tcW w:w="44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47.39</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r>
    </w:tbl>
    <w:p>
      <w:pPr>
        <w:spacing w:after="0" w:line="3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time-based RSUs granted during the fiscal year ended July 31, 2019, had a weighted-average grant-date fair value of $44.20. The total fair value of time-based RSUs vested during the years ended July 31, 2020 and 2019, was $9,776 and $9,859, respectively.</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Weighted Average Grant</w:t>
            </w:r>
          </w:p>
        </w:tc>
      </w:tr>
      <w:tr>
        <w:trPr>
          <w:trHeight w:val="203"/>
        </w:trPr>
        <w:tc>
          <w:tcPr>
            <w:tcW w:w="74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w w:val="99"/>
              </w:rPr>
              <w:t>Date</w:t>
            </w:r>
          </w:p>
        </w:tc>
      </w:tr>
      <w:tr>
        <w:trPr>
          <w:trHeight w:val="212"/>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Performance-Based RSUs</w:t>
            </w:r>
          </w:p>
        </w:tc>
        <w:tc>
          <w:tcPr>
            <w:tcW w:w="184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w w:val="98"/>
              </w:rPr>
              <w:t>Fair Value</w:t>
            </w:r>
          </w:p>
        </w:tc>
      </w:tr>
      <w:tr>
        <w:trPr>
          <w:trHeight w:val="33"/>
        </w:trPr>
        <w:tc>
          <w:tcPr>
            <w:tcW w:w="744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July 31, 2019</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158,410</w:t>
            </w:r>
          </w:p>
        </w:tc>
        <w:tc>
          <w:tcPr>
            <w:tcW w:w="44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38.33</w:t>
            </w:r>
          </w:p>
        </w:tc>
      </w:tr>
      <w:tr>
        <w:trPr>
          <w:trHeight w:val="223"/>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New grants (1)</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71,921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w:t>
            </w:r>
          </w:p>
        </w:tc>
      </w:tr>
      <w:tr>
        <w:trPr>
          <w:trHeight w:val="33"/>
        </w:trPr>
        <w:tc>
          <w:tcPr>
            <w:tcW w:w="74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Vested</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(87,928)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32.03</w:t>
            </w:r>
          </w:p>
        </w:tc>
      </w:tr>
      <w:tr>
        <w:trPr>
          <w:trHeight w:val="223"/>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(16,343)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52.16</w:t>
            </w:r>
          </w:p>
        </w:tc>
      </w:tr>
      <w:tr>
        <w:trPr>
          <w:trHeight w:val="33"/>
        </w:trPr>
        <w:tc>
          <w:tcPr>
            <w:tcW w:w="744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r>
      <w:tr>
        <w:trPr>
          <w:trHeight w:val="272"/>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July 31, 2020</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126,060</w:t>
            </w:r>
          </w:p>
        </w:tc>
        <w:tc>
          <w:tcPr>
            <w:tcW w:w="44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50.61</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r>
    </w:tbl>
    <w:p>
      <w:pPr>
        <w:spacing w:after="0" w:line="63" w:lineRule="exact"/>
        <w:rPr>
          <w:sz w:val="20"/>
          <w:szCs w:val="20"/>
          <w:color w:val="auto"/>
        </w:rPr>
      </w:pPr>
    </w:p>
    <w:p>
      <w:pPr>
        <w:ind w:firstLine="413"/>
        <w:spacing w:after="0" w:line="282" w:lineRule="auto"/>
        <w:tabs>
          <w:tab w:leader="none" w:pos="68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32,975 shares resulting from the payout of performance-based RSUs granted in fiscal year 2018 due to achievement of performance metrics exceeding the target payout.</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performance-based RSUs granted during the fiscal year ended July 31, 2020, had a weighted-average grant-date fair value determined by a third-party valuation involving the use of a Monte Carlo simulation. The performance-based RSUs granted during the fiscal year ended July 31, 2019, had a weighted-average grant-date fair value of $50.70. The aggregate intrinsic value of unvested time-based and performance-based RSUs outstanding at July 31, 2020 and 2019, and expected to vest, was $14,013 and $17,953, respectively.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Accumulated Other Comprehensive Loss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comprehensive loss consists of foreign currency translation adjustments which includes net investment hedges, unrealized gains and losses from cash flow hedges, and the unamortized gain on post-retirement plans, net of their related tax effects.</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changes in the balances of each component of accumulated other comprehensive loss, net of tax, for the periods presented: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Unrealized gain</w:t>
            </w:r>
          </w:p>
        </w:tc>
        <w:tc>
          <w:tcPr>
            <w:tcW w:w="15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Unamortized gain</w:t>
            </w:r>
          </w:p>
        </w:tc>
        <w:tc>
          <w:tcPr>
            <w:tcW w:w="150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Foreign currency</w:t>
            </w: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(loss) on</w:t>
            </w:r>
          </w:p>
        </w:tc>
        <w:tc>
          <w:tcPr>
            <w:tcW w:w="15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on postretirement</w:t>
            </w:r>
          </w:p>
        </w:tc>
        <w:tc>
          <w:tcPr>
            <w:tcW w:w="18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translation</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Accumulated other</w:t>
            </w:r>
          </w:p>
        </w:tc>
      </w:tr>
      <w:tr>
        <w:trPr>
          <w:trHeight w:val="212"/>
        </w:trPr>
        <w:tc>
          <w:tcPr>
            <w:tcW w:w="5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cash flow hedges</w:t>
            </w:r>
          </w:p>
        </w:tc>
        <w:tc>
          <w:tcPr>
            <w:tcW w:w="320" w:type="dxa"/>
            <w:vAlign w:val="bottom"/>
          </w:tcPr>
          <w:p>
            <w:pPr>
              <w:spacing w:after="0"/>
              <w:rPr>
                <w:sz w:val="18"/>
                <w:szCs w:val="18"/>
                <w:color w:val="auto"/>
              </w:rPr>
            </w:pP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plans</w:t>
            </w:r>
          </w:p>
        </w:tc>
        <w:tc>
          <w:tcPr>
            <w:tcW w:w="1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comprehensive loss</w:t>
            </w:r>
          </w:p>
        </w:tc>
      </w:tr>
      <w:tr>
        <w:trPr>
          <w:trHeight w:val="33"/>
        </w:trPr>
        <w:tc>
          <w:tcPr>
            <w:tcW w:w="52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72"/>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 July 31, 2018</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center"/>
              <w:ind w:left="819"/>
              <w:spacing w:after="0"/>
              <w:rPr>
                <w:sz w:val="20"/>
                <w:szCs w:val="20"/>
                <w:color w:val="auto"/>
              </w:rPr>
            </w:pPr>
            <w:r>
              <w:rPr>
                <w:rFonts w:ascii="Times New Roman" w:cs="Times New Roman" w:eastAsia="Times New Roman" w:hAnsi="Times New Roman"/>
                <w:sz w:val="16"/>
                <w:szCs w:val="16"/>
                <w:color w:val="auto"/>
                <w:w w:val="99"/>
              </w:rPr>
              <w:t>863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(60,566)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(56,401)</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01"/>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w:t>
            </w:r>
          </w:p>
        </w:tc>
        <w:tc>
          <w:tcPr>
            <w:tcW w:w="100" w:type="dxa"/>
            <w:vAlign w:val="bottom"/>
          </w:tcPr>
          <w:p>
            <w:pPr>
              <w:spacing w:after="0"/>
              <w:rPr>
                <w:sz w:val="17"/>
                <w:szCs w:val="17"/>
                <w:color w:val="auto"/>
              </w:rPr>
            </w:pPr>
          </w:p>
        </w:tc>
        <w:tc>
          <w:tcPr>
            <w:tcW w:w="1300" w:type="dxa"/>
            <w:vAlign w:val="bottom"/>
          </w:tcPr>
          <w:p>
            <w:pPr>
              <w:jc w:val="center"/>
              <w:ind w:left="819"/>
              <w:spacing w:after="0"/>
              <w:rPr>
                <w:sz w:val="20"/>
                <w:szCs w:val="20"/>
                <w:color w:val="auto"/>
              </w:rPr>
            </w:pPr>
            <w:r>
              <w:rPr>
                <w:rFonts w:ascii="Times New Roman" w:cs="Times New Roman" w:eastAsia="Times New Roman" w:hAnsi="Times New Roman"/>
                <w:sz w:val="16"/>
                <w:szCs w:val="16"/>
                <w:color w:val="auto"/>
                <w:w w:val="99"/>
              </w:rPr>
              <w:t>630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(14,195)</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(13,498)</w:t>
            </w:r>
          </w:p>
        </w:tc>
      </w:tr>
      <w:tr>
        <w:trPr>
          <w:trHeight w:val="33"/>
        </w:trPr>
        <w:tc>
          <w:tcPr>
            <w:tcW w:w="5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7"/>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loss</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center"/>
              <w:ind w:left="779"/>
              <w:spacing w:after="0"/>
              <w:rPr>
                <w:sz w:val="20"/>
                <w:szCs w:val="20"/>
                <w:color w:val="auto"/>
              </w:rPr>
            </w:pPr>
            <w:r>
              <w:rPr>
                <w:rFonts w:ascii="Times New Roman" w:cs="Times New Roman" w:eastAsia="Times New Roman" w:hAnsi="Times New Roman"/>
                <w:sz w:val="16"/>
                <w:szCs w:val="16"/>
                <w:color w:val="auto"/>
              </w:rPr>
              <w:t>(786)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(1,355)</w:t>
            </w:r>
          </w:p>
        </w:tc>
      </w:tr>
      <w:tr>
        <w:trPr>
          <w:trHeight w:val="247"/>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 July 31, 2019</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center"/>
              <w:ind w:left="819"/>
              <w:spacing w:after="0"/>
              <w:rPr>
                <w:sz w:val="20"/>
                <w:szCs w:val="20"/>
                <w:color w:val="auto"/>
              </w:rPr>
            </w:pPr>
            <w:r>
              <w:rPr>
                <w:rFonts w:ascii="Times New Roman" w:cs="Times New Roman" w:eastAsia="Times New Roman" w:hAnsi="Times New Roman"/>
                <w:sz w:val="16"/>
                <w:szCs w:val="16"/>
                <w:color w:val="auto"/>
                <w:w w:val="99"/>
              </w:rPr>
              <w:t>707</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2,800</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(74,761)</w:t>
            </w:r>
          </w:p>
        </w:tc>
        <w:tc>
          <w:tcPr>
            <w:tcW w:w="10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(71,254)</w:t>
            </w: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3"/>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 before reclassification</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center"/>
              <w:ind w:left="779"/>
              <w:spacing w:after="0"/>
              <w:rPr>
                <w:sz w:val="20"/>
                <w:szCs w:val="20"/>
                <w:color w:val="auto"/>
              </w:rPr>
            </w:pPr>
            <w:r>
              <w:rPr>
                <w:rFonts w:ascii="Times New Roman" w:cs="Times New Roman" w:eastAsia="Times New Roman" w:hAnsi="Times New Roman"/>
                <w:sz w:val="16"/>
                <w:szCs w:val="16"/>
                <w:color w:val="auto"/>
              </w:rPr>
              <w:t>(447)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6,303</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5,524</w:t>
            </w:r>
          </w:p>
        </w:tc>
      </w:tr>
      <w:tr>
        <w:trPr>
          <w:trHeight w:val="224"/>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loss</w:t>
            </w:r>
          </w:p>
        </w:tc>
        <w:tc>
          <w:tcPr>
            <w:tcW w:w="100" w:type="dxa"/>
            <w:vAlign w:val="bottom"/>
          </w:tcPr>
          <w:p>
            <w:pPr>
              <w:spacing w:after="0"/>
              <w:rPr>
                <w:sz w:val="19"/>
                <w:szCs w:val="19"/>
                <w:color w:val="auto"/>
              </w:rPr>
            </w:pPr>
          </w:p>
        </w:tc>
        <w:tc>
          <w:tcPr>
            <w:tcW w:w="1300" w:type="dxa"/>
            <w:vAlign w:val="bottom"/>
          </w:tcPr>
          <w:p>
            <w:pPr>
              <w:jc w:val="center"/>
              <w:ind w:left="779"/>
              <w:spacing w:after="0"/>
              <w:rPr>
                <w:sz w:val="20"/>
                <w:szCs w:val="20"/>
                <w:color w:val="auto"/>
              </w:rPr>
            </w:pPr>
            <w:r>
              <w:rPr>
                <w:rFonts w:ascii="Times New Roman" w:cs="Times New Roman" w:eastAsia="Times New Roman" w:hAnsi="Times New Roman"/>
                <w:sz w:val="16"/>
                <w:szCs w:val="16"/>
                <w:color w:val="auto"/>
              </w:rPr>
              <w:t>(460)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w:t>
            </w:r>
          </w:p>
        </w:tc>
      </w:tr>
      <w:tr>
        <w:trPr>
          <w:trHeight w:val="33"/>
        </w:trPr>
        <w:tc>
          <w:tcPr>
            <w:tcW w:w="52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72"/>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 July 31, 2020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center"/>
              <w:ind w:left="779"/>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(68,458)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(66,477)</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decrease in accumulated other comprehensive loss as of July 31, 2020, compared to July 31, 2019, was primarily due to the depreciation of the U.S. dollar against certain other currencies during the fiscal year, most of which occurred in the last month of the fiscal year ended July 31, 2020. The foreign currency translation adjustments column in the table above includes the impact of foreign currency translation and the settlements of net investment hedges, net of tax. Of the amounts reclassified from accumulated other comprehensive loss during the fiscal year ended July 31, 2020, unrealized gains on cash flow hedges were reclassified to "Cost of goods sold" and unamortized gains on post-retirement plans were reclassified into "Investment and other income" on the Consolidated Statements of Income.</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illustrates the income tax benefit (expense) on the components of other comprehensive income (loss):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Years Ended July 31,</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3"/>
        </w:trPr>
        <w:tc>
          <w:tcPr>
            <w:tcW w:w="69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69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69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6"/>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 (expense) related to items of other comprehensive income (loss):</w:t>
            </w:r>
          </w:p>
        </w:tc>
        <w:tc>
          <w:tcPr>
            <w:tcW w:w="9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r>
      <w:tr>
        <w:trPr>
          <w:trHeight w:val="224"/>
        </w:trPr>
        <w:tc>
          <w:tcPr>
            <w:tcW w:w="69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Cash flow hedges</w:t>
            </w: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4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w:t>
            </w:r>
          </w:p>
        </w:tc>
      </w:tr>
      <w:tr>
        <w:trPr>
          <w:trHeight w:val="33"/>
        </w:trPr>
        <w:tc>
          <w:tcPr>
            <w:tcW w:w="69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69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Pension and other post-retirement benefits</w:t>
            </w:r>
          </w:p>
        </w:tc>
        <w:tc>
          <w:tcPr>
            <w:tcW w:w="9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23"/>
        </w:trPr>
        <w:tc>
          <w:tcPr>
            <w:tcW w:w="69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 income tax adjustments and currency translation</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w:t>
            </w:r>
          </w:p>
        </w:tc>
      </w:tr>
      <w:tr>
        <w:trPr>
          <w:trHeight w:val="33"/>
        </w:trPr>
        <w:tc>
          <w:tcPr>
            <w:tcW w:w="69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7"/>
        </w:trPr>
        <w:tc>
          <w:tcPr>
            <w:tcW w:w="69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Adoption of accounting standard ASU 2018-02</w:t>
            </w:r>
          </w:p>
        </w:tc>
        <w:tc>
          <w:tcPr>
            <w:tcW w:w="9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1,869</w:t>
            </w:r>
          </w:p>
        </w:tc>
      </w:tr>
      <w:tr>
        <w:trPr>
          <w:trHeight w:val="247"/>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benefit (expense) related to items of other comprehensive income (loss)</w:t>
            </w:r>
          </w:p>
        </w:tc>
        <w:tc>
          <w:tcPr>
            <w:tcW w:w="920" w:type="dxa"/>
            <w:vAlign w:val="bottom"/>
            <w:tcBorders>
              <w:top w:val="single" w:sz="8" w:color="auto"/>
              <w:bottom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(753)</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569</w:t>
            </w:r>
          </w:p>
        </w:tc>
      </w:tr>
      <w:tr>
        <w:trPr>
          <w:trHeight w:val="24"/>
        </w:trPr>
        <w:tc>
          <w:tcPr>
            <w:tcW w:w="69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Revenue Recognition</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recognizes revenue when control of the product or service transfers to the customer at an amount that represents the consideration expected to be received in exchange for those products and services.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Nature of Products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revenues are primarily from the sale of identification solutions and workplace safety products that are shipped and billed to customers. All revenue is from contracts with customers and is included in “Net sales” on the Consolidated Statements of Income. See Note 10 “Segment Information” for the Company’s disaggregated revenue disclosure.</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contracts with customers consist of purchase orders, which in some cases are governed by master supply or distributor agreements. For each contract, the Company considers the commitment to transfer tangible products, which are generally capable of being distinct, to be separate performance obligations.</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majority of the Company's revenue is earned and recognized at a point in time through ship-and-bill performance obligations where the customer typically obtains control of the product upon shipment or delivery, depending on freight terms. The Company considers control to have transferred if legal title, physical possession, and the significant risks and rewards of</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5" w:name="page46"/>
    <w:bookmarkEnd w:id="45"/>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ownership of the asset have transferred to the customer and the Company has a present right to payment. In almost all cases, control transfers once a product is shipped or delivered, as this is when the customer is able to direct and obtain substantially all of the remaining benefits associated with use of the asset.</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Transaction Price and Variable Consideration</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Revenue is measured as the amount of consideration the Company expects to be entitled to in exchange for the transfer of product to a customer. The transaction price is generally the price stated in the contract specific for each item sold, adjusted for all applicable variable considerations. Variable considerations generally include discounts, returns, credits, rebates, or other allowances that reduce the transaction price. Certain discounts and price assurances are fixed and known at the time of sale.</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estimates the amount of variable consideration and reduces the transaction price to the extent it is probable that a significant reversal of cumulative revenue recognized will not occur when the uncertainty associated with the variable consideration is resolved. The expected value method is used to estimate expected returns and allowances based on historical experience. The most likely amount method is used to estimate customer rebates, which are offered retrospective and typically defined in the master supply or distributor agreement.</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Payment Terms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While the Company’s standard payment terms are net 30 days, the specific payment terms and conditions in its contracts with customers vary by type and location of the customer. Cash discounts may be offered to certain customers. The Company has payment terms in its contracts with customers of less than one year and has elected the practical expedient applicable to such contracts and does not consider the time value of money.</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Warranties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offers standard warranty coverage on substantially all products which provides the customer with assurance that the product will function as intended. This standard warranty coverage is accounted for as an assurance warranty and is not considered to be a separate performance obligation. The Company records a liability for product warranty obligations at the time of sale based on historical warranty experience that is included in cost of goods sold.</w:t>
      </w:r>
    </w:p>
    <w:p>
      <w:pPr>
        <w:spacing w:after="0" w:line="12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also offers extended warranty coverage for certain products, which it accounts for as service warranties. In most cases, the extended service warranty is included in the sales price of the product and is not sold separately. The Company considers the extended service warranty to be a separate performance obligation and allocates a portion of the transaction price to the service warranty based on the estimated stand-alone selling price. At the time of sale, the extended warranty transaction price is recorded as deferred revenue on the Consolidated Balance Sheets and is recognized on a straight-line basis over the life of the service warranty period. The deferred revenue is considered a contract liability as the Company has a right to payment at the time the product with the related extended service warranty is shipped or delivered and therefore, payment is received in advance of the Company's performance.</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balance of contract liabilities associated with service warranty performance obligations was $2,559 and $2,782 as of July 31, 2020 and 2019, respectively. This also represents the amount of unsatisfied performance obligations related to contracts that extend beyond one year. The current portion and non-current portion of contract liabilities are included in “Other current liabilities” and “Other liabilities," respectively, on the accompanying Consolidated Balance Sheets. During the fiscal year ended July 31, 2020, the Company recognized revenue of $1,251 that was included in the contract liability balance at the beginning of the period from the amortization of extended service warranties. Of the contract liability balance outstanding at July 31, 2020, the Company expects to recognize 41% by the end of fiscal 2021, an additional 28% by the end of fiscal 2022, and the balance thereafter.</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Costs of Obtaining a Contract</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expenses incremental direct costs of obtaining a contract (e.g., sales commissions) when incurred because the amortization period is generally twelve months or less. Contract costs are included in "Selling, general and administrative expense" on the Consolidated Statements of Income.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Segment Information</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is organized and managed on a global basis within three operating segments, Identification Solutions ("IDS"), Workplace Safety ("WPS"), and People Identification ("PDC"), which aggregate into two reportable segments that are organized around businesses with consistent products and services: IDS and WPS. The IDS and PDC operating segments aggregate into the IDS reporting segment, while the WPS reporting segment is comprised solely of the Workplace Safety operating segment.</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Following is a summary of segment information as of and for the years ended July 31, 2020, 2019 and 2018:</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2018</w:t>
            </w:r>
          </w:p>
        </w:tc>
        <w:tc>
          <w:tcPr>
            <w:tcW w:w="0" w:type="dxa"/>
            <w:vAlign w:val="bottom"/>
          </w:tcPr>
          <w:p>
            <w:pPr>
              <w:spacing w:after="0"/>
              <w:rPr>
                <w:sz w:val="1"/>
                <w:szCs w:val="1"/>
                <w:color w:val="auto"/>
              </w:rPr>
            </w:pPr>
          </w:p>
        </w:tc>
      </w:tr>
      <w:tr>
        <w:trPr>
          <w:trHeight w:val="33"/>
        </w:trPr>
        <w:tc>
          <w:tcPr>
            <w:tcW w:w="6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3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ID Solutions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8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i w:val="1"/>
                <w:iCs w:val="1"/>
                <w:color w:val="auto"/>
              </w:rPr>
              <w:t>Americas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532,357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577,156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556,172</w:t>
            </w:r>
          </w:p>
        </w:tc>
        <w:tc>
          <w:tcPr>
            <w:tcW w:w="0" w:type="dxa"/>
            <w:vAlign w:val="bottom"/>
          </w:tcPr>
          <w:p>
            <w:pPr>
              <w:spacing w:after="0"/>
              <w:rPr>
                <w:sz w:val="1"/>
                <w:szCs w:val="1"/>
                <w:color w:val="auto"/>
              </w:rPr>
            </w:pPr>
          </w:p>
        </w:tc>
      </w:tr>
      <w:tr>
        <w:trPr>
          <w:trHeight w:val="224"/>
        </w:trPr>
        <w:tc>
          <w:tcPr>
            <w:tcW w:w="6860" w:type="dxa"/>
            <w:vAlign w:val="bottom"/>
          </w:tcPr>
          <w:p>
            <w:pPr>
              <w:ind w:left="340"/>
              <w:spacing w:after="0"/>
              <w:rPr>
                <w:sz w:val="20"/>
                <w:szCs w:val="20"/>
                <w:color w:val="auto"/>
              </w:rPr>
            </w:pPr>
            <w:r>
              <w:rPr>
                <w:rFonts w:ascii="Times New Roman" w:cs="Times New Roman" w:eastAsia="Times New Roman" w:hAnsi="Times New Roman"/>
                <w:sz w:val="16"/>
                <w:szCs w:val="16"/>
                <w:i w:val="1"/>
                <w:iCs w:val="1"/>
                <w:color w:val="auto"/>
              </w:rPr>
              <w:t>Europe</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165,490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193,852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197,737</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8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i w:val="1"/>
                <w:iCs w:val="1"/>
                <w:color w:val="auto"/>
              </w:rPr>
              <w:t>Asia</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86,860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92,092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92,178</w:t>
            </w:r>
          </w:p>
        </w:tc>
        <w:tc>
          <w:tcPr>
            <w:tcW w:w="0" w:type="dxa"/>
            <w:vAlign w:val="bottom"/>
          </w:tcPr>
          <w:p>
            <w:pPr>
              <w:spacing w:after="0"/>
              <w:rPr>
                <w:sz w:val="1"/>
                <w:szCs w:val="1"/>
                <w:color w:val="auto"/>
              </w:rPr>
            </w:pPr>
          </w:p>
        </w:tc>
      </w:tr>
      <w:tr>
        <w:trPr>
          <w:trHeight w:val="217"/>
        </w:trPr>
        <w:tc>
          <w:tcPr>
            <w:tcW w:w="6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784,707</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863,100</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846,087</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Workplace Safety</w:t>
            </w:r>
          </w:p>
        </w:tc>
        <w:tc>
          <w:tcPr>
            <w:tcW w:w="3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860" w:type="dxa"/>
            <w:vAlign w:val="bottom"/>
          </w:tcPr>
          <w:p>
            <w:pPr>
              <w:ind w:left="340"/>
              <w:spacing w:after="0"/>
              <w:rPr>
                <w:sz w:val="20"/>
                <w:szCs w:val="20"/>
                <w:color w:val="auto"/>
              </w:rPr>
            </w:pPr>
            <w:r>
              <w:rPr>
                <w:rFonts w:ascii="Times New Roman" w:cs="Times New Roman" w:eastAsia="Times New Roman" w:hAnsi="Times New Roman"/>
                <w:sz w:val="16"/>
                <w:szCs w:val="16"/>
                <w:i w:val="1"/>
                <w:iCs w:val="1"/>
                <w:color w:val="auto"/>
              </w:rPr>
              <w:t>Americas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92,513</w:t>
            </w:r>
          </w:p>
        </w:tc>
        <w:tc>
          <w:tcPr>
            <w:tcW w:w="12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98,788</w:t>
            </w:r>
          </w:p>
        </w:tc>
        <w:tc>
          <w:tcPr>
            <w:tcW w:w="10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106,910</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68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i w:val="1"/>
                <w:iCs w:val="1"/>
                <w:color w:val="auto"/>
              </w:rPr>
              <w:t>Europe</w:t>
            </w: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152,407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150,480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170,265</w:t>
            </w:r>
          </w:p>
        </w:tc>
        <w:tc>
          <w:tcPr>
            <w:tcW w:w="0" w:type="dxa"/>
            <w:vAlign w:val="bottom"/>
          </w:tcPr>
          <w:p>
            <w:pPr>
              <w:spacing w:after="0"/>
              <w:rPr>
                <w:sz w:val="1"/>
                <w:szCs w:val="1"/>
                <w:color w:val="auto"/>
              </w:rPr>
            </w:pPr>
          </w:p>
        </w:tc>
      </w:tr>
      <w:tr>
        <w:trPr>
          <w:trHeight w:val="224"/>
        </w:trPr>
        <w:tc>
          <w:tcPr>
            <w:tcW w:w="6860" w:type="dxa"/>
            <w:vAlign w:val="bottom"/>
          </w:tcPr>
          <w:p>
            <w:pPr>
              <w:ind w:left="340"/>
              <w:spacing w:after="0"/>
              <w:rPr>
                <w:sz w:val="20"/>
                <w:szCs w:val="20"/>
                <w:color w:val="auto"/>
              </w:rPr>
            </w:pPr>
            <w:r>
              <w:rPr>
                <w:rFonts w:ascii="Times New Roman" w:cs="Times New Roman" w:eastAsia="Times New Roman" w:hAnsi="Times New Roman"/>
                <w:sz w:val="16"/>
                <w:szCs w:val="16"/>
                <w:i w:val="1"/>
                <w:iCs w:val="1"/>
                <w:color w:val="auto"/>
              </w:rPr>
              <w:t>Australia</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51,672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50,589</w:t>
            </w:r>
          </w:p>
        </w:tc>
        <w:tc>
          <w:tcPr>
            <w:tcW w:w="0" w:type="dxa"/>
            <w:vAlign w:val="bottom"/>
          </w:tcPr>
          <w:p>
            <w:pPr>
              <w:spacing w:after="0"/>
              <w:rPr>
                <w:sz w:val="1"/>
                <w:szCs w:val="1"/>
                <w:color w:val="auto"/>
              </w:rPr>
            </w:pPr>
          </w:p>
        </w:tc>
      </w:tr>
      <w:tr>
        <w:trPr>
          <w:trHeight w:val="33"/>
        </w:trPr>
        <w:tc>
          <w:tcPr>
            <w:tcW w:w="6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68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296,592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297,545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327,764</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Total Company</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68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8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i w:val="1"/>
                <w:iCs w:val="1"/>
                <w:color w:val="auto"/>
              </w:rPr>
              <w:t>Americas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624,870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675,944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663,082</w:t>
            </w:r>
          </w:p>
        </w:tc>
        <w:tc>
          <w:tcPr>
            <w:tcW w:w="0" w:type="dxa"/>
            <w:vAlign w:val="bottom"/>
          </w:tcPr>
          <w:p>
            <w:pPr>
              <w:spacing w:after="0"/>
              <w:rPr>
                <w:sz w:val="1"/>
                <w:szCs w:val="1"/>
                <w:color w:val="auto"/>
              </w:rPr>
            </w:pPr>
          </w:p>
        </w:tc>
      </w:tr>
      <w:tr>
        <w:trPr>
          <w:trHeight w:val="223"/>
        </w:trPr>
        <w:tc>
          <w:tcPr>
            <w:tcW w:w="6860" w:type="dxa"/>
            <w:vAlign w:val="bottom"/>
          </w:tcPr>
          <w:p>
            <w:pPr>
              <w:ind w:left="340"/>
              <w:spacing w:after="0"/>
              <w:rPr>
                <w:sz w:val="20"/>
                <w:szCs w:val="20"/>
                <w:color w:val="auto"/>
              </w:rPr>
            </w:pPr>
            <w:r>
              <w:rPr>
                <w:rFonts w:ascii="Times New Roman" w:cs="Times New Roman" w:eastAsia="Times New Roman" w:hAnsi="Times New Roman"/>
                <w:sz w:val="16"/>
                <w:szCs w:val="16"/>
                <w:i w:val="1"/>
                <w:iCs w:val="1"/>
                <w:color w:val="auto"/>
              </w:rPr>
              <w:t>Europe</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317,897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344,332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368,002</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68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i w:val="1"/>
                <w:iCs w:val="1"/>
                <w:color w:val="auto"/>
              </w:rPr>
              <w:t>Asia-Pacific</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138,532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140,369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142,767</w:t>
            </w:r>
          </w:p>
        </w:tc>
        <w:tc>
          <w:tcPr>
            <w:tcW w:w="0" w:type="dxa"/>
            <w:vAlign w:val="bottom"/>
          </w:tcPr>
          <w:p>
            <w:pPr>
              <w:spacing w:after="0"/>
              <w:rPr>
                <w:sz w:val="1"/>
                <w:szCs w:val="1"/>
                <w:color w:val="auto"/>
              </w:rPr>
            </w:pPr>
          </w:p>
        </w:tc>
      </w:tr>
      <w:tr>
        <w:trPr>
          <w:trHeight w:val="217"/>
        </w:trPr>
        <w:tc>
          <w:tcPr>
            <w:tcW w:w="6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1,081,299</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1,160,645</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1,173,851</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&amp; amortization:</w:t>
            </w:r>
          </w:p>
        </w:tc>
        <w:tc>
          <w:tcPr>
            <w:tcW w:w="3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ID Solutions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20,745</w:t>
            </w:r>
          </w:p>
        </w:tc>
        <w:tc>
          <w:tcPr>
            <w:tcW w:w="12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21,387</w:t>
            </w:r>
          </w:p>
        </w:tc>
        <w:tc>
          <w:tcPr>
            <w:tcW w:w="10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22,075</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68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WPS</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3,367</w:t>
            </w:r>
          </w:p>
        </w:tc>
        <w:tc>
          <w:tcPr>
            <w:tcW w:w="0" w:type="dxa"/>
            <w:vAlign w:val="bottom"/>
          </w:tcPr>
          <w:p>
            <w:pPr>
              <w:spacing w:after="0"/>
              <w:rPr>
                <w:sz w:val="1"/>
                <w:szCs w:val="1"/>
                <w:color w:val="auto"/>
              </w:rPr>
            </w:pPr>
          </w:p>
        </w:tc>
      </w:tr>
      <w:tr>
        <w:trPr>
          <w:trHeight w:val="217"/>
        </w:trPr>
        <w:tc>
          <w:tcPr>
            <w:tcW w:w="6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Company</w:t>
            </w: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23,437</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23,799</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25,442</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profit:</w:t>
            </w:r>
          </w:p>
        </w:tc>
        <w:tc>
          <w:tcPr>
            <w:tcW w:w="3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ID Solutions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150,639</w:t>
            </w:r>
          </w:p>
        </w:tc>
        <w:tc>
          <w:tcPr>
            <w:tcW w:w="12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164,953</w:t>
            </w:r>
          </w:p>
        </w:tc>
        <w:tc>
          <w:tcPr>
            <w:tcW w:w="10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143,411</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8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WPS</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21,019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23,025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31,712</w:t>
            </w:r>
          </w:p>
        </w:tc>
        <w:tc>
          <w:tcPr>
            <w:tcW w:w="0" w:type="dxa"/>
            <w:vAlign w:val="bottom"/>
          </w:tcPr>
          <w:p>
            <w:pPr>
              <w:spacing w:after="0"/>
              <w:rPr>
                <w:sz w:val="1"/>
                <w:szCs w:val="1"/>
                <w:color w:val="auto"/>
              </w:rPr>
            </w:pPr>
          </w:p>
        </w:tc>
      </w:tr>
      <w:tr>
        <w:trPr>
          <w:trHeight w:val="217"/>
        </w:trPr>
        <w:tc>
          <w:tcPr>
            <w:tcW w:w="6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Company</w:t>
            </w: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171,658</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187,978</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175,123</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3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ID Solutions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737,589</w:t>
            </w:r>
          </w:p>
        </w:tc>
        <w:tc>
          <w:tcPr>
            <w:tcW w:w="12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740,437</w:t>
            </w:r>
          </w:p>
        </w:tc>
        <w:tc>
          <w:tcPr>
            <w:tcW w:w="10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737,174</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68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WPS</w:t>
            </w: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187,234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137,799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138,329</w:t>
            </w:r>
          </w:p>
        </w:tc>
        <w:tc>
          <w:tcPr>
            <w:tcW w:w="0" w:type="dxa"/>
            <w:vAlign w:val="bottom"/>
          </w:tcPr>
          <w:p>
            <w:pPr>
              <w:spacing w:after="0"/>
              <w:rPr>
                <w:sz w:val="1"/>
                <w:szCs w:val="1"/>
                <w:color w:val="auto"/>
              </w:rPr>
            </w:pPr>
          </w:p>
        </w:tc>
      </w:tr>
      <w:tr>
        <w:trPr>
          <w:trHeight w:val="223"/>
        </w:trPr>
        <w:tc>
          <w:tcPr>
            <w:tcW w:w="6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Corporate</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217,643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279,072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181,428</w:t>
            </w:r>
          </w:p>
        </w:tc>
        <w:tc>
          <w:tcPr>
            <w:tcW w:w="0" w:type="dxa"/>
            <w:vAlign w:val="bottom"/>
          </w:tcPr>
          <w:p>
            <w:pPr>
              <w:spacing w:after="0"/>
              <w:rPr>
                <w:sz w:val="1"/>
                <w:szCs w:val="1"/>
                <w:color w:val="auto"/>
              </w:rPr>
            </w:pPr>
          </w:p>
        </w:tc>
      </w:tr>
      <w:tr>
        <w:trPr>
          <w:trHeight w:val="33"/>
        </w:trPr>
        <w:tc>
          <w:tcPr>
            <w:tcW w:w="6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68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Company</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1,142,466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1,157,308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1,056,931</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Expenditures for property, plant &amp; equipment:</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8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8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ID Solutions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17,637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17,849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17,283</w:t>
            </w:r>
          </w:p>
        </w:tc>
        <w:tc>
          <w:tcPr>
            <w:tcW w:w="0" w:type="dxa"/>
            <w:vAlign w:val="bottom"/>
          </w:tcPr>
          <w:p>
            <w:pPr>
              <w:spacing w:after="0"/>
              <w:rPr>
                <w:sz w:val="1"/>
                <w:szCs w:val="1"/>
                <w:color w:val="auto"/>
              </w:rPr>
            </w:pPr>
          </w:p>
        </w:tc>
      </w:tr>
      <w:tr>
        <w:trPr>
          <w:trHeight w:val="223"/>
        </w:trPr>
        <w:tc>
          <w:tcPr>
            <w:tcW w:w="6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WPS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9,640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4,494</w:t>
            </w:r>
          </w:p>
        </w:tc>
        <w:tc>
          <w:tcPr>
            <w:tcW w:w="0" w:type="dxa"/>
            <w:vAlign w:val="bottom"/>
          </w:tcPr>
          <w:p>
            <w:pPr>
              <w:spacing w:after="0"/>
              <w:rPr>
                <w:sz w:val="1"/>
                <w:szCs w:val="1"/>
                <w:color w:val="auto"/>
              </w:rPr>
            </w:pPr>
          </w:p>
        </w:tc>
      </w:tr>
      <w:tr>
        <w:trPr>
          <w:trHeight w:val="33"/>
        </w:trPr>
        <w:tc>
          <w:tcPr>
            <w:tcW w:w="6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68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Company</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27,277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32,825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21,777</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Following is a reconciliation of segment profit to income before income taxes and losses of unconsolidated affiliate for the years ended July 31, 2020, 2019 and 2018:</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60" w:type="dxa"/>
            <w:vAlign w:val="bottom"/>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Years Ended July 31,</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6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6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6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profit from reportable segments</w:t>
            </w:r>
          </w:p>
        </w:tc>
        <w:tc>
          <w:tcPr>
            <w:tcW w:w="32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171,658</w:t>
            </w:r>
          </w:p>
        </w:tc>
        <w:tc>
          <w:tcPr>
            <w:tcW w:w="44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187,978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175,123</w:t>
            </w:r>
          </w:p>
        </w:tc>
      </w:tr>
      <w:tr>
        <w:trPr>
          <w:trHeight w:val="224"/>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Unallocated costs: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33"/>
        </w:trPr>
        <w:tc>
          <w:tcPr>
            <w:tcW w:w="6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67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Administrative costs</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(19,814)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(25,550)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(27,093)</w:t>
            </w:r>
          </w:p>
        </w:tc>
      </w:tr>
      <w:tr>
        <w:trPr>
          <w:trHeight w:val="256"/>
        </w:trPr>
        <w:tc>
          <w:tcPr>
            <w:tcW w:w="6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Impairment charges</w:t>
            </w:r>
            <w:r>
              <w:rPr>
                <w:rFonts w:ascii="Times New Roman" w:cs="Times New Roman" w:eastAsia="Times New Roman" w:hAnsi="Times New Roman"/>
                <w:sz w:val="21"/>
                <w:szCs w:val="21"/>
                <w:color w:val="auto"/>
                <w:vertAlign w:val="superscript"/>
              </w:rPr>
              <w:t>(1)</w:t>
            </w: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(13,821)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7"/>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Gain on sale of business</w:t>
            </w:r>
            <w:r>
              <w:rPr>
                <w:rFonts w:ascii="Times New Roman" w:cs="Times New Roman" w:eastAsia="Times New Roman" w:hAnsi="Times New Roman"/>
                <w:sz w:val="21"/>
                <w:szCs w:val="21"/>
                <w:color w:val="auto"/>
                <w:vertAlign w:val="superscript"/>
              </w:rPr>
              <w:t>(2)</w:t>
            </w: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4,666</w:t>
            </w:r>
          </w:p>
        </w:tc>
      </w:tr>
      <w:tr>
        <w:trPr>
          <w:trHeight w:val="224"/>
        </w:trPr>
        <w:tc>
          <w:tcPr>
            <w:tcW w:w="67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Investment and other income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2,487</w:t>
            </w:r>
          </w:p>
        </w:tc>
      </w:tr>
      <w:tr>
        <w:trPr>
          <w:trHeight w:val="33"/>
        </w:trPr>
        <w:tc>
          <w:tcPr>
            <w:tcW w:w="6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7"/>
        </w:trPr>
        <w:tc>
          <w:tcPr>
            <w:tcW w:w="67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Interest expense</w:t>
            </w: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(3,168)</w:t>
            </w:r>
          </w:p>
        </w:tc>
      </w:tr>
      <w:tr>
        <w:trPr>
          <w:trHeight w:val="217"/>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 and losses of unconsolidated affiliate</w:t>
            </w:r>
          </w:p>
        </w:tc>
        <w:tc>
          <w:tcPr>
            <w:tcW w:w="32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140,936</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164,644</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152,015</w:t>
            </w:r>
          </w:p>
        </w:tc>
      </w:tr>
      <w:tr>
        <w:trPr>
          <w:trHeight w:val="33"/>
        </w:trPr>
        <w:tc>
          <w:tcPr>
            <w:tcW w:w="6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3"/>
        </w:trPr>
        <w:tc>
          <w:tcPr>
            <w:tcW w:w="67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bl>
    <w:p>
      <w:pPr>
        <w:spacing w:after="0" w:line="13" w:lineRule="exact"/>
        <w:rPr>
          <w:sz w:val="20"/>
          <w:szCs w:val="20"/>
          <w:color w:val="auto"/>
        </w:rPr>
      </w:pPr>
    </w:p>
    <w:p>
      <w:pPr>
        <w:ind w:left="560" w:hanging="228"/>
        <w:spacing w:after="0"/>
        <w:tabs>
          <w:tab w:leader="none" w:pos="5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the total $13,821 impairment charges recognized in the year ended July 31, 2020, $11,029 related to the WPS segment and $2,792 related to the IDS segment.</w:t>
      </w:r>
    </w:p>
    <w:p>
      <w:pPr>
        <w:spacing w:after="0" w:line="72" w:lineRule="exact"/>
        <w:rPr>
          <w:rFonts w:ascii="Times New Roman" w:cs="Times New Roman" w:eastAsia="Times New Roman" w:hAnsi="Times New Roman"/>
          <w:sz w:val="16"/>
          <w:szCs w:val="16"/>
          <w:color w:val="auto"/>
        </w:rPr>
      </w:pPr>
    </w:p>
    <w:p>
      <w:pPr>
        <w:ind w:left="560" w:hanging="228"/>
        <w:spacing w:after="0"/>
        <w:tabs>
          <w:tab w:leader="none" w:pos="5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Gain on sale of business during the year ended July 31, 2018 relates to the WPS segment.</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8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Long-Lived Assets**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2"/>
        </w:trPr>
        <w:tc>
          <w:tcPr>
            <w:tcW w:w="3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0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Years Ended July 31,</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As of July 31,</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3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3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3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Geographic information:</w:t>
            </w:r>
          </w:p>
        </w:tc>
        <w:tc>
          <w:tcPr>
            <w:tcW w:w="2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r>
      <w:tr>
        <w:trPr>
          <w:trHeight w:val="223"/>
        </w:trPr>
        <w:tc>
          <w:tcPr>
            <w:tcW w:w="3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United States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627,160</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674,924</w:t>
            </w:r>
          </w:p>
        </w:tc>
        <w:tc>
          <w:tcPr>
            <w:tcW w:w="12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663,935</w:t>
            </w:r>
          </w:p>
        </w:tc>
        <w:tc>
          <w:tcPr>
            <w:tcW w:w="120" w:type="dxa"/>
            <w:vAlign w:val="bottom"/>
          </w:tcPr>
          <w:p>
            <w:pPr>
              <w:spacing w:after="0"/>
              <w:rPr>
                <w:sz w:val="19"/>
                <w:szCs w:val="19"/>
                <w:color w:val="auto"/>
              </w:rPr>
            </w:pP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361,005</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365,205</w:t>
            </w:r>
          </w:p>
        </w:tc>
        <w:tc>
          <w:tcPr>
            <w:tcW w:w="12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366,638</w:t>
            </w:r>
          </w:p>
        </w:tc>
      </w:tr>
      <w:tr>
        <w:trPr>
          <w:trHeight w:val="33"/>
        </w:trPr>
        <w:tc>
          <w:tcPr>
            <w:tcW w:w="3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7"/>
        </w:trPr>
        <w:tc>
          <w:tcPr>
            <w:tcW w:w="31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509,530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546,923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573,652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234,330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191,953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193,710</w:t>
            </w:r>
          </w:p>
        </w:tc>
      </w:tr>
      <w:tr>
        <w:trPr>
          <w:trHeight w:val="223"/>
        </w:trPr>
        <w:tc>
          <w:tcPr>
            <w:tcW w:w="3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Eliminations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(55,391)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(61,202)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(63,736)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3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75"/>
        </w:trPr>
        <w:tc>
          <w:tcPr>
            <w:tcW w:w="31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Consolidated total</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1,081,299</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1,160,645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1,173,851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595,335</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557,158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560,348</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 Revenues are attributed based on country of origin.</w:t>
      </w:r>
    </w:p>
    <w:p>
      <w:pPr>
        <w:spacing w:after="0" w:line="73" w:lineRule="exact"/>
        <w:rPr>
          <w:sz w:val="20"/>
          <w:szCs w:val="20"/>
          <w:color w:val="auto"/>
        </w:rPr>
      </w:pPr>
    </w:p>
    <w:p>
      <w:pPr>
        <w:ind w:left="540" w:hanging="208"/>
        <w:spacing w:after="0"/>
        <w:tabs>
          <w:tab w:leader="none" w:pos="540"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Long-lived assets consist of property, plant and equipment, goodwill, other intangible assets, and operating lease assets.</w:t>
      </w:r>
    </w:p>
    <w:p>
      <w:pPr>
        <w:spacing w:after="0" w:line="361"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Income before income taxes and losses of unconsolidated affiliate consists of the following:</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Years Ended July 31,</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60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7"/>
        </w:trPr>
        <w:tc>
          <w:tcPr>
            <w:tcW w:w="60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60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69,433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55,077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48,903</w:t>
            </w:r>
          </w:p>
        </w:tc>
      </w:tr>
      <w:tr>
        <w:trPr>
          <w:trHeight w:val="223"/>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Nations</w:t>
            </w: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71,503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109,567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103,112</w:t>
            </w:r>
          </w:p>
        </w:tc>
      </w:tr>
      <w:tr>
        <w:trPr>
          <w:trHeight w:val="33"/>
        </w:trPr>
        <w:tc>
          <w:tcPr>
            <w:tcW w:w="60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75"/>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140,936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164,644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152,015</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Income tax expense consists of the following:</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Years Ended July 31,</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3"/>
        </w:trPr>
        <w:tc>
          <w:tcPr>
            <w:tcW w:w="60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7"/>
        </w:trPr>
        <w:tc>
          <w:tcPr>
            <w:tcW w:w="60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60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7"/>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income tax expense:</w:t>
            </w:r>
          </w:p>
        </w:tc>
        <w:tc>
          <w:tcPr>
            <w:tcW w:w="10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r>
      <w:tr>
        <w:trPr>
          <w:trHeight w:val="223"/>
        </w:trPr>
        <w:tc>
          <w:tcPr>
            <w:tcW w:w="60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United States</w:t>
            </w:r>
          </w:p>
        </w:tc>
        <w:tc>
          <w:tcPr>
            <w:tcW w:w="1060" w:type="dxa"/>
            <w:vAlign w:val="bottom"/>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3,031</w:t>
            </w:r>
          </w:p>
        </w:tc>
        <w:tc>
          <w:tcPr>
            <w:tcW w:w="12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2,232</w:t>
            </w:r>
          </w:p>
        </w:tc>
        <w:tc>
          <w:tcPr>
            <w:tcW w:w="12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2,830</w:t>
            </w:r>
          </w:p>
        </w:tc>
      </w:tr>
      <w:tr>
        <w:trPr>
          <w:trHeight w:val="33"/>
        </w:trPr>
        <w:tc>
          <w:tcPr>
            <w:tcW w:w="6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6"/>
        </w:trPr>
        <w:tc>
          <w:tcPr>
            <w:tcW w:w="60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Nations</w:t>
            </w:r>
          </w:p>
        </w:tc>
        <w:tc>
          <w:tcPr>
            <w:tcW w:w="10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25,133</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22,445</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26,593</w:t>
            </w:r>
          </w:p>
        </w:tc>
      </w:tr>
      <w:tr>
        <w:trPr>
          <w:trHeight w:val="224"/>
        </w:trPr>
        <w:tc>
          <w:tcPr>
            <w:tcW w:w="60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States (U.S.)</w:t>
            </w: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w:t>
            </w:r>
          </w:p>
        </w:tc>
      </w:tr>
      <w:tr>
        <w:trPr>
          <w:trHeight w:val="33"/>
        </w:trPr>
        <w:tc>
          <w:tcPr>
            <w:tcW w:w="60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29,324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25,590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30,333</w:t>
            </w:r>
          </w:p>
        </w:tc>
      </w:tr>
      <w:tr>
        <w:trPr>
          <w:trHeight w:val="204"/>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 expense (benefit):</w:t>
            </w:r>
          </w:p>
        </w:tc>
        <w:tc>
          <w:tcPr>
            <w:tcW w:w="10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r>
      <w:tr>
        <w:trPr>
          <w:trHeight w:val="33"/>
        </w:trPr>
        <w:tc>
          <w:tcPr>
            <w:tcW w:w="6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60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United States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8,451</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30,267</w:t>
            </w:r>
          </w:p>
        </w:tc>
      </w:tr>
      <w:tr>
        <w:trPr>
          <w:trHeight w:val="223"/>
        </w:trPr>
        <w:tc>
          <w:tcPr>
            <w:tcW w:w="60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 Nations</w:t>
            </w: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(1,462)</w:t>
            </w:r>
          </w:p>
        </w:tc>
      </w:tr>
      <w:tr>
        <w:trPr>
          <w:trHeight w:val="33"/>
        </w:trPr>
        <w:tc>
          <w:tcPr>
            <w:tcW w:w="6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7"/>
        </w:trPr>
        <w:tc>
          <w:tcPr>
            <w:tcW w:w="60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States (U.S.)</w:t>
            </w:r>
          </w:p>
        </w:tc>
        <w:tc>
          <w:tcPr>
            <w:tcW w:w="10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1,817</w:t>
            </w:r>
          </w:p>
        </w:tc>
      </w:tr>
      <w:tr>
        <w:trPr>
          <w:trHeight w:val="217"/>
        </w:trPr>
        <w:tc>
          <w:tcPr>
            <w:tcW w:w="6080" w:type="dxa"/>
            <w:vAlign w:val="bottom"/>
          </w:tcPr>
          <w:p>
            <w:pPr>
              <w:spacing w:after="0"/>
              <w:rPr>
                <w:sz w:val="18"/>
                <w:szCs w:val="18"/>
                <w:color w:val="auto"/>
              </w:rPr>
            </w:pPr>
          </w:p>
        </w:tc>
        <w:tc>
          <w:tcPr>
            <w:tcW w:w="1060" w:type="dxa"/>
            <w:vAlign w:val="bottom"/>
            <w:tcBorders>
              <w:top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(1,003)</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7,796</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30,622</w:t>
            </w:r>
          </w:p>
        </w:tc>
      </w:tr>
      <w:tr>
        <w:trPr>
          <w:trHeight w:val="33"/>
        </w:trPr>
        <w:tc>
          <w:tcPr>
            <w:tcW w:w="60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75"/>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income tax expense</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28,321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33,386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60,955</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December 22, 2017, the U.S. Tax Cuts and Jobs Act (the “Tax Reform Act”) was enacted. Among the significant changes to the U.S. Internal Revenue Code, the Tax Reform Act reduced the U.S. federal corporate income tax rate from 35.0% to 21.0%, imposed a one-time tax on deemed repatriated income of foreign subsidiaries, eliminated the domestic manufacturing deduction and moved to a partial territorial system by providing a 100% dividend received deduction on certain qualified dividends from foreign subsidiaries.</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tax effects of temporary differences are as follows as of July 31, 2020 and 2019:</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July 31, 2020</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60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380" w:type="dxa"/>
            <w:vAlign w:val="bottom"/>
          </w:tcPr>
          <w:p>
            <w:pPr>
              <w:spacing w:after="0"/>
              <w:rPr>
                <w:sz w:val="18"/>
                <w:szCs w:val="18"/>
                <w:color w:val="auto"/>
              </w:rPr>
            </w:pPr>
          </w:p>
        </w:tc>
        <w:tc>
          <w:tcPr>
            <w:tcW w:w="130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60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Inventories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4,327</w:t>
            </w:r>
          </w:p>
        </w:tc>
      </w:tr>
      <w:tr>
        <w:trPr>
          <w:trHeight w:val="223"/>
        </w:trPr>
        <w:tc>
          <w:tcPr>
            <w:tcW w:w="6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Prepaid catalog costs</w:t>
            </w:r>
          </w:p>
        </w:tc>
        <w:tc>
          <w:tcPr>
            <w:tcW w:w="106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33"/>
        </w:trPr>
        <w:tc>
          <w:tcPr>
            <w:tcW w:w="60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6"/>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 compensation and benefits</w:t>
            </w:r>
          </w:p>
        </w:tc>
        <w:tc>
          <w:tcPr>
            <w:tcW w:w="10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3,267</w:t>
            </w:r>
          </w:p>
        </w:tc>
      </w:tr>
      <w:tr>
        <w:trPr>
          <w:trHeight w:val="223"/>
        </w:trPr>
        <w:tc>
          <w:tcPr>
            <w:tcW w:w="6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receivable</w:t>
            </w: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gridSpan w:val="2"/>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1,518</w:t>
            </w:r>
          </w:p>
        </w:tc>
      </w:tr>
      <w:tr>
        <w:trPr>
          <w:trHeight w:val="33"/>
        </w:trPr>
        <w:tc>
          <w:tcPr>
            <w:tcW w:w="60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6"/>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 assets</w:t>
            </w:r>
          </w:p>
        </w:tc>
        <w:tc>
          <w:tcPr>
            <w:tcW w:w="10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(3,622)</w:t>
            </w:r>
          </w:p>
        </w:tc>
      </w:tr>
      <w:tr>
        <w:trPr>
          <w:trHeight w:val="223"/>
        </w:trPr>
        <w:tc>
          <w:tcPr>
            <w:tcW w:w="6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(31,488)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(30,462)</w:t>
            </w:r>
          </w:p>
        </w:tc>
      </w:tr>
      <w:tr>
        <w:trPr>
          <w:trHeight w:val="33"/>
        </w:trPr>
        <w:tc>
          <w:tcPr>
            <w:tcW w:w="60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6"/>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and equity-based compensation</w:t>
            </w:r>
          </w:p>
        </w:tc>
        <w:tc>
          <w:tcPr>
            <w:tcW w:w="10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7,851</w:t>
            </w:r>
          </w:p>
        </w:tc>
      </w:tr>
      <w:tr>
        <w:trPr>
          <w:trHeight w:val="224"/>
        </w:trPr>
        <w:tc>
          <w:tcPr>
            <w:tcW w:w="6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Postretirement benefits</w:t>
            </w: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2,971</w:t>
            </w:r>
          </w:p>
        </w:tc>
      </w:tr>
      <w:tr>
        <w:trPr>
          <w:trHeight w:val="33"/>
        </w:trPr>
        <w:tc>
          <w:tcPr>
            <w:tcW w:w="60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6"/>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credit and net operating loss carry-forwards</w:t>
            </w:r>
          </w:p>
        </w:tc>
        <w:tc>
          <w:tcPr>
            <w:tcW w:w="10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56,447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56,447</w:t>
            </w:r>
          </w:p>
        </w:tc>
      </w:tr>
      <w:tr>
        <w:trPr>
          <w:trHeight w:val="224"/>
        </w:trPr>
        <w:tc>
          <w:tcPr>
            <w:tcW w:w="6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Valuation allowances</w:t>
            </w: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(58,809)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gridSpan w:val="2"/>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(58,809)</w:t>
            </w:r>
          </w:p>
        </w:tc>
      </w:tr>
      <w:tr>
        <w:trPr>
          <w:trHeight w:val="33"/>
        </w:trPr>
        <w:tc>
          <w:tcPr>
            <w:tcW w:w="60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7"/>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10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11,786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7,086</w:t>
            </w:r>
          </w:p>
        </w:tc>
      </w:tr>
      <w:tr>
        <w:trPr>
          <w:trHeight w:val="217"/>
        </w:trPr>
        <w:tc>
          <w:tcPr>
            <w:tcW w:w="6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1060" w:type="dxa"/>
            <w:vAlign w:val="bottom"/>
            <w:tcBorders>
              <w:top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34,208</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(43,649)</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(9,441)</w:t>
            </w:r>
          </w:p>
        </w:tc>
      </w:tr>
      <w:tr>
        <w:trPr>
          <w:trHeight w:val="33"/>
        </w:trPr>
        <w:tc>
          <w:tcPr>
            <w:tcW w:w="60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60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July 31, 2019</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60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Liabilities</w:t>
            </w:r>
          </w:p>
        </w:tc>
        <w:tc>
          <w:tcPr>
            <w:tcW w:w="380" w:type="dxa"/>
            <w:vAlign w:val="bottom"/>
          </w:tcPr>
          <w:p>
            <w:pPr>
              <w:spacing w:after="0"/>
              <w:rPr>
                <w:sz w:val="18"/>
                <w:szCs w:val="18"/>
                <w:color w:val="auto"/>
              </w:rPr>
            </w:pPr>
          </w:p>
        </w:tc>
        <w:tc>
          <w:tcPr>
            <w:tcW w:w="130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60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Inventories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3,855</w:t>
            </w:r>
          </w:p>
        </w:tc>
      </w:tr>
      <w:tr>
        <w:trPr>
          <w:trHeight w:val="224"/>
        </w:trPr>
        <w:tc>
          <w:tcPr>
            <w:tcW w:w="6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Prepaid catalog costs</w:t>
            </w:r>
          </w:p>
        </w:tc>
        <w:tc>
          <w:tcPr>
            <w:tcW w:w="106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w:t>
            </w:r>
          </w:p>
        </w:tc>
      </w:tr>
      <w:tr>
        <w:trPr>
          <w:trHeight w:val="33"/>
        </w:trPr>
        <w:tc>
          <w:tcPr>
            <w:tcW w:w="60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 compensation and benefits</w:t>
            </w:r>
          </w:p>
        </w:tc>
        <w:tc>
          <w:tcPr>
            <w:tcW w:w="10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6,932</w:t>
            </w:r>
          </w:p>
        </w:tc>
      </w:tr>
      <w:tr>
        <w:trPr>
          <w:trHeight w:val="223"/>
        </w:trPr>
        <w:tc>
          <w:tcPr>
            <w:tcW w:w="6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receivable</w:t>
            </w: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w:t>
            </w:r>
          </w:p>
        </w:tc>
      </w:tr>
      <w:tr>
        <w:trPr>
          <w:trHeight w:val="33"/>
        </w:trPr>
        <w:tc>
          <w:tcPr>
            <w:tcW w:w="60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6"/>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 assets</w:t>
            </w:r>
          </w:p>
        </w:tc>
        <w:tc>
          <w:tcPr>
            <w:tcW w:w="10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(3,744)</w:t>
            </w:r>
          </w:p>
        </w:tc>
      </w:tr>
      <w:tr>
        <w:trPr>
          <w:trHeight w:val="224"/>
        </w:trPr>
        <w:tc>
          <w:tcPr>
            <w:tcW w:w="6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(31,415)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(29,983)</w:t>
            </w:r>
          </w:p>
        </w:tc>
      </w:tr>
      <w:tr>
        <w:trPr>
          <w:trHeight w:val="33"/>
        </w:trPr>
        <w:tc>
          <w:tcPr>
            <w:tcW w:w="60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and equity-based compensation</w:t>
            </w:r>
          </w:p>
        </w:tc>
        <w:tc>
          <w:tcPr>
            <w:tcW w:w="10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7,352</w:t>
            </w:r>
          </w:p>
        </w:tc>
      </w:tr>
      <w:tr>
        <w:trPr>
          <w:trHeight w:val="224"/>
        </w:trPr>
        <w:tc>
          <w:tcPr>
            <w:tcW w:w="6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Postretirement benefits</w:t>
            </w: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2,588</w:t>
            </w:r>
          </w:p>
        </w:tc>
      </w:tr>
      <w:tr>
        <w:trPr>
          <w:trHeight w:val="33"/>
        </w:trPr>
        <w:tc>
          <w:tcPr>
            <w:tcW w:w="60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credit and net operating loss carry-forwards</w:t>
            </w:r>
          </w:p>
        </w:tc>
        <w:tc>
          <w:tcPr>
            <w:tcW w:w="10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62,966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62,966</w:t>
            </w:r>
          </w:p>
        </w:tc>
      </w:tr>
      <w:tr>
        <w:trPr>
          <w:trHeight w:val="223"/>
        </w:trPr>
        <w:tc>
          <w:tcPr>
            <w:tcW w:w="6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Valuation allowances</w:t>
            </w: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gridSpan w:val="2"/>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(60,073)</w:t>
            </w:r>
          </w:p>
        </w:tc>
      </w:tr>
      <w:tr>
        <w:trPr>
          <w:trHeight w:val="33"/>
        </w:trPr>
        <w:tc>
          <w:tcPr>
            <w:tcW w:w="60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7"/>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10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w:t>
            </w:r>
          </w:p>
        </w:tc>
      </w:tr>
      <w:tr>
        <w:trPr>
          <w:trHeight w:val="217"/>
        </w:trPr>
        <w:tc>
          <w:tcPr>
            <w:tcW w:w="6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1060" w:type="dxa"/>
            <w:vAlign w:val="bottom"/>
            <w:tcBorders>
              <w:top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36,687</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(47,270)</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(10,583)</w:t>
            </w:r>
          </w:p>
        </w:tc>
      </w:tr>
      <w:tr>
        <w:trPr>
          <w:trHeight w:val="33"/>
        </w:trPr>
        <w:tc>
          <w:tcPr>
            <w:tcW w:w="60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
        </w:trPr>
        <w:tc>
          <w:tcPr>
            <w:tcW w:w="60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Tax credit carry-forwards as of July 31, 2020 consist of the following:</w:t>
      </w:r>
    </w:p>
    <w:p>
      <w:pPr>
        <w:spacing w:after="0" w:line="171" w:lineRule="exact"/>
        <w:rPr>
          <w:sz w:val="20"/>
          <w:szCs w:val="20"/>
          <w:color w:val="auto"/>
        </w:rPr>
      </w:pPr>
    </w:p>
    <w:p>
      <w:pPr>
        <w:ind w:left="980" w:hanging="324"/>
        <w:spacing w:after="0" w:line="261"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net operating loss carry-forwards of $96,104, of which $86,063 have no expiration date and the remainder of which expire within the next 17 years.</w:t>
      </w: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net operating loss carry-forwards of $29,109, which expire from 2025 to 2040.</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 credit carry-forwards of $24,633, which expire from 2021 to 2029.</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R&amp;D credit carry-forwards of $12,714, which expire from 2021 to 2035.</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Rate Reconciliation</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 reconciliation of the income tax rate computed by applying the statutory U.S. federal income tax rate to income before income taxes and losses of unconsolidated affiliate to the total income tax expense is as follows: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Tax at statutory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State income taxes, net of federal tax benefit</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International rate differential</w:t>
      </w:r>
      <w:r>
        <w:rPr>
          <w:rFonts w:ascii="Times New Roman" w:cs="Times New Roman" w:eastAsia="Times New Roman" w:hAnsi="Times New Roman"/>
          <w:sz w:val="21"/>
          <w:szCs w:val="2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1625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Rate variances arising from foreign subsidiary distributions</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Foreign tax credit carryforward valuation allowance</w:t>
      </w:r>
      <w:r>
        <w:rPr>
          <w:rFonts w:ascii="Times New Roman" w:cs="Times New Roman" w:eastAsia="Times New Roman" w:hAnsi="Times New Roman"/>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1625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Divestiture of business</w:t>
      </w:r>
      <w:r>
        <w:rPr>
          <w:rFonts w:ascii="Times New Roman" w:cs="Times New Roman" w:eastAsia="Times New Roman" w:hAnsi="Times New Roman"/>
          <w:sz w:val="21"/>
          <w:szCs w:val="21"/>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625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6"/>
          <w:szCs w:val="16"/>
          <w:color w:val="auto"/>
        </w:rPr>
        <w:t>Adjustments to tax accruals and reserves</w:t>
      </w:r>
      <w:r>
        <w:rPr>
          <w:rFonts w:ascii="Times New Roman" w:cs="Times New Roman" w:eastAsia="Times New Roman" w:hAnsi="Times New Roman"/>
          <w:sz w:val="21"/>
          <w:szCs w:val="21"/>
          <w:color w:val="auto"/>
          <w:vertAlign w:val="superscript"/>
        </w:rPr>
        <w:t>(4)</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Non-deductible executive compensation</w:t>
      </w:r>
      <w:r>
        <w:rPr>
          <w:rFonts w:ascii="Times New Roman" w:cs="Times New Roman" w:eastAsia="Times New Roman" w:hAnsi="Times New Roman"/>
          <w:sz w:val="21"/>
          <w:szCs w:val="21"/>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631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Research and development tax credits and domestic manufacturer’s deduction</w:t>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Deferred tax and other adjustments,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1885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Income tax rate</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color w:val="auto"/>
        </w:rPr>
        <w:t>Years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258000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580005"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1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80" w:type="dxa"/>
            <w:vAlign w:val="bottom"/>
          </w:tcPr>
          <w:p>
            <w:pPr>
              <w:spacing w:after="0"/>
              <w:rPr>
                <w:sz w:val="18"/>
                <w:szCs w:val="18"/>
                <w:color w:val="auto"/>
              </w:rPr>
            </w:pPr>
          </w:p>
        </w:tc>
      </w:tr>
      <w:tr>
        <w:trPr>
          <w:trHeight w:val="33"/>
        </w:trPr>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17"/>
        </w:trPr>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6"/>
        </w:trPr>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2"/>
                <w:szCs w:val="22"/>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1.6 %</w:t>
            </w:r>
          </w:p>
        </w:tc>
      </w:tr>
      <w:tr>
        <w:trPr>
          <w:trHeight w:val="257"/>
        </w:trPr>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2"/>
                <w:szCs w:val="22"/>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 %</w:t>
            </w:r>
          </w:p>
        </w:tc>
      </w:tr>
      <w:tr>
        <w:trPr>
          <w:trHeight w:val="256"/>
        </w:trPr>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2"/>
                <w:szCs w:val="22"/>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7"/>
        </w:trPr>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7"/>
        </w:trPr>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4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(0.8) %</w:t>
            </w:r>
          </w:p>
        </w:tc>
      </w:tr>
      <w:tr>
        <w:trPr>
          <w:trHeight w:val="256"/>
        </w:trPr>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00" w:type="dxa"/>
            <w:vAlign w:val="bottom"/>
          </w:tcPr>
          <w:p>
            <w:pPr>
              <w:spacing w:after="0"/>
              <w:rPr>
                <w:sz w:val="22"/>
                <w:szCs w:val="22"/>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7"/>
        </w:trPr>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0.5 %</w:t>
            </w:r>
          </w:p>
        </w:tc>
        <w:tc>
          <w:tcPr>
            <w:tcW w:w="1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2"/>
                <w:szCs w:val="22"/>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0.5 %</w:t>
            </w:r>
          </w:p>
        </w:tc>
      </w:tr>
      <w:tr>
        <w:trPr>
          <w:trHeight w:val="256"/>
        </w:trPr>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00" w:type="dxa"/>
            <w:vAlign w:val="bottom"/>
          </w:tcPr>
          <w:p>
            <w:pPr>
              <w:spacing w:after="0"/>
              <w:rPr>
                <w:sz w:val="22"/>
                <w:szCs w:val="22"/>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20" w:type="dxa"/>
            <w:vAlign w:val="bottom"/>
          </w:tcPr>
          <w:p>
            <w:pPr>
              <w:spacing w:after="0"/>
              <w:rPr>
                <w:sz w:val="22"/>
                <w:szCs w:val="22"/>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 %</w:t>
            </w:r>
          </w:p>
        </w:tc>
      </w:tr>
      <w:tr>
        <w:trPr>
          <w:trHeight w:val="257"/>
        </w:trPr>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100" w:type="dxa"/>
            <w:vAlign w:val="bottom"/>
          </w:tcPr>
          <w:p>
            <w:pPr>
              <w:spacing w:after="0"/>
              <w:rPr>
                <w:sz w:val="22"/>
                <w:szCs w:val="22"/>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20" w:type="dxa"/>
            <w:vAlign w:val="bottom"/>
          </w:tcPr>
          <w:p>
            <w:pPr>
              <w:spacing w:after="0"/>
              <w:rPr>
                <w:sz w:val="22"/>
                <w:szCs w:val="22"/>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 %</w:t>
            </w:r>
          </w:p>
        </w:tc>
      </w:tr>
      <w:tr>
        <w:trPr>
          <w:trHeight w:val="33"/>
        </w:trPr>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17"/>
        </w:trPr>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0"/>
        </w:trPr>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6460" w:space="720"/>
            <w:col w:w="4060"/>
          </w:cols>
          <w:pgMar w:left="320" w:top="118" w:right="339" w:bottom="1440" w:gutter="0" w:footer="0" w:header="0"/>
          <w:type w:val="continuous"/>
        </w:sectPr>
      </w:pPr>
    </w:p>
    <w:p>
      <w:pPr>
        <w:ind w:left="660" w:hanging="328"/>
        <w:spacing w:after="0" w:line="261" w:lineRule="auto"/>
        <w:tabs>
          <w:tab w:leader="none" w:pos="65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foreign income tax rate differential when compared to the U.S. statutory income tax rate for the years ended July 31, 2020, 2019, and 2018.</w:t>
      </w:r>
    </w:p>
    <w:p>
      <w:pPr>
        <w:ind w:left="660" w:hanging="328"/>
        <w:spacing w:after="0" w:line="250" w:lineRule="auto"/>
        <w:tabs>
          <w:tab w:leader="none" w:pos="65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year ended July 31, 2018, includes the establishment of a valuation allowance against foreign tax credit carryforwards as a result of the Tax Reform Act.</w:t>
      </w:r>
    </w:p>
    <w:p>
      <w:pPr>
        <w:ind w:left="660" w:hanging="328"/>
        <w:spacing w:after="0" w:line="250" w:lineRule="auto"/>
        <w:tabs>
          <w:tab w:leader="none" w:pos="65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year ended July 31, 2018, includes the divestiture of the Company's Runelandhs business based in Sweden. Refer to Note 15, "Divestiture" for additional information.</w:t>
      </w:r>
    </w:p>
    <w:p>
      <w:pPr>
        <w:ind w:left="660" w:hanging="328"/>
        <w:spacing w:after="0" w:line="260" w:lineRule="auto"/>
        <w:tabs>
          <w:tab w:leader="none" w:pos="65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years ended July 31, 2020 and 2019, include reductions of uncertain tax positions resulting from the closure of audits and lapses in statues of limitations, while the year ended July 31, 2018, includes increases in uncertain tax positions.</w:t>
      </w:r>
    </w:p>
    <w:p>
      <w:pPr>
        <w:sectPr>
          <w:pgSz w:w="11900" w:h="16838" w:orient="portrait"/>
          <w:cols w:equalWidth="0" w:num="1">
            <w:col w:w="11240"/>
          </w:cols>
          <w:pgMar w:left="320" w:top="118" w:right="339" w:bottom="1440" w:gutter="0" w:footer="0" w:header="0"/>
          <w:type w:val="continuous"/>
        </w:sect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0" w:name="page51"/>
    <w:bookmarkEnd w:id="50"/>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hanging="328"/>
        <w:spacing w:after="0" w:line="282" w:lineRule="auto"/>
        <w:tabs>
          <w:tab w:leader="none" w:pos="65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years ended July 31, 2020, 2019 and 2018, include non-deductible compensation such as salaries, bonuses, and other equity compensation of the Company's executives (as defined in Internal Revenue Service Code Section 162(m)).</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follows the guidance in ASC 740, "Income Taxes" regarding uncertain tax positions. The guidance requires application of a more-likely-than-not threshold to the recognition and de-recognition of income tax positions. A reconciliation of unrecognized tax benefits (excluding interest and penalties)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32320" cy="1803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1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 at July 31, 2017</w:t>
      </w:r>
    </w:p>
    <w:p>
      <w:pPr>
        <w:spacing w:after="0" w:line="1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Additions based on tax positions related to the current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132320" cy="1631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Additions for tax positions of prior years</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Reductions for tax positions of 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1631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Lapse of statute of limitations</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Settlements with tax authorities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1631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Cumulative translation adjustments and other</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 as of July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97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Additions based on tax positions related to the current year</w:t>
      </w:r>
    </w:p>
    <w:p>
      <w:pPr>
        <w:spacing w:after="0" w:line="1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Additions for tax positions of 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1631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Reductions for tax positions of prior years</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Lapse of statute of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1625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Cumulative translation adjustments and other</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 as of July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97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Additions based on tax positions related to the current year</w:t>
      </w:r>
    </w:p>
    <w:p>
      <w:pPr>
        <w:spacing w:after="0" w:line="1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Additions for tax positions of 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1631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Reductions for tax positions of prior years</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Lapse of statute of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1631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Cumulative translation adjustments and other</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 as of July 31, 2020</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18,362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63500</wp:posOffset>
            </wp:positionV>
            <wp:extent cx="126873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spacing w:after="0" w:line="10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6"/>
          <w:szCs w:val="16"/>
          <w:color w:val="auto"/>
        </w:rPr>
        <w:t>2,467</w:t>
      </w:r>
    </w:p>
    <w:p>
      <w:pPr>
        <w:spacing w:after="0" w:line="7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6"/>
          <w:szCs w:val="16"/>
          <w:color w:val="auto"/>
        </w:rPr>
        <w:t>1,586</w:t>
      </w:r>
    </w:p>
    <w:p>
      <w:pPr>
        <w:spacing w:after="0" w:line="7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color w:val="auto"/>
        </w:rPr>
        <w:t>(23)</w:t>
      </w:r>
    </w:p>
    <w:p>
      <w:pPr>
        <w:spacing w:after="0" w:line="7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color w:val="auto"/>
        </w:rPr>
        <w:t>(489)</w:t>
      </w:r>
    </w:p>
    <w:p>
      <w:pPr>
        <w:spacing w:after="0" w:line="7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color w:val="auto"/>
        </w:rPr>
        <w:t>(1,277)</w:t>
      </w:r>
    </w:p>
    <w:p>
      <w:pPr>
        <w:spacing w:after="0" w:line="7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37465</wp:posOffset>
            </wp:positionV>
            <wp:extent cx="126873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spacing w:after="0" w:line="66"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20,430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37465</wp:posOffset>
            </wp:positionV>
            <wp:extent cx="126873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spacing w:after="0" w:line="10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6"/>
          <w:szCs w:val="16"/>
          <w:color w:val="auto"/>
        </w:rPr>
        <w:t>2,518</w:t>
      </w:r>
    </w:p>
    <w:p>
      <w:pPr>
        <w:spacing w:after="0" w:line="7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6"/>
          <w:szCs w:val="16"/>
          <w:color w:val="auto"/>
        </w:rPr>
        <w:t>612</w:t>
      </w:r>
    </w:p>
    <w:p>
      <w:pPr>
        <w:spacing w:after="0" w:line="7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color w:val="auto"/>
        </w:rPr>
        <w:t>(378)</w:t>
      </w:r>
    </w:p>
    <w:p>
      <w:pPr>
        <w:spacing w:after="0" w:line="7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color w:val="auto"/>
        </w:rPr>
        <w:t>(8,140)</w:t>
      </w:r>
    </w:p>
    <w:p>
      <w:pPr>
        <w:spacing w:after="0" w:line="7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37465</wp:posOffset>
            </wp:positionV>
            <wp:extent cx="126873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68730" cy="8890"/>
                    </a:xfrm>
                    <a:prstGeom prst="rect">
                      <a:avLst/>
                    </a:prstGeom>
                    <a:noFill/>
                  </pic:spPr>
                </pic:pic>
              </a:graphicData>
            </a:graphic>
          </wp:anchor>
        </w:drawing>
      </w:r>
    </w:p>
    <w:p>
      <w:pPr>
        <w:spacing w:after="0" w:line="66"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14,841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37465</wp:posOffset>
            </wp:positionV>
            <wp:extent cx="126873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68730" cy="8890"/>
                    </a:xfrm>
                    <a:prstGeom prst="rect">
                      <a:avLst/>
                    </a:prstGeom>
                    <a:noFill/>
                  </pic:spPr>
                </pic:pic>
              </a:graphicData>
            </a:graphic>
          </wp:anchor>
        </w:drawing>
      </w:r>
    </w:p>
    <w:p>
      <w:pPr>
        <w:spacing w:after="0" w:line="10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6"/>
          <w:szCs w:val="16"/>
          <w:color w:val="auto"/>
        </w:rPr>
        <w:t>2,798</w:t>
      </w:r>
    </w:p>
    <w:p>
      <w:pPr>
        <w:spacing w:after="0" w:line="7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6"/>
          <w:szCs w:val="16"/>
          <w:color w:val="auto"/>
        </w:rPr>
        <w:t>1,295</w:t>
      </w:r>
    </w:p>
    <w:p>
      <w:pPr>
        <w:spacing w:after="0" w:line="7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color w:val="auto"/>
        </w:rPr>
        <w:t>(5,087)</w:t>
      </w:r>
    </w:p>
    <w:p>
      <w:pPr>
        <w:spacing w:after="0" w:line="7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color w:val="auto"/>
        </w:rPr>
        <w:t>(117)</w:t>
      </w:r>
    </w:p>
    <w:p>
      <w:pPr>
        <w:spacing w:after="0" w:line="7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37465</wp:posOffset>
            </wp:positionV>
            <wp:extent cx="126873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spacing w:after="0" w:line="66"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13,622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37465</wp:posOffset>
            </wp:positionV>
            <wp:extent cx="126873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6873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63500</wp:posOffset>
            </wp:positionV>
            <wp:extent cx="126873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6873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40" w:space="720"/>
            <w:col w:w="1980"/>
          </w:cols>
          <w:pgMar w:left="320" w:top="118" w:right="339" w:bottom="1440" w:gutter="0" w:footer="0" w:header="0"/>
          <w:type w:val="continuous"/>
        </w:sectPr>
      </w:pPr>
    </w:p>
    <w:p>
      <w:pPr>
        <w:spacing w:after="0" w:line="2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Of the $13,622 of unrecognized tax benefits, if recognized, $10,557 would affect the Company's income tax rate. The Company has classified $8,931 and $10,218, excluding interest and penalties, of the reserve for uncertain tax positions in "Other liabilities" on the Consolidated Balance Sheets as of July 31, 2020 and 2019, respectively. The Company has classified $4,691 and $4,623, excluding interest and penalties, as a reduction of long-term deferred income tax assets on the accompanying Consolidated Balance Sheets as of July 31, 2020 and 2019, respectively.</w:t>
      </w:r>
    </w:p>
    <w:p>
      <w:pPr>
        <w:spacing w:after="0" w:line="12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Interest expense is recognized on the amount of potentially underpaid taxes associated with the Company's tax positions, beginning in the first period in which interest starts accruing under the respective tax law and continuing until the tax positions are settled. The Company recognized a decrease of $372, an decrease of $1,013, and an increase of $556 in interest expense during the years ended July 31, 2020, 2019, and 2018, respectively. There was a $96 decrease to the reserve for uncertain tax positions for penalties during the year ended July 31, 2020, a decrease of $2,357 during the year ended July 31, 2019, and an increase of $83 during the year end July 31, 2018. These amounts are net of reversals due to reductions for tax positions of prior years, statute of limitations, and settlements. At July 31, 2020 and 2019, the Company had $1,354 and $1,740, respectively, accrued for interest on unrecognized tax benefits. Penalties are accrued if the tax position does not meet the minimum statutory threshold to avoid the payment of a penalty. At July 31, 2020 and 2019, the Company had $658 and $663, respectively, accrued for penalties on unrecognized tax benefits. Interest expense and penalties are recorded as a component of "Income tax expense" in the Consolidated Statements of Income.</w:t>
      </w:r>
    </w:p>
    <w:p>
      <w:pPr>
        <w:spacing w:after="0" w:line="13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estimates that it is reasonably possible that the unrecognized tax benefits may be reduced by $1,437 within 12 months as a result of the resolution of worldwide tax matters, tax audit settlements, amended tax filings, and/or the expiration of statute of limitations, all of which, if recognized, would result in an income tax benefit in the Consolidated Statements of Income.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1" w:name="page52"/>
    <w:bookmarkEnd w:id="51"/>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year ended July 31, 2020, the Company recognized $504 of tax benefits (including interest and penalties) associated with the lapse of statutes of limitations. The Company also recognized $5,133 of tax benefits (including interest and penalties) associated with the reduction of tax positions for prior years due to the closure of certain tax audits.</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and its subsidiaries file income tax returns in the U.S., various states, and foreign jurisdictions. The following table summarizes the open tax years for the Company's major jurisdictions: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7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Jurisdiction</w:t>
            </w: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Open Tax Years</w:t>
            </w:r>
          </w:p>
        </w:tc>
      </w:tr>
      <w:tr>
        <w:trPr>
          <w:trHeight w:val="33"/>
        </w:trPr>
        <w:tc>
          <w:tcPr>
            <w:tcW w:w="8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r>
      <w:tr>
        <w:trPr>
          <w:trHeight w:val="217"/>
        </w:trPr>
        <w:tc>
          <w:tcPr>
            <w:tcW w:w="8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 — Federal</w:t>
            </w:r>
          </w:p>
        </w:tc>
        <w:tc>
          <w:tcPr>
            <w:tcW w:w="2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F’18 — F’20</w:t>
            </w:r>
          </w:p>
        </w:tc>
      </w:tr>
      <w:tr>
        <w:trPr>
          <w:trHeight w:val="33"/>
        </w:trPr>
        <w:tc>
          <w:tcPr>
            <w:tcW w:w="8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60" w:type="dxa"/>
            <w:vAlign w:val="bottom"/>
            <w:shd w:val="clear" w:color="auto" w:fill="CCEEFF"/>
          </w:tcPr>
          <w:p>
            <w:pPr>
              <w:spacing w:after="0"/>
              <w:rPr>
                <w:sz w:val="2"/>
                <w:szCs w:val="2"/>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Income per Common Share</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Basic net income per common share is computed by dividing net income (after deducting the applicable preferential Class A Common Stock dividends) by the weighted average Common Shares outstanding. The Company utilizes the two-class method to calculate income per share.</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Reconciliations of the numerator and denominator of the basic and diluted per share computations for the Company’s Class A and Class B common stock are summarized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6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Years ended July 31,</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2018</w:t>
            </w:r>
          </w:p>
        </w:tc>
        <w:tc>
          <w:tcPr>
            <w:tcW w:w="0" w:type="dxa"/>
            <w:vAlign w:val="bottom"/>
          </w:tcPr>
          <w:p>
            <w:pPr>
              <w:spacing w:after="0"/>
              <w:rPr>
                <w:sz w:val="1"/>
                <w:szCs w:val="1"/>
                <w:color w:val="auto"/>
              </w:rPr>
            </w:pPr>
          </w:p>
        </w:tc>
      </w:tr>
      <w:tr>
        <w:trPr>
          <w:trHeight w:val="33"/>
        </w:trPr>
        <w:tc>
          <w:tcPr>
            <w:tcW w:w="69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Numerator (in thousands):</w:t>
            </w: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69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6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9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Income (Numerator for basic and diluted income per Class A Nonvoting Common Share)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112,369</w:t>
            </w: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131,258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91,060</w:t>
            </w:r>
          </w:p>
        </w:tc>
        <w:tc>
          <w:tcPr>
            <w:tcW w:w="0" w:type="dxa"/>
            <w:vAlign w:val="bottom"/>
          </w:tcPr>
          <w:p>
            <w:pPr>
              <w:spacing w:after="0"/>
              <w:rPr>
                <w:sz w:val="1"/>
                <w:szCs w:val="1"/>
                <w:color w:val="auto"/>
              </w:rPr>
            </w:pPr>
          </w:p>
        </w:tc>
      </w:tr>
      <w:tr>
        <w:trPr>
          <w:trHeight w:val="223"/>
        </w:trPr>
        <w:tc>
          <w:tcPr>
            <w:tcW w:w="69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Less: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696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Preferential dividends</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w:t>
            </w:r>
          </w:p>
        </w:tc>
        <w:tc>
          <w:tcPr>
            <w:tcW w:w="0" w:type="dxa"/>
            <w:vAlign w:val="bottom"/>
          </w:tcPr>
          <w:p>
            <w:pPr>
              <w:spacing w:after="0"/>
              <w:rPr>
                <w:sz w:val="1"/>
                <w:szCs w:val="1"/>
                <w:color w:val="auto"/>
              </w:rPr>
            </w:pPr>
          </w:p>
        </w:tc>
      </w:tr>
      <w:tr>
        <w:trPr>
          <w:trHeight w:val="224"/>
        </w:trPr>
        <w:tc>
          <w:tcPr>
            <w:tcW w:w="69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Preferential dividends on dilutive stock options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33"/>
        </w:trPr>
        <w:tc>
          <w:tcPr>
            <w:tcW w:w="6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69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Numerator for basic and diluted income per Class B Voting Common Share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111,531</w:t>
            </w: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130,430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90,247</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Denominator (in thousands):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9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69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Denominator for basic income per share for both Class A and Class B</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52,763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52,596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51,677</w:t>
            </w:r>
          </w:p>
        </w:tc>
        <w:tc>
          <w:tcPr>
            <w:tcW w:w="0" w:type="dxa"/>
            <w:vAlign w:val="bottom"/>
          </w:tcPr>
          <w:p>
            <w:pPr>
              <w:spacing w:after="0"/>
              <w:rPr>
                <w:sz w:val="1"/>
                <w:szCs w:val="1"/>
                <w:color w:val="auto"/>
              </w:rPr>
            </w:pPr>
          </w:p>
        </w:tc>
      </w:tr>
      <w:tr>
        <w:trPr>
          <w:trHeight w:val="223"/>
        </w:trPr>
        <w:tc>
          <w:tcPr>
            <w:tcW w:w="69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Plus: Effect of dilutive equity awards</w:t>
            </w:r>
          </w:p>
        </w:tc>
        <w:tc>
          <w:tcPr>
            <w:tcW w:w="30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468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w:t>
            </w:r>
          </w:p>
        </w:tc>
        <w:tc>
          <w:tcPr>
            <w:tcW w:w="0" w:type="dxa"/>
            <w:vAlign w:val="bottom"/>
          </w:tcPr>
          <w:p>
            <w:pPr>
              <w:spacing w:after="0"/>
              <w:rPr>
                <w:sz w:val="1"/>
                <w:szCs w:val="1"/>
                <w:color w:val="auto"/>
              </w:rPr>
            </w:pPr>
          </w:p>
        </w:tc>
      </w:tr>
      <w:tr>
        <w:trPr>
          <w:trHeight w:val="33"/>
        </w:trPr>
        <w:tc>
          <w:tcPr>
            <w:tcW w:w="6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69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Denominator for diluted income per share for both Class A and Class B</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53,231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53,323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52,524</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 per Class A Nonvoting Common Share:</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9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96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Basic</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2.13</w:t>
            </w: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0" w:type="dxa"/>
            <w:vAlign w:val="bottom"/>
          </w:tcPr>
          <w:p>
            <w:pPr>
              <w:spacing w:after="0"/>
              <w:rPr>
                <w:sz w:val="1"/>
                <w:szCs w:val="1"/>
                <w:color w:val="auto"/>
              </w:rPr>
            </w:pPr>
          </w:p>
        </w:tc>
      </w:tr>
      <w:tr>
        <w:trPr>
          <w:trHeight w:val="223"/>
        </w:trPr>
        <w:tc>
          <w:tcPr>
            <w:tcW w:w="69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Diluted</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2.11</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0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0" w:type="dxa"/>
            <w:vAlign w:val="bottom"/>
          </w:tcPr>
          <w:p>
            <w:pPr>
              <w:spacing w:after="0"/>
              <w:rPr>
                <w:sz w:val="1"/>
                <w:szCs w:val="1"/>
                <w:color w:val="auto"/>
              </w:rPr>
            </w:pPr>
          </w:p>
        </w:tc>
      </w:tr>
      <w:tr>
        <w:trPr>
          <w:trHeight w:val="33"/>
        </w:trPr>
        <w:tc>
          <w:tcPr>
            <w:tcW w:w="6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per Class B Voting Common Share:</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9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Basic</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2.11</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0" w:type="dxa"/>
            <w:vAlign w:val="bottom"/>
          </w:tcPr>
          <w:p>
            <w:pPr>
              <w:spacing w:after="0"/>
              <w:rPr>
                <w:sz w:val="1"/>
                <w:szCs w:val="1"/>
                <w:color w:val="auto"/>
              </w:rPr>
            </w:pPr>
          </w:p>
        </w:tc>
      </w:tr>
      <w:tr>
        <w:trPr>
          <w:trHeight w:val="33"/>
        </w:trPr>
        <w:tc>
          <w:tcPr>
            <w:tcW w:w="6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9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Diluted</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2.10</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0" w:type="dxa"/>
            <w:vAlign w:val="bottom"/>
          </w:tcPr>
          <w:p>
            <w:pPr>
              <w:spacing w:after="0"/>
              <w:rPr>
                <w:sz w:val="1"/>
                <w:szCs w:val="1"/>
                <w:color w:val="auto"/>
              </w:rPr>
            </w:pPr>
          </w:p>
        </w:tc>
      </w:tr>
      <w:tr>
        <w:trPr>
          <w:trHeight w:val="33"/>
        </w:trPr>
        <w:tc>
          <w:tcPr>
            <w:tcW w:w="69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Potentially dilutive securities attributable to outstanding stock options and restricted stock units were excluded from the calculation of diluted earnings per share where the combined exercise price and average unamortized fair value were greater than the average market price of Brady's Class A Nonvoting Common Stock because the effect would have been anti-dilutive. The amount of anti-dilutive shares were 387,382, 372,255, and 751,200 for the fiscal years ended July 31, 2020, 2019, and 2018,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Fair Value Measurements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accordance with fair value accounting guidance, the Company determines fair value based on the exchange price that would be received to sell an asset or paid to transfer a liability in an orderly transaction between market participants. The inputs used to measure fair value are classified into the following hierarchy:</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Unadjusted quoted prices in active markets for identical instruments that are accessible as of the reporting date.</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Other significant pricing inputs that are either directly or indirectly observable.</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Significant unobservable pricing inputs, which result in the use of management's own assumptions.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2" w:name="page53"/>
    <w:bookmarkEnd w:id="52"/>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financial assets and liabilities that were accounted for at fair value on a recurring basis at July 31, 2020 and July 31, 2019, according to the valuation techniques the Company used to determine their fair values.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July 31, 2020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July 31, 2019</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Fair Value Hierarchy</w:t>
            </w:r>
          </w:p>
        </w:tc>
      </w:tr>
      <w:tr>
        <w:trPr>
          <w:trHeight w:val="33"/>
        </w:trPr>
        <w:tc>
          <w:tcPr>
            <w:tcW w:w="49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17"/>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4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20" w:type="dxa"/>
            <w:vAlign w:val="bottom"/>
            <w:tcBorders>
              <w:bottom w:val="single" w:sz="8" w:color="CCEEFF"/>
            </w:tcBorders>
            <w:shd w:val="clear" w:color="auto" w:fill="CCEEFF"/>
          </w:tcPr>
          <w:p>
            <w:pPr>
              <w:spacing w:after="0"/>
              <w:rPr>
                <w:sz w:val="18"/>
                <w:szCs w:val="18"/>
                <w:color w:val="auto"/>
              </w:rPr>
            </w:pPr>
          </w:p>
        </w:tc>
      </w:tr>
      <w:tr>
        <w:trPr>
          <w:trHeight w:val="224"/>
        </w:trPr>
        <w:tc>
          <w:tcPr>
            <w:tcW w:w="49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Trading securities</w:t>
            </w:r>
          </w:p>
        </w:tc>
        <w:tc>
          <w:tcPr>
            <w:tcW w:w="1480" w:type="dxa"/>
            <w:vAlign w:val="bottom"/>
          </w:tcPr>
          <w:p>
            <w:pPr>
              <w:jc w:val="right"/>
              <w:ind w:right="129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18,606</w:t>
            </w:r>
          </w:p>
        </w:tc>
        <w:tc>
          <w:tcPr>
            <w:tcW w:w="100" w:type="dxa"/>
            <w:vAlign w:val="bottom"/>
          </w:tcPr>
          <w:p>
            <w:pPr>
              <w:spacing w:after="0"/>
              <w:rPr>
                <w:sz w:val="19"/>
                <w:szCs w:val="19"/>
                <w:color w:val="auto"/>
              </w:rPr>
            </w:pPr>
          </w:p>
        </w:tc>
        <w:tc>
          <w:tcPr>
            <w:tcW w:w="1500" w:type="dxa"/>
            <w:vAlign w:val="bottom"/>
          </w:tcPr>
          <w:p>
            <w:pPr>
              <w:jc w:val="right"/>
              <w:ind w:right="13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15,744</w:t>
            </w:r>
          </w:p>
        </w:tc>
        <w:tc>
          <w:tcPr>
            <w:tcW w:w="100" w:type="dxa"/>
            <w:vAlign w:val="bottom"/>
          </w:tcPr>
          <w:p>
            <w:pPr>
              <w:spacing w:after="0"/>
              <w:rPr>
                <w:sz w:val="19"/>
                <w:szCs w:val="19"/>
                <w:color w:val="auto"/>
              </w:rPr>
            </w:pPr>
          </w:p>
        </w:tc>
        <w:tc>
          <w:tcPr>
            <w:tcW w:w="2020" w:type="dxa"/>
            <w:vAlign w:val="bottom"/>
          </w:tcPr>
          <w:p>
            <w:pPr>
              <w:ind w:left="1520"/>
              <w:spacing w:after="0"/>
              <w:rPr>
                <w:sz w:val="20"/>
                <w:szCs w:val="20"/>
                <w:color w:val="auto"/>
              </w:rPr>
            </w:pPr>
            <w:r>
              <w:rPr>
                <w:rFonts w:ascii="Times New Roman" w:cs="Times New Roman" w:eastAsia="Times New Roman" w:hAnsi="Times New Roman"/>
                <w:sz w:val="16"/>
                <w:szCs w:val="16"/>
                <w:color w:val="auto"/>
                <w:w w:val="99"/>
              </w:rPr>
              <w:t>Level 1</w:t>
            </w:r>
          </w:p>
        </w:tc>
      </w:tr>
      <w:tr>
        <w:trPr>
          <w:trHeight w:val="33"/>
        </w:trPr>
        <w:tc>
          <w:tcPr>
            <w:tcW w:w="49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37"/>
        </w:trPr>
        <w:tc>
          <w:tcPr>
            <w:tcW w:w="4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14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w:t>
            </w:r>
          </w:p>
        </w:tc>
        <w:tc>
          <w:tcPr>
            <w:tcW w:w="1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10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ind w:left="1520"/>
              <w:spacing w:after="0"/>
              <w:rPr>
                <w:sz w:val="20"/>
                <w:szCs w:val="20"/>
                <w:color w:val="auto"/>
              </w:rPr>
            </w:pPr>
            <w:r>
              <w:rPr>
                <w:rFonts w:ascii="Times New Roman" w:cs="Times New Roman" w:eastAsia="Times New Roman" w:hAnsi="Times New Roman"/>
                <w:sz w:val="16"/>
                <w:szCs w:val="16"/>
                <w:color w:val="auto"/>
                <w:w w:val="99"/>
              </w:rPr>
              <w:t>Level 2</w:t>
            </w:r>
          </w:p>
        </w:tc>
      </w:tr>
      <w:tr>
        <w:trPr>
          <w:trHeight w:val="223"/>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33"/>
        </w:trPr>
        <w:tc>
          <w:tcPr>
            <w:tcW w:w="49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24"/>
        </w:trPr>
        <w:tc>
          <w:tcPr>
            <w:tcW w:w="4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1480" w:type="dxa"/>
            <w:vAlign w:val="bottom"/>
            <w:shd w:val="clear" w:color="auto" w:fill="CCEEFF"/>
          </w:tcPr>
          <w:p>
            <w:pPr>
              <w:jc w:val="right"/>
              <w:ind w:right="129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6"/>
                <w:szCs w:val="16"/>
                <w:color w:val="auto"/>
                <w:w w:val="99"/>
              </w:rPr>
              <w:t>Level 2</w:t>
            </w:r>
          </w:p>
        </w:tc>
      </w:tr>
      <w:tr>
        <w:trPr>
          <w:trHeight w:val="33"/>
        </w:trPr>
        <w:tc>
          <w:tcPr>
            <w:tcW w:w="49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r>
    </w:tbl>
    <w:p>
      <w:pPr>
        <w:spacing w:after="0" w:line="3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methods and assumptions were used to estimate the fair value of each class of financial instrument:</w:t>
      </w:r>
    </w:p>
    <w:p>
      <w:pPr>
        <w:spacing w:after="0" w:line="169"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Trading securities</w:t>
      </w:r>
      <w:r>
        <w:rPr>
          <w:rFonts w:ascii="Times New Roman" w:cs="Times New Roman" w:eastAsia="Times New Roman" w:hAnsi="Times New Roman"/>
          <w:sz w:val="18"/>
          <w:szCs w:val="18"/>
          <w:color w:val="auto"/>
        </w:rPr>
        <w:t>: The Company’s deferred compensation investments consist of investments in mutual funds, which are included in "Other assets"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accompanying Consolidated Balance Sheets. These investments were classified as Level 1 as the shares of these investments trade with sufficient frequency and volume to enable us to obtain pricing information on an ongoing basis.</w:t>
      </w:r>
    </w:p>
    <w:p>
      <w:pPr>
        <w:spacing w:after="0" w:line="119"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Foreign exchange contracts</w:t>
      </w:r>
      <w:r>
        <w:rPr>
          <w:rFonts w:ascii="Times New Roman" w:cs="Times New Roman" w:eastAsia="Times New Roman" w:hAnsi="Times New Roman"/>
          <w:sz w:val="18"/>
          <w:szCs w:val="18"/>
          <w:color w:val="auto"/>
        </w:rPr>
        <w:t>: The Company’s foreign exchange contracts were classified as Level 2 as the fair value was based on the present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future cash flows using external models that use observable inputs, such as interest rates, yield curves and foreign exchange rates. See Note 14, “Derivatives and Hedging Activities,” for additional information.</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transfers of assets or liabilities between the fair value hierarchy levels, outlined above, during the fiscal years ended July 31, 2020 and July 31, 2019.</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6 for information regarding the fair value of the Company's short-term and long-term debt.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Derivatives and Hedging Activities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utilizes forward foreign exchange currency contracts to reduce the exchange rate risk of specific foreign currency denominated transactions. These contracts typically require the exchange of a foreign currency for U.S. dollars at a fixed rate at a future date, with maturities of less than 18 months, which qualify as cash flow hedges or net investment hedges under the accounting guidance for derivative instruments and hedging activities. The primary objective of the Company’s foreign currency exchange risk management program is to minimize the impact of currency movements due to transactions in other than the respective subsidiaries’ functional currency and to minimize the impact of currency movements on the Company’s net investment denominated in a currency other than the U.S. dollar. To achieve this objective, the Company hedges a portion of known exposures using forward foreign exchange contracts.</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Main foreign currency exposures are related to transactions denominated in the British Pound, Euro, Canadian dollar, Australian dollar, Mexican Peso, Chinese Yuan, Malaysian Ringgit and Singapore dollar. Generally, these risk management transactions will involve the use of foreign currency derivatives to minimize the impact of currency movements on non-functional currency transactions.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U.S. dollar equivalent notional amounts of outstanding forward exchange contracts were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July 31, 2020</w:t>
            </w:r>
          </w:p>
        </w:tc>
        <w:tc>
          <w:tcPr>
            <w:tcW w:w="300" w:type="dxa"/>
            <w:vAlign w:val="bottom"/>
          </w:tcPr>
          <w:p>
            <w:pPr>
              <w:spacing w:after="0"/>
              <w:rPr>
                <w:sz w:val="18"/>
                <w:szCs w:val="18"/>
                <w:color w:val="auto"/>
              </w:rPr>
            </w:pPr>
          </w:p>
        </w:tc>
        <w:tc>
          <w:tcPr>
            <w:tcW w:w="16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July 31, 2019</w:t>
            </w:r>
          </w:p>
        </w:tc>
      </w:tr>
      <w:tr>
        <w:trPr>
          <w:trHeight w:val="33"/>
        </w:trPr>
        <w:tc>
          <w:tcPr>
            <w:tcW w:w="7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0"/>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Designated as cash flow hedges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24,600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26,013</w:t>
            </w:r>
          </w:p>
        </w:tc>
      </w:tr>
      <w:tr>
        <w:trPr>
          <w:trHeight w:val="223"/>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Non-designated hedges</w:t>
            </w:r>
          </w:p>
        </w:tc>
        <w:tc>
          <w:tcPr>
            <w:tcW w:w="3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3,376</w:t>
            </w:r>
          </w:p>
        </w:tc>
      </w:tr>
      <w:tr>
        <w:trPr>
          <w:trHeight w:val="33"/>
        </w:trPr>
        <w:tc>
          <w:tcPr>
            <w:tcW w:w="7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72"/>
        </w:trPr>
        <w:tc>
          <w:tcPr>
            <w:tcW w:w="72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foreign exchange contracts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27,707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29,389</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designated a portion of its forward foreign exchange contracts as cash flow hedges and recorded these contracts at fair value on the accompanying Consolidated Balance Sheets. For these instruments, the gain or loss on the derivative is reported as a component of other comprehensive income (“OCI”) and reclassified into income in the same period or periods during which the hedged transaction affects income. At July 31, 2020 and 2019, unrealized losses of $385 and gains of $805 have been included in AOCI, respectively.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Investment Hedges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has designated certain third party-foreign currency denominated debt instruments as net investment hedges. On May 13, 2010, the Company completed the private placement of €75.0 million aggregate principal amount of senior unsecured notes consisting of €30.0 million aggregate principal amount of 3.71% Series 2010-A Senior Notes, which were repaid during fiscal 2017, and €45.0 million aggregate principal amount of 4.24% Series 2010-A Senior Notes, which were repaid during fiscal 2020. This Euro-denominated debt obligation was designated as a net investment hedge to selectively hedge portions of the Company's net investment in European operations. The Company’s foreign denominated debt obligations are valued under a market approach using publicized spot prices, and the net gains or losses attributable to the changes in spot prices are recorded as cumulative translation within AOCI and are included in the foreign currency translation adjustments section of the Consolidated Statement of Comprehensive Income. As of July 31, 2020 and 2019, the cumulative balance recognized in accumulated other comprehensive income were gains of $13,957 and $12,440, respectively, on the Euro-denominated debt obligations.</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amount of pre-tax gains and losses related to derivatives designated as hedging instruments: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July 31, 2020</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July 31, 2019</w:t>
            </w:r>
          </w:p>
        </w:tc>
        <w:tc>
          <w:tcPr>
            <w:tcW w:w="300" w:type="dxa"/>
            <w:vAlign w:val="bottom"/>
          </w:tcPr>
          <w:p>
            <w:pPr>
              <w:spacing w:after="0"/>
              <w:rPr>
                <w:sz w:val="18"/>
                <w:szCs w:val="18"/>
                <w:color w:val="auto"/>
              </w:rPr>
            </w:pPr>
          </w:p>
        </w:tc>
        <w:tc>
          <w:tcPr>
            <w:tcW w:w="160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July 31, 2018</w:t>
            </w:r>
          </w:p>
        </w:tc>
      </w:tr>
      <w:tr>
        <w:trPr>
          <w:trHeight w:val="33"/>
        </w:trPr>
        <w:tc>
          <w:tcPr>
            <w:tcW w:w="53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16"/>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(Losses) gains recognized in OCI:</w:t>
            </w:r>
          </w:p>
        </w:tc>
        <w:tc>
          <w:tcPr>
            <w:tcW w:w="14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spacing w:after="0"/>
              <w:rPr>
                <w:sz w:val="18"/>
                <w:szCs w:val="18"/>
                <w:color w:val="auto"/>
              </w:rPr>
            </w:pPr>
          </w:p>
        </w:tc>
      </w:tr>
      <w:tr>
        <w:trPr>
          <w:trHeight w:val="224"/>
        </w:trPr>
        <w:tc>
          <w:tcPr>
            <w:tcW w:w="53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Foreign exchange contracts (cash flow hedges)</w:t>
            </w:r>
          </w:p>
        </w:tc>
        <w:tc>
          <w:tcPr>
            <w:tcW w:w="1440" w:type="dxa"/>
            <w:vAlign w:val="bottom"/>
          </w:tcPr>
          <w:p>
            <w:pPr>
              <w:jc w:val="right"/>
              <w:ind w:right="125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12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837</w:t>
            </w:r>
          </w:p>
        </w:tc>
        <w:tc>
          <w:tcPr>
            <w:tcW w:w="12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center"/>
              <w:ind w:left="1119"/>
              <w:spacing w:after="0"/>
              <w:rPr>
                <w:sz w:val="20"/>
                <w:szCs w:val="20"/>
                <w:color w:val="auto"/>
              </w:rPr>
            </w:pPr>
            <w:r>
              <w:rPr>
                <w:rFonts w:ascii="Times New Roman" w:cs="Times New Roman" w:eastAsia="Times New Roman" w:hAnsi="Times New Roman"/>
                <w:sz w:val="16"/>
                <w:szCs w:val="16"/>
                <w:color w:val="auto"/>
                <w:w w:val="99"/>
              </w:rPr>
              <w:t>966</w:t>
            </w:r>
          </w:p>
        </w:tc>
      </w:tr>
      <w:tr>
        <w:trPr>
          <w:trHeight w:val="33"/>
        </w:trPr>
        <w:tc>
          <w:tcPr>
            <w:tcW w:w="5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53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Foreign currency denominated debt (net investment hedges)</w:t>
            </w:r>
          </w:p>
        </w:tc>
        <w:tc>
          <w:tcPr>
            <w:tcW w:w="14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1,517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center"/>
              <w:ind w:left="1119"/>
              <w:spacing w:after="0"/>
              <w:rPr>
                <w:sz w:val="20"/>
                <w:szCs w:val="20"/>
                <w:color w:val="auto"/>
              </w:rPr>
            </w:pPr>
            <w:r>
              <w:rPr>
                <w:rFonts w:ascii="Times New Roman" w:cs="Times New Roman" w:eastAsia="Times New Roman" w:hAnsi="Times New Roman"/>
                <w:sz w:val="16"/>
                <w:szCs w:val="16"/>
                <w:color w:val="auto"/>
                <w:w w:val="99"/>
              </w:rPr>
              <w:t>612</w:t>
            </w:r>
          </w:p>
        </w:tc>
      </w:tr>
      <w:tr>
        <w:trPr>
          <w:trHeight w:val="224"/>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Gains reclassified from OCI into cost of goods sold:</w:t>
            </w:r>
          </w:p>
        </w:tc>
        <w:tc>
          <w:tcPr>
            <w:tcW w:w="1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33"/>
        </w:trPr>
        <w:tc>
          <w:tcPr>
            <w:tcW w:w="5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3"/>
        </w:trPr>
        <w:tc>
          <w:tcPr>
            <w:tcW w:w="5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Forward exchange contracts (cash flow hedges)</w:t>
            </w:r>
          </w:p>
        </w:tc>
        <w:tc>
          <w:tcPr>
            <w:tcW w:w="14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jc w:val="center"/>
              <w:ind w:left="1079"/>
              <w:spacing w:after="0"/>
              <w:rPr>
                <w:sz w:val="20"/>
                <w:szCs w:val="20"/>
                <w:color w:val="auto"/>
              </w:rPr>
            </w:pPr>
            <w:r>
              <w:rPr>
                <w:rFonts w:ascii="Times New Roman" w:cs="Times New Roman" w:eastAsia="Times New Roman" w:hAnsi="Times New Roman"/>
                <w:sz w:val="16"/>
                <w:szCs w:val="16"/>
                <w:color w:val="auto"/>
              </w:rPr>
              <w:t>(551)</w:t>
            </w:r>
          </w:p>
        </w:tc>
      </w:tr>
      <w:tr>
        <w:trPr>
          <w:trHeight w:val="33"/>
        </w:trPr>
        <w:tc>
          <w:tcPr>
            <w:tcW w:w="53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3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Non-Designated Hedges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fiscal years ended July 31, 2020, 2019, and 2018, the Company recognized gains of $2, losses of $52, and gains of $24, respectively, in “Investment and other income” in the Consolidated Statements of Income related to non-designated hedges.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Fair values of derivative and hedging instruments in the accompanying Consolidated Balance Sheets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137160</wp:posOffset>
            </wp:positionV>
            <wp:extent cx="42430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243070" cy="8255"/>
                    </a:xfrm>
                    <a:prstGeom prst="rect">
                      <a:avLst/>
                    </a:prstGeom>
                    <a:noFill/>
                  </pic:spPr>
                </pic:pic>
              </a:graphicData>
            </a:graphic>
          </wp:anchor>
        </w:drawing>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5"/>
          </w:tcPr>
          <w:p>
            <w:pPr>
              <w:ind w:left="740"/>
              <w:spacing w:after="0"/>
              <w:rPr>
                <w:sz w:val="20"/>
                <w:szCs w:val="20"/>
                <w:color w:val="auto"/>
              </w:rPr>
            </w:pPr>
            <w:r>
              <w:rPr>
                <w:rFonts w:ascii="Times New Roman" w:cs="Times New Roman" w:eastAsia="Times New Roman" w:hAnsi="Times New Roman"/>
                <w:sz w:val="16"/>
                <w:szCs w:val="16"/>
                <w:b w:val="1"/>
                <w:bCs w:val="1"/>
                <w:color w:val="auto"/>
              </w:rPr>
              <w:t>July 31, 2020</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July 31, 2019</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4520" w:type="dxa"/>
            <w:vAlign w:val="bottom"/>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7"/>
        </w:trPr>
        <w:tc>
          <w:tcPr>
            <w:tcW w:w="4520" w:type="dxa"/>
            <w:vAlign w:val="bottom"/>
          </w:tcPr>
          <w:p>
            <w:pPr>
              <w:spacing w:after="0"/>
              <w:rPr>
                <w:sz w:val="18"/>
                <w:szCs w:val="18"/>
                <w:color w:val="auto"/>
              </w:rPr>
            </w:pP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Prepaid expenses</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Prepaid expenses</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Current</w:t>
            </w:r>
          </w:p>
        </w:tc>
      </w:tr>
      <w:tr>
        <w:trPr>
          <w:trHeight w:val="203"/>
        </w:trPr>
        <w:tc>
          <w:tcPr>
            <w:tcW w:w="4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and</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and</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maturities on</w:t>
            </w:r>
          </w:p>
        </w:tc>
      </w:tr>
      <w:tr>
        <w:trPr>
          <w:trHeight w:val="203"/>
        </w:trPr>
        <w:tc>
          <w:tcPr>
            <w:tcW w:w="4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other current</w:t>
            </w: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Other current</w:t>
            </w: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other current</w:t>
            </w:r>
          </w:p>
        </w:tc>
        <w:tc>
          <w:tcPr>
            <w:tcW w:w="12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Other current</w:t>
            </w:r>
          </w:p>
        </w:tc>
        <w:tc>
          <w:tcPr>
            <w:tcW w:w="120" w:type="dxa"/>
            <w:vAlign w:val="bottom"/>
          </w:tcPr>
          <w:p>
            <w:pPr>
              <w:spacing w:after="0"/>
              <w:rPr>
                <w:sz w:val="17"/>
                <w:szCs w:val="17"/>
                <w:color w:val="auto"/>
              </w:rPr>
            </w:pPr>
          </w:p>
        </w:tc>
        <w:tc>
          <w:tcPr>
            <w:tcW w:w="11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long-term</w:t>
            </w:r>
          </w:p>
        </w:tc>
      </w:tr>
      <w:tr>
        <w:trPr>
          <w:trHeight w:val="212"/>
        </w:trPr>
        <w:tc>
          <w:tcPr>
            <w:tcW w:w="4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liabilities</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assets</w:t>
            </w:r>
          </w:p>
        </w:tc>
        <w:tc>
          <w:tcPr>
            <w:tcW w:w="1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20" w:type="dxa"/>
            <w:vAlign w:val="bottom"/>
          </w:tcPr>
          <w:p>
            <w:pPr>
              <w:spacing w:after="0"/>
              <w:rPr>
                <w:sz w:val="18"/>
                <w:szCs w:val="18"/>
                <w:color w:val="auto"/>
              </w:rPr>
            </w:pPr>
          </w:p>
        </w:tc>
        <w:tc>
          <w:tcPr>
            <w:tcW w:w="11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obligations</w:t>
            </w:r>
          </w:p>
        </w:tc>
      </w:tr>
      <w:tr>
        <w:trPr>
          <w:trHeight w:val="33"/>
        </w:trPr>
        <w:tc>
          <w:tcPr>
            <w:tcW w:w="4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designated as hedging instruments:</w:t>
            </w: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23"/>
        </w:trPr>
        <w:tc>
          <w:tcPr>
            <w:tcW w:w="45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Foreign exchange contracts (cash flow hedges)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45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Foreign currency denominated debt (net investment hedges)</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50,189</w:t>
            </w:r>
          </w:p>
        </w:tc>
      </w:tr>
      <w:tr>
        <w:trPr>
          <w:trHeight w:val="223"/>
        </w:trPr>
        <w:tc>
          <w:tcPr>
            <w:tcW w:w="4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not designated as hedging instruments:</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3"/>
        </w:trPr>
        <w:tc>
          <w:tcPr>
            <w:tcW w:w="4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6"/>
        </w:trPr>
        <w:tc>
          <w:tcPr>
            <w:tcW w:w="45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4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derivative instruments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594</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777</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50,189</w:t>
            </w:r>
          </w:p>
        </w:tc>
      </w:tr>
      <w:tr>
        <w:trPr>
          <w:trHeight w:val="33"/>
        </w:trPr>
        <w:tc>
          <w:tcPr>
            <w:tcW w:w="45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4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Divestiture</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May 31, 2018, the Company sold Runelandhs Försäljnings AB (“Runelandhs”), a business based in Kalmar, Sweden. Runelandhs is a direct marketer of industrial and office equipment. Its products include lifting, transporting, and warehouse equipment; workbenches and material handling supplies; products for environmental protection; and entrance, reception, and office furnishings. The Runelandhs business was part of the Company’s WPS segment and its income was not material. The Company received proceeds of $19,141, net of cash transferred with the business. The transaction resulted in a pre-tax and after-tax gain of $4,666, which was included in SG&amp;A expenses in the accompanying Consolidated Statements of Income for the year ended July 31, 2018. The divestiture of the Runelandhs business was part of the Company’s continued long-term growth strategy to focus the Company’s energies and resources on growth of the Company’s core businesses.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Unaudited Quarterly Financial Information</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Quarters</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33"/>
        </w:trPr>
        <w:tc>
          <w:tcPr>
            <w:tcW w:w="4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7"/>
        </w:trPr>
        <w:tc>
          <w:tcPr>
            <w:tcW w:w="4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First</w:t>
            </w:r>
          </w:p>
        </w:tc>
        <w:tc>
          <w:tcPr>
            <w:tcW w:w="24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Second</w:t>
            </w:r>
          </w:p>
        </w:tc>
        <w:tc>
          <w:tcPr>
            <w:tcW w:w="20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Third</w:t>
            </w:r>
          </w:p>
        </w:tc>
        <w:tc>
          <w:tcPr>
            <w:tcW w:w="24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Fourth</w:t>
            </w:r>
          </w:p>
        </w:tc>
        <w:tc>
          <w:tcPr>
            <w:tcW w:w="260" w:type="dxa"/>
            <w:vAlign w:val="bottom"/>
          </w:tcPr>
          <w:p>
            <w:pPr>
              <w:spacing w:after="0"/>
              <w:rPr>
                <w:sz w:val="18"/>
                <w:szCs w:val="18"/>
                <w:color w:val="auto"/>
              </w:rPr>
            </w:pPr>
          </w:p>
        </w:tc>
        <w:tc>
          <w:tcPr>
            <w:tcW w:w="100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4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6"/>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Fiscal 2019</w:t>
            </w:r>
          </w:p>
        </w:tc>
        <w:tc>
          <w:tcPr>
            <w:tcW w:w="2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r>
      <w:tr>
        <w:trPr>
          <w:trHeight w:val="224"/>
        </w:trPr>
        <w:tc>
          <w:tcPr>
            <w:tcW w:w="4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293,196</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282,426</w:t>
            </w:r>
          </w:p>
        </w:tc>
        <w:tc>
          <w:tcPr>
            <w:tcW w:w="120" w:type="dxa"/>
            <w:vAlign w:val="bottom"/>
          </w:tcPr>
          <w:p>
            <w:pPr>
              <w:spacing w:after="0"/>
              <w:rPr>
                <w:sz w:val="19"/>
                <w:szCs w:val="19"/>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289,745</w:t>
            </w:r>
          </w:p>
        </w:tc>
        <w:tc>
          <w:tcPr>
            <w:tcW w:w="12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295,278</w:t>
            </w:r>
          </w:p>
        </w:tc>
        <w:tc>
          <w:tcPr>
            <w:tcW w:w="12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1,160,645</w:t>
            </w:r>
          </w:p>
        </w:tc>
      </w:tr>
      <w:tr>
        <w:trPr>
          <w:trHeight w:val="33"/>
        </w:trPr>
        <w:tc>
          <w:tcPr>
            <w:tcW w:w="4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7"/>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146,539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139,810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145,749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146,580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578,678</w:t>
            </w:r>
          </w:p>
        </w:tc>
      </w:tr>
      <w:tr>
        <w:trPr>
          <w:trHeight w:val="224"/>
        </w:trPr>
        <w:tc>
          <w:tcPr>
            <w:tcW w:w="4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39,621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46,155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162,428</w:t>
            </w:r>
          </w:p>
        </w:tc>
      </w:tr>
      <w:tr>
        <w:trPr>
          <w:trHeight w:val="33"/>
        </w:trPr>
        <w:tc>
          <w:tcPr>
            <w:tcW w:w="4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7"/>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30,637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29,227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34,781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36,613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131,258</w:t>
            </w:r>
          </w:p>
        </w:tc>
      </w:tr>
      <w:tr>
        <w:trPr>
          <w:trHeight w:val="223"/>
        </w:trPr>
        <w:tc>
          <w:tcPr>
            <w:tcW w:w="4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Class A Nonvoting Common Share:</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33"/>
        </w:trPr>
        <w:tc>
          <w:tcPr>
            <w:tcW w:w="4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7"/>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r>
      <w:tr>
        <w:trPr>
          <w:trHeight w:val="224"/>
        </w:trPr>
        <w:tc>
          <w:tcPr>
            <w:tcW w:w="4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0.58</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0.55</w:t>
            </w:r>
          </w:p>
        </w:tc>
        <w:tc>
          <w:tcPr>
            <w:tcW w:w="120" w:type="dxa"/>
            <w:vAlign w:val="bottom"/>
          </w:tcPr>
          <w:p>
            <w:pPr>
              <w:spacing w:after="0"/>
              <w:rPr>
                <w:sz w:val="19"/>
                <w:szCs w:val="19"/>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0.65</w:t>
            </w:r>
          </w:p>
        </w:tc>
        <w:tc>
          <w:tcPr>
            <w:tcW w:w="12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0.68</w:t>
            </w:r>
          </w:p>
        </w:tc>
        <w:tc>
          <w:tcPr>
            <w:tcW w:w="12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w:t>
            </w:r>
          </w:p>
        </w:tc>
      </w:tr>
      <w:tr>
        <w:trPr>
          <w:trHeight w:val="33"/>
        </w:trPr>
        <w:tc>
          <w:tcPr>
            <w:tcW w:w="4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7"/>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Fiscal 2020</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23"/>
        </w:trPr>
        <w:tc>
          <w:tcPr>
            <w:tcW w:w="4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286,947</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276,665</w:t>
            </w:r>
          </w:p>
        </w:tc>
        <w:tc>
          <w:tcPr>
            <w:tcW w:w="120" w:type="dxa"/>
            <w:vAlign w:val="bottom"/>
          </w:tcPr>
          <w:p>
            <w:pPr>
              <w:spacing w:after="0"/>
              <w:rPr>
                <w:sz w:val="19"/>
                <w:szCs w:val="19"/>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265,943</w:t>
            </w:r>
          </w:p>
        </w:tc>
        <w:tc>
          <w:tcPr>
            <w:tcW w:w="12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251,744</w:t>
            </w:r>
          </w:p>
        </w:tc>
        <w:tc>
          <w:tcPr>
            <w:tcW w:w="12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1,081,299</w:t>
            </w:r>
          </w:p>
        </w:tc>
      </w:tr>
      <w:tr>
        <w:trPr>
          <w:trHeight w:val="33"/>
        </w:trPr>
        <w:tc>
          <w:tcPr>
            <w:tcW w:w="4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7"/>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141,405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139,127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129,527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118,506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528,565</w:t>
            </w:r>
          </w:p>
        </w:tc>
      </w:tr>
      <w:tr>
        <w:trPr>
          <w:trHeight w:val="224"/>
        </w:trPr>
        <w:tc>
          <w:tcPr>
            <w:tcW w:w="4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40,891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41,244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22,669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33,219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138,023</w:t>
            </w:r>
          </w:p>
        </w:tc>
      </w:tr>
      <w:tr>
        <w:trPr>
          <w:trHeight w:val="33"/>
        </w:trPr>
        <w:tc>
          <w:tcPr>
            <w:tcW w:w="4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7"/>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37,498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33,553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13,633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27,685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112,369</w:t>
            </w:r>
          </w:p>
        </w:tc>
      </w:tr>
      <w:tr>
        <w:trPr>
          <w:trHeight w:val="223"/>
        </w:trPr>
        <w:tc>
          <w:tcPr>
            <w:tcW w:w="4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Class A Nonvoting Common Share:</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33"/>
        </w:trPr>
        <w:tc>
          <w:tcPr>
            <w:tcW w:w="4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6"/>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r>
      <w:tr>
        <w:trPr>
          <w:trHeight w:val="224"/>
        </w:trPr>
        <w:tc>
          <w:tcPr>
            <w:tcW w:w="4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0.70</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0.62</w:t>
            </w:r>
          </w:p>
        </w:tc>
        <w:tc>
          <w:tcPr>
            <w:tcW w:w="120" w:type="dxa"/>
            <w:vAlign w:val="bottom"/>
          </w:tcPr>
          <w:p>
            <w:pPr>
              <w:spacing w:after="0"/>
              <w:rPr>
                <w:sz w:val="19"/>
                <w:szCs w:val="19"/>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12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0.53</w:t>
            </w:r>
          </w:p>
        </w:tc>
        <w:tc>
          <w:tcPr>
            <w:tcW w:w="12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w:t>
            </w:r>
          </w:p>
        </w:tc>
      </w:tr>
    </w:tbl>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 the third quarter of fiscal 2020, the Company recognized before tax impairment charges of $13,821.</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Subsequent Events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September 15, 2020, the Company announced an increase in the annual dividend to shareholders of the Company's Class A Common Stock, from $0.87 to $0.88 per share. A quarterly dividend of $0.22 will be paid on October 30, 2020, to shareholders of record at the close of business on October 9, 2020. This dividend represents an increase of 1.1% and is the 35th consecutive annual increase in dividends.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Brady Corporation maintains disclosure controls and procedures that are designed to ensure that information required to be disclosed by the Company in the reports filed by the Company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the Company in the reports the Company files under the Exchange Act is accumulated and communicated to the Company’s management, including the Company’s principal executive and principal financial officers, or persons performing similar functions, as appropriate to allow timely decisions regarding required disclosure. The Company carried out an evaluation, under the supervision and with the participation of its management, including its President and Chief Executive Officer and its Chief Financial Officer and Treasurer, of the effectiveness of the design and operation of the Company’s disclosure controls and procedures pursuant to Rule 13a-15 of the Exchange Act. Based on that evaluation, the Company’s President and Chief Executive Officer and Chief Financial Officer and Treasurer concluded that the Company’s disclosure controls and procedures are effective as of the end of the period covered by this report.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management of Brady Corporation and its subsidiaries is responsible for establishing and maintaining adequate internal control over financial reporting for the Company, as such term is defined in Rule 13a-15(f) under the Securities Exchange Act of 1934. The Company’s internal control over financial reporting is designed to provide reasonable assurance regarding the reliability of financial reporting and the preparation of financial statements for external purposes in accordance with generally accepted accounting principles.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5" w:name="page56"/>
    <w:bookmarkEnd w:id="55"/>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With the participation of the President and Chief Executive Officer and Chief Financial Officer and Treasurer, management conducted an evaluation of the effectiveness of our internal control over financial reporting as of July 31, 2020, based on the framework and criteria established in </w:t>
      </w:r>
      <w:r>
        <w:rPr>
          <w:rFonts w:ascii="Times New Roman" w:cs="Times New Roman" w:eastAsia="Times New Roman" w:hAnsi="Times New Roman"/>
          <w:sz w:val="18"/>
          <w:szCs w:val="18"/>
          <w:i w:val="1"/>
          <w:iCs w:val="1"/>
          <w:color w:val="auto"/>
        </w:rPr>
        <w:t>Internal Control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Integrated Framework (2013)</w:t>
      </w:r>
      <w:r>
        <w:rPr>
          <w:rFonts w:ascii="Times New Roman" w:cs="Times New Roman" w:eastAsia="Times New Roman" w:hAnsi="Times New Roman"/>
          <w:sz w:val="18"/>
          <w:szCs w:val="18"/>
          <w:color w:val="auto"/>
        </w:rPr>
        <w:t>, issued by the Committee of Sponsoring Organizations of the Treadway Commission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the assessment,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concluded that, as of July 31, 2020, the Company’s internal control over financial reporting is effective based on those criteria.</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Because of the inherent limitations of internal control over financial reporting, misstatements may not be prevented or detected on a timely basis. Also, projections of any evaluation of the effectiveness of internal control over financial reporting to future periods are subject to the risk that the controls may become inadequate because of changes in conditions, or that the degree of compliance with the policies or procedures may deteriorate.</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internal control over financial reporting, as of July 31, 2020, has been audited by Deloitte &amp; Touche LLP, an independent registered public accounting firm, as stated in their report, which is included herein.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defined in Exchange Act Rules 13a-15(f) and 15d-15(f)) that occurred during the Company’s most recently completed fiscal quarter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Brady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Milwaukee, Wisconsin</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Brady Corporation and subsidiaries (the “Company”) as of July 31, 2020,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July 31, 2020,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consolidated financial statements as of and for the year ended July 31, 2020, of the Company and our report dated September 16, 2020, expressed an unqualified opinion on those financial statements, and included an emphasis of a matter paragraph regarding the Company’s change in method of accounting for leases for the year ended July 31, 2020, due to the adoption of the Financial Accounting Standards Board Accounting Standard Update No. 2016-02, </w:t>
      </w:r>
      <w:r>
        <w:rPr>
          <w:rFonts w:ascii="Times New Roman" w:cs="Times New Roman" w:eastAsia="Times New Roman" w:hAnsi="Times New Roman"/>
          <w:sz w:val="18"/>
          <w:szCs w:val="18"/>
          <w:i w:val="1"/>
          <w:iCs w:val="1"/>
          <w:color w:val="auto"/>
        </w:rPr>
        <w:t>Leases (Topic ASC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842)</w:t>
      </w:r>
      <w:r>
        <w:rPr>
          <w:rFonts w:ascii="Times New Roman" w:cs="Times New Roman" w:eastAsia="Times New Roman" w:hAnsi="Times New Roman"/>
          <w:sz w:val="18"/>
          <w:szCs w:val="18"/>
          <w:color w:val="auto"/>
        </w:rPr>
        <w: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Milwaukee, Wisconsin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16, 2020</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7" w:name="page58"/>
    <w:bookmarkEnd w:id="57"/>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00" w:type="dxa"/>
            <w:vAlign w:val="bottom"/>
            <w:tcBorders>
              <w:bottom w:val="single" w:sz="8" w:color="CCEEFF"/>
            </w:tcBorders>
          </w:tcPr>
          <w:p>
            <w:pPr>
              <w:spacing w:after="0"/>
              <w:rPr>
                <w:sz w:val="16"/>
                <w:szCs w:val="16"/>
                <w:color w:val="auto"/>
              </w:rPr>
            </w:pPr>
          </w:p>
        </w:tc>
        <w:tc>
          <w:tcPr>
            <w:tcW w:w="4860" w:type="dxa"/>
            <w:vAlign w:val="bottom"/>
            <w:tcBorders>
              <w:bottom w:val="single" w:sz="8" w:color="auto"/>
            </w:tcBorders>
          </w:tcPr>
          <w:p>
            <w:pPr>
              <w:ind w:left="228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248"/>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 Michael Nauman</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100" w:type="dxa"/>
            <w:vAlign w:val="bottom"/>
            <w:tcBorders>
              <w:bottom w:val="single" w:sz="8" w:color="CCEEFF"/>
            </w:tcBorders>
            <w:shd w:val="clear" w:color="auto" w:fill="CCEEFF"/>
          </w:tcPr>
          <w:p>
            <w:pPr>
              <w:spacing w:after="0"/>
              <w:rPr>
                <w:sz w:val="21"/>
                <w:szCs w:val="21"/>
                <w:color w:val="auto"/>
              </w:rPr>
            </w:pPr>
          </w:p>
        </w:tc>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President, CEO and Director</w:t>
            </w:r>
          </w:p>
        </w:tc>
      </w:tr>
      <w:tr>
        <w:trPr>
          <w:trHeight w:val="243"/>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Aaron J. Pearce</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100" w:type="dxa"/>
            <w:vAlign w:val="bottom"/>
          </w:tcPr>
          <w:p>
            <w:pPr>
              <w:spacing w:after="0"/>
              <w:rPr>
                <w:sz w:val="21"/>
                <w:szCs w:val="21"/>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7"/>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60" w:type="dxa"/>
            <w:vAlign w:val="bottom"/>
          </w:tcPr>
          <w:p>
            <w:pPr>
              <w:spacing w:after="0"/>
              <w:rPr>
                <w:sz w:val="2"/>
                <w:szCs w:val="2"/>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Bentley N. Curran</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100" w:type="dxa"/>
            <w:vAlign w:val="bottom"/>
            <w:tcBorders>
              <w:bottom w:val="single" w:sz="8" w:color="CCEEFF"/>
            </w:tcBorders>
            <w:shd w:val="clear" w:color="auto" w:fill="CCEEFF"/>
          </w:tcPr>
          <w:p>
            <w:pPr>
              <w:spacing w:after="0"/>
              <w:rPr>
                <w:sz w:val="21"/>
                <w:szCs w:val="21"/>
                <w:color w:val="auto"/>
              </w:rPr>
            </w:pPr>
          </w:p>
        </w:tc>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V.P. - Digital Business and Chief Information Officer</w:t>
            </w:r>
          </w:p>
        </w:tc>
      </w:tr>
      <w:tr>
        <w:trPr>
          <w:trHeight w:val="243"/>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Pascal Deman</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100" w:type="dxa"/>
            <w:vAlign w:val="bottom"/>
          </w:tcPr>
          <w:p>
            <w:pPr>
              <w:spacing w:after="0"/>
              <w:rPr>
                <w:sz w:val="21"/>
                <w:szCs w:val="21"/>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V.P., General Manager - Workplace Safety</w:t>
            </w:r>
          </w:p>
        </w:tc>
      </w:tr>
      <w:tr>
        <w:trPr>
          <w:trHeight w:val="27"/>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60" w:type="dxa"/>
            <w:vAlign w:val="bottom"/>
          </w:tcPr>
          <w:p>
            <w:pPr>
              <w:spacing w:after="0"/>
              <w:rPr>
                <w:sz w:val="2"/>
                <w:szCs w:val="2"/>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Helena R. Nelligan</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100" w:type="dxa"/>
            <w:vAlign w:val="bottom"/>
            <w:tcBorders>
              <w:bottom w:val="single" w:sz="8" w:color="CCEEFF"/>
            </w:tcBorders>
            <w:shd w:val="clear" w:color="auto" w:fill="CCEEFF"/>
          </w:tcPr>
          <w:p>
            <w:pPr>
              <w:spacing w:after="0"/>
              <w:rPr>
                <w:sz w:val="21"/>
                <w:szCs w:val="21"/>
                <w:color w:val="auto"/>
              </w:rPr>
            </w:pPr>
          </w:p>
        </w:tc>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V.P. - Human Resources</w:t>
            </w:r>
          </w:p>
        </w:tc>
      </w:tr>
      <w:tr>
        <w:trPr>
          <w:trHeight w:val="243"/>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Russell R. Shaller</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100" w:type="dxa"/>
            <w:vAlign w:val="bottom"/>
          </w:tcPr>
          <w:p>
            <w:pPr>
              <w:spacing w:after="0"/>
              <w:rPr>
                <w:sz w:val="21"/>
                <w:szCs w:val="21"/>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V.P., President - Identification Solutions</w:t>
            </w:r>
          </w:p>
        </w:tc>
      </w:tr>
      <w:tr>
        <w:trPr>
          <w:trHeight w:val="27"/>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60" w:type="dxa"/>
            <w:vAlign w:val="bottom"/>
          </w:tcPr>
          <w:p>
            <w:pPr>
              <w:spacing w:after="0"/>
              <w:rPr>
                <w:sz w:val="2"/>
                <w:szCs w:val="2"/>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 E. Thornton</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100" w:type="dxa"/>
            <w:vAlign w:val="bottom"/>
            <w:tcBorders>
              <w:bottom w:val="single" w:sz="8" w:color="CCEEFF"/>
            </w:tcBorders>
            <w:shd w:val="clear" w:color="auto" w:fill="CCEEFF"/>
          </w:tcPr>
          <w:p>
            <w:pPr>
              <w:spacing w:after="0"/>
              <w:rPr>
                <w:sz w:val="21"/>
                <w:szCs w:val="21"/>
                <w:color w:val="auto"/>
              </w:rPr>
            </w:pPr>
          </w:p>
        </w:tc>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Accounting Officer and Corporate Controller</w:t>
            </w:r>
          </w:p>
        </w:tc>
      </w:tr>
      <w:tr>
        <w:trPr>
          <w:trHeight w:val="243"/>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Andrew T. Gorman</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100" w:type="dxa"/>
            <w:vAlign w:val="bottom"/>
          </w:tcPr>
          <w:p>
            <w:pPr>
              <w:spacing w:after="0"/>
              <w:rPr>
                <w:sz w:val="21"/>
                <w:szCs w:val="21"/>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Counsel and Secretary</w:t>
            </w:r>
          </w:p>
        </w:tc>
      </w:tr>
      <w:tr>
        <w:trPr>
          <w:trHeight w:val="27"/>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60" w:type="dxa"/>
            <w:vAlign w:val="bottom"/>
          </w:tcPr>
          <w:p>
            <w:pPr>
              <w:spacing w:after="0"/>
              <w:rPr>
                <w:sz w:val="2"/>
                <w:szCs w:val="2"/>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Patrick W. Allender</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73</w:t>
            </w:r>
          </w:p>
        </w:tc>
        <w:tc>
          <w:tcPr>
            <w:tcW w:w="100" w:type="dxa"/>
            <w:vAlign w:val="bottom"/>
            <w:tcBorders>
              <w:bottom w:val="single" w:sz="8" w:color="CCEEFF"/>
            </w:tcBorders>
            <w:shd w:val="clear" w:color="auto" w:fill="CCEEFF"/>
          </w:tcPr>
          <w:p>
            <w:pPr>
              <w:spacing w:after="0"/>
              <w:rPr>
                <w:sz w:val="21"/>
                <w:szCs w:val="21"/>
                <w:color w:val="auto"/>
              </w:rPr>
            </w:pPr>
          </w:p>
        </w:tc>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Gary S. Balkema</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100" w:type="dxa"/>
            <w:vAlign w:val="bottom"/>
          </w:tcPr>
          <w:p>
            <w:pPr>
              <w:spacing w:after="0"/>
              <w:rPr>
                <w:sz w:val="21"/>
                <w:szCs w:val="21"/>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7"/>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60" w:type="dxa"/>
            <w:vAlign w:val="bottom"/>
          </w:tcPr>
          <w:p>
            <w:pPr>
              <w:spacing w:after="0"/>
              <w:rPr>
                <w:sz w:val="2"/>
                <w:szCs w:val="2"/>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David S. Bem</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100" w:type="dxa"/>
            <w:vAlign w:val="bottom"/>
            <w:tcBorders>
              <w:bottom w:val="single" w:sz="8" w:color="CCEEFF"/>
            </w:tcBorders>
            <w:shd w:val="clear" w:color="auto" w:fill="CCEEFF"/>
          </w:tcPr>
          <w:p>
            <w:pPr>
              <w:spacing w:after="0"/>
              <w:rPr>
                <w:sz w:val="21"/>
                <w:szCs w:val="21"/>
                <w:color w:val="auto"/>
              </w:rPr>
            </w:pPr>
          </w:p>
        </w:tc>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Elizabeth P. Bruno</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100" w:type="dxa"/>
            <w:vAlign w:val="bottom"/>
          </w:tcPr>
          <w:p>
            <w:pPr>
              <w:spacing w:after="0"/>
              <w:rPr>
                <w:sz w:val="21"/>
                <w:szCs w:val="21"/>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7"/>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60" w:type="dxa"/>
            <w:vAlign w:val="bottom"/>
          </w:tcPr>
          <w:p>
            <w:pPr>
              <w:spacing w:after="0"/>
              <w:rPr>
                <w:sz w:val="2"/>
                <w:szCs w:val="2"/>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Nancy L. Gioia</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00" w:type="dxa"/>
            <w:vAlign w:val="bottom"/>
            <w:tcBorders>
              <w:bottom w:val="single" w:sz="8" w:color="CCEEFF"/>
            </w:tcBorders>
            <w:shd w:val="clear" w:color="auto" w:fill="CCEEFF"/>
          </w:tcPr>
          <w:p>
            <w:pPr>
              <w:spacing w:after="0"/>
              <w:rPr>
                <w:sz w:val="21"/>
                <w:szCs w:val="21"/>
                <w:color w:val="auto"/>
              </w:rPr>
            </w:pPr>
          </w:p>
        </w:tc>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Conrad G. Goodkind</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76</w:t>
            </w:r>
          </w:p>
        </w:tc>
        <w:tc>
          <w:tcPr>
            <w:tcW w:w="100" w:type="dxa"/>
            <w:vAlign w:val="bottom"/>
          </w:tcPr>
          <w:p>
            <w:pPr>
              <w:spacing w:after="0"/>
              <w:rPr>
                <w:sz w:val="21"/>
                <w:szCs w:val="21"/>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7"/>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60" w:type="dxa"/>
            <w:vAlign w:val="bottom"/>
          </w:tcPr>
          <w:p>
            <w:pPr>
              <w:spacing w:after="0"/>
              <w:rPr>
                <w:sz w:val="2"/>
                <w:szCs w:val="2"/>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Frank W. Harris</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78</w:t>
            </w:r>
          </w:p>
        </w:tc>
        <w:tc>
          <w:tcPr>
            <w:tcW w:w="100" w:type="dxa"/>
            <w:vAlign w:val="bottom"/>
            <w:tcBorders>
              <w:bottom w:val="single" w:sz="8" w:color="CCEEFF"/>
            </w:tcBorders>
            <w:shd w:val="clear" w:color="auto" w:fill="CCEEFF"/>
          </w:tcPr>
          <w:p>
            <w:pPr>
              <w:spacing w:after="0"/>
              <w:rPr>
                <w:sz w:val="21"/>
                <w:szCs w:val="21"/>
                <w:color w:val="auto"/>
              </w:rPr>
            </w:pPr>
          </w:p>
        </w:tc>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Bradley C. Richardson</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100" w:type="dxa"/>
            <w:vAlign w:val="bottom"/>
          </w:tcPr>
          <w:p>
            <w:pPr>
              <w:spacing w:after="0"/>
              <w:rPr>
                <w:sz w:val="21"/>
                <w:szCs w:val="21"/>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7"/>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60" w:type="dxa"/>
            <w:vAlign w:val="bottom"/>
          </w:tcPr>
          <w:p>
            <w:pPr>
              <w:spacing w:after="0"/>
              <w:rPr>
                <w:sz w:val="2"/>
                <w:szCs w:val="2"/>
                <w:color w:val="auto"/>
              </w:rPr>
            </w:pPr>
          </w:p>
        </w:tc>
      </w:tr>
      <w:tr>
        <w:trPr>
          <w:trHeight w:val="243"/>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Michelle E. Williams</w:t>
            </w: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100" w:type="dxa"/>
            <w:vAlign w:val="bottom"/>
            <w:shd w:val="clear" w:color="auto" w:fill="CCEEFF"/>
          </w:tcPr>
          <w:p>
            <w:pPr>
              <w:spacing w:after="0"/>
              <w:rPr>
                <w:sz w:val="21"/>
                <w:szCs w:val="21"/>
                <w:color w:val="auto"/>
              </w:rPr>
            </w:pPr>
          </w:p>
        </w:tc>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7"/>
        </w:trPr>
        <w:tc>
          <w:tcPr>
            <w:tcW w:w="4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60" w:type="dxa"/>
            <w:vAlign w:val="bottom"/>
            <w:shd w:val="clear" w:color="auto" w:fill="CCEEFF"/>
          </w:tcPr>
          <w:p>
            <w:pPr>
              <w:spacing w:after="0"/>
              <w:rPr>
                <w:sz w:val="2"/>
                <w:szCs w:val="2"/>
                <w:color w:val="auto"/>
              </w:rPr>
            </w:pPr>
          </w:p>
        </w:tc>
      </w:tr>
    </w:tbl>
    <w:p>
      <w:pPr>
        <w:spacing w:after="0" w:line="14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J. Michael Nauman - </w:t>
      </w:r>
      <w:r>
        <w:rPr>
          <w:rFonts w:ascii="Times New Roman" w:cs="Times New Roman" w:eastAsia="Times New Roman" w:hAnsi="Times New Roman"/>
          <w:sz w:val="18"/>
          <w:szCs w:val="18"/>
          <w:color w:val="auto"/>
        </w:rPr>
        <w:t>Mr. Nauman has served on the Company’s Board of Directors and as the Company’s President and CEO since August 2014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 to joining the Company, Mr. Nauman spent 20 years at Molex Incorporated, where he led global businesses in the automotive, data communications, industrial, medical, military/aerospace and mobile sectors. In 2007, he became Molex's Senior Vice President leading its Global Integrated Products Division and was named Executive Vice President in 2009. Before joining Molex in 1994, Mr. Nauman was a tax accountant and auditor for Arthur Andersen and Company and Controller and then President of Ohio Associated Enterprises, Inc. Mr. Nauman’s broad operational and financial experience and perspective as the Company's CEO, as well as his leadership and strategic perspective, provide the Board with insight and expertise to drive the Company’s growth and performance. Mr. Nauman holds a bachelor’s of science degree in management from Case Western Reserve University. He is a certified public accountant and chartered global management accountant. He is a board member of the Arkansas Science, Technology, Engineering and Math Coalition, the Quapaw Area Council of the Boy Scouts of America, and the Anthony School Board of Trustees.</w:t>
      </w:r>
    </w:p>
    <w:p>
      <w:pPr>
        <w:spacing w:after="0" w:line="13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Aaron J. Pearce </w:t>
      </w:r>
      <w:r>
        <w:rPr>
          <w:rFonts w:ascii="Times New Roman" w:cs="Times New Roman" w:eastAsia="Times New Roman" w:hAnsi="Times New Roman"/>
          <w:sz w:val="18"/>
          <w:szCs w:val="18"/>
          <w:color w:val="auto"/>
        </w:rPr>
        <w:t>- Mr. Pearce joined the Company in 2004 as Director of Internal Audit and currently serves as Chief Financial Officer and Treasurer.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Pearce was appointed Senior Vice President and Chief Financial Officer in September 2014, and Chief Accounting Officer in July 2015. From 2006 to 2008, he served as Finance Director for the Company’s Asia Pacific region, and from 2008 to 2010, served as Global Tax Director. In January 2010, Mr. Pearce was appointed Vice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President, Treasurer, and Director of Investor Relations, and in April 2013, was named Vice President - Finance, with responsibility for finance support to the Company’s Workplace Safety and Identification Solutions businesses, financial planning and analysis, and investor relations. Prior to joining the Company, Mr. Pearce was an auditor with Deloitte &amp; Touche LLP. He holds a bachelor’s degree in business administration from the University of Wisconsin-Milwaukee and is a certified public accountant.</w:t>
      </w:r>
    </w:p>
    <w:p>
      <w:pPr>
        <w:spacing w:after="0" w:line="12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Bentley N. Curran - </w:t>
      </w:r>
      <w:r>
        <w:rPr>
          <w:rFonts w:ascii="Times New Roman" w:cs="Times New Roman" w:eastAsia="Times New Roman" w:hAnsi="Times New Roman"/>
          <w:sz w:val="18"/>
          <w:szCs w:val="18"/>
          <w:color w:val="auto"/>
        </w:rPr>
        <w:t>Mr. Curran joined the Company in 1999 and has served as Vice President of Digital Business and Chief Information Officer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2012. He has also served as Chief Information Officer and Vice President of Information Technology. Prior to joining Brady, Mr. Curran served in a variety of technology leadership roles for Compucom and the Speed Queen Company. He holds a bachelor's degree in business administration from Marian University and an associate of science degree in electronics and engineering systems.</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Pascal Deman - </w:t>
      </w:r>
      <w:r>
        <w:rPr>
          <w:rFonts w:ascii="Times New Roman" w:cs="Times New Roman" w:eastAsia="Times New Roman" w:hAnsi="Times New Roman"/>
          <w:sz w:val="18"/>
          <w:szCs w:val="18"/>
          <w:color w:val="auto"/>
        </w:rPr>
        <w:t>Mr. Deman joined the Company in 2014 and has served as Vice President and General Manager of Workplace Safety since 2020. Prior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joining the Company, Mr. Deman worked at Nisbets Plc., as Executive Adviser and General Manager, Europe and North America. Prior to working at Nisbets, Mr. Deman worked for the Company from 1998 through 2012, holding numerous positions of increasing responsibilities and scope. He holds a degree in marketing from Hogeschool in Antwerp, Belgium.</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Helena R. Nelligan - </w:t>
      </w:r>
      <w:r>
        <w:rPr>
          <w:rFonts w:ascii="Times New Roman" w:cs="Times New Roman" w:eastAsia="Times New Roman" w:hAnsi="Times New Roman"/>
          <w:sz w:val="18"/>
          <w:szCs w:val="18"/>
          <w:color w:val="auto"/>
        </w:rPr>
        <w:t>Ms. Nelligan joined the Company as Senior Vice President - Human Resources in November 2013. Prior to joining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she was employed by Eaton Corporation beginning in 2005. At Eaton, she served as Vice President of Human Resources - Electrical Products Group, Vice President - Human Resources, Electrical Sector and Director Human Resources - Electrical Components Division. From 1997 to 2005, Ms. Nelligan served in human resources leadership roles with Merisant Worldwide, Inc. and British Petroleum. She holds a bachelor’s degree in criminal justice and a master’s degree in human resources and labor relations from Michigan State University.</w:t>
      </w:r>
    </w:p>
    <w:p>
      <w:pPr>
        <w:spacing w:after="0" w:line="12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Russell R. Shaller - </w:t>
      </w:r>
      <w:r>
        <w:rPr>
          <w:rFonts w:ascii="Times New Roman" w:cs="Times New Roman" w:eastAsia="Times New Roman" w:hAnsi="Times New Roman"/>
          <w:sz w:val="18"/>
          <w:szCs w:val="18"/>
          <w:color w:val="auto"/>
        </w:rPr>
        <w:t>Mr. Shaller joined the Company in June 2015 as Senior Vice President and President - Identification Solutions. From 2008 to 2015,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 served as President, Teledyne Microwave Solutions. Before joining Teledyne, Mr. Shaller held a number of positions of increasing responsibility at W.L. Gore &amp; Associates, including Division Leader, Electronic Products Division from 2003 to 2008 and General Manager of Gore Photonics from 2001 to 2003. Prior to joining W.L. Gore in 1993, Mr. Shaller worked in engineering and program management positions at Westinghouse Corporation. He holds a bachelor’s degree in electrical engineering from the University of Michigan, a master’s degree in electrical engineering from Johns Hopkins University and a master’s degree in business administration from the University of Delaware.</w:t>
      </w:r>
    </w:p>
    <w:p>
      <w:pPr>
        <w:spacing w:after="0" w:line="12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Ann E. Thornton - </w:t>
      </w:r>
      <w:r>
        <w:rPr>
          <w:rFonts w:ascii="Times New Roman" w:cs="Times New Roman" w:eastAsia="Times New Roman" w:hAnsi="Times New Roman"/>
          <w:sz w:val="18"/>
          <w:szCs w:val="18"/>
          <w:color w:val="auto"/>
        </w:rPr>
        <w:t>Ms. Thornton joined the Company in 2009 and has served as Chief Accounting Officer since 2016 and as Corporate Controller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 of Investor Relations since 2015. She held the positions of Corporate Accounting Supervisor, Corporate Accounting Manager, External Reporting Manager, Corporate Finance Manager and Director of Global Accounting from 2009 to 2014. Prior to joining the Company, Ms. Thornton was an auditor with PricewaterhouseCoopers from 2005 to 2009. She has a bachelor’s degree in business administration and a master of accountancy degree from the University of Wisconsin-Madison and is a certified public accountant.</w:t>
      </w:r>
    </w:p>
    <w:p>
      <w:pPr>
        <w:spacing w:after="0" w:line="1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Andrew T. Gorman - </w:t>
      </w:r>
      <w:r>
        <w:rPr>
          <w:rFonts w:ascii="Times New Roman" w:cs="Times New Roman" w:eastAsia="Times New Roman" w:hAnsi="Times New Roman"/>
          <w:sz w:val="18"/>
          <w:szCs w:val="18"/>
          <w:color w:val="auto"/>
        </w:rPr>
        <w:t>Mr. Gorman joined the Company as General Counsel and Corporate Secretary in April 2020. Prior to joining the Company, 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employed at AptarGroup, Inc., beginning in 2012. At AptarGroup, he served as Vice President, General Counsel, North America, Compliance Officer and Assistant Secretary. Before joining AptarGroup, he counseled corporate clients in private practice, including as an attorney at Mayer Brown, LLP in Chicago, where Mr. Gorman started his legal career. He holds a juris doctor from Loyola University Chicago School of Law, a master in professional accounting from The University of Texas at Austin, a bachelor of business administration from The University of Texas at Austin and is a certified public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accountant</w:t>
      </w:r>
      <w:r>
        <w:rPr>
          <w:rFonts w:ascii="Times New Roman" w:cs="Times New Roman" w:eastAsia="Times New Roman" w:hAnsi="Times New Roman"/>
          <w:sz w:val="21"/>
          <w:szCs w:val="21"/>
          <w:i w:val="1"/>
          <w:iCs w:val="1"/>
          <w:color w:val="auto"/>
        </w:rPr>
        <w:t>.</w:t>
      </w:r>
    </w:p>
    <w:p>
      <w:pPr>
        <w:spacing w:after="0" w:line="15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Patrick W. Allender - </w:t>
      </w:r>
      <w:r>
        <w:rPr>
          <w:rFonts w:ascii="Times New Roman" w:cs="Times New Roman" w:eastAsia="Times New Roman" w:hAnsi="Times New Roman"/>
          <w:sz w:val="18"/>
          <w:szCs w:val="18"/>
          <w:color w:val="auto"/>
        </w:rPr>
        <w:t>Mr. Allender was elected to the Board of Directors in 2007. He serves as the Chair of the Finance Committee and as a member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Audit and Corporate Governance Committees. He served as Executive Vice President and CFO of Danaher Corporation from 1998 to 2005 and Executive Vice President from 2005 to 2007. He has served as a director of Colfax Corporation since 2008, and previously served as director of Diebold Nixdorf, Inc. from 2011 to 2020. He has a bachelor's degree in accounting from Loyola University Maryland and is a certified public accountant. Mr. Allender's strong background in finance and accounting, as well as his past experience as the CFO of a public company, provides the Board with financial expertise and insight.</w:t>
      </w:r>
    </w:p>
    <w:p>
      <w:pPr>
        <w:spacing w:after="0" w:line="12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Gary S. Balkema - </w:t>
      </w:r>
      <w:r>
        <w:rPr>
          <w:rFonts w:ascii="Times New Roman" w:cs="Times New Roman" w:eastAsia="Times New Roman" w:hAnsi="Times New Roman"/>
          <w:sz w:val="18"/>
          <w:szCs w:val="18"/>
          <w:color w:val="auto"/>
        </w:rPr>
        <w:t>Mr. Balkema was elected to the Board of Directors in 2010. He serves as the Chair of the Management Development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Committee and is a member of the Audit Committee. From 2000 to 2011, he served as the President of Bayer Healthcare LLC and Worldwide Consumer Care Division. He was also responsible for overseeing Bayer LLC USA's compliance program. He has over 20 years of general management experience. Mr. Balkema has served as a</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director of PLx Pharma, Inc. since 2016. He has bachelor’s degrees in business administration and aeronautical science from Nathaniel Hawthorne College and a master of business administration degree from Fairleigh Dickinson University. Mr. Balkema brings strong experience in consumer marketing skills and mergers, acquisitions and integrations. His broad operating and functional experience are valuable to the Company given the diverse nature of the Company's portfolio.</w:t>
      </w:r>
    </w:p>
    <w:p>
      <w:pPr>
        <w:spacing w:after="0" w:line="12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David S. Bem, Ph.D - </w:t>
      </w:r>
      <w:r>
        <w:rPr>
          <w:rFonts w:ascii="Times New Roman" w:cs="Times New Roman" w:eastAsia="Times New Roman" w:hAnsi="Times New Roman"/>
          <w:sz w:val="18"/>
          <w:szCs w:val="18"/>
          <w:color w:val="auto"/>
        </w:rPr>
        <w:t>Dr. Bem was elected to the Board of Directors in 2019. He serves as a member of the Management Development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and the Technology Committees. Dr. Bem is Vice President, Science and Technology and Chief Technology Officer of PPG. Prior to PPG, he spent 8 years at Dow Chemical Company in a number of research and development roles, most recently as Vice President, Research and Development Consumer Solutions and Infrastructure Solutions, and also worked in research and development roles at Celanese Corporation and UOP/Honeywell International, Inc. He has a bachelor’s degree in chemistry from West Virginia University and a doctorate in inorganic chemistry from the Massachusetts Institute of Technology. Dr. Bem’s extensive experience in technology and research and development provides the Board with important expertise in new product development and innovation.</w:t>
      </w:r>
    </w:p>
    <w:p>
      <w:pPr>
        <w:spacing w:after="0" w:line="12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Elizabeth P. Bruno, Ph.D - </w:t>
      </w:r>
      <w:r>
        <w:rPr>
          <w:rFonts w:ascii="Times New Roman" w:cs="Times New Roman" w:eastAsia="Times New Roman" w:hAnsi="Times New Roman"/>
          <w:sz w:val="18"/>
          <w:szCs w:val="18"/>
          <w:color w:val="auto"/>
        </w:rPr>
        <w:t>Dr. Bruno was elected to the Board of Directors in 2003. She serves as the Chair of the Corporate Governance Committee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is a member of the Finance and Technology Committees. Dr. Bruno is the President of the Brady Education Foundation in Chapel Hill, North Carolina. Dr. Bruno has a bachelor’s degree in psychology from the University of Rochester, a master of child clinical psychology degree from the University of North Carolina Chapel Hill and a doctorate in developmental psychology from the University of North Carolina Chapel Hill. She is the granddaughter of William H. Brady, Jr., the founder of Brady Corporation. As a result of her substantial ownership stake in the Company, as well as her family's history with the Company, she is well positioned to understand, articulate and advocate for the rights and interests of the Company's shareholders.</w:t>
      </w:r>
    </w:p>
    <w:p>
      <w:pPr>
        <w:spacing w:after="0" w:line="12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Nancy L. Gioia - </w:t>
      </w:r>
      <w:r>
        <w:rPr>
          <w:rFonts w:ascii="Times New Roman" w:cs="Times New Roman" w:eastAsia="Times New Roman" w:hAnsi="Times New Roman"/>
          <w:sz w:val="18"/>
          <w:szCs w:val="18"/>
          <w:color w:val="auto"/>
        </w:rPr>
        <w:t>Ms. Gioia was elected to the Board of Directors in 2013. She serves as the Chair of the Technology Committee and is a member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Management Development and Compensation Committee. She was the Director, Global Electrical Connectivity and User Experience for Ford Motor Company until her retirement in 2014, where she also held a variety of engineering and technology roles including, Director, Global Electrification; Director, Sustainable Mobility Technologies and Hybrid Vehicle Programs; Director, North America Current Vehicle Model Quality; Engineering Director, Visteon/Ford Due Diligence; Engineering Director, Small Front Wheel Drive/Rear Wheel Drive Car Platforms-North America; and Vehicle Programs Director, Lifestyle Vehicles. She has served as a director of Meggit PLC since 2017 and as the Executive Director of Blue Current since 2019, and previously served as director of Exelon Corporation. Ms. Gioia has a bachelor’s degree in electrical engineering from the University of Michigan and a master of manufacturing systems engineering degree from Stanford University. Ms. Gioia's extensive experience in strategy, technology and engineering solutions, as well as her general business experience, provides the Board with important expertise in product development and operations.</w:t>
      </w:r>
    </w:p>
    <w:p>
      <w:pPr>
        <w:spacing w:after="0" w:line="13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Conrad G. Goodkind - </w:t>
      </w:r>
      <w:r>
        <w:rPr>
          <w:rFonts w:ascii="Times New Roman" w:cs="Times New Roman" w:eastAsia="Times New Roman" w:hAnsi="Times New Roman"/>
          <w:sz w:val="18"/>
          <w:szCs w:val="18"/>
          <w:color w:val="auto"/>
        </w:rPr>
        <w:t>Mr. Goodkind was elected to the Board of Directors in 2007. He serves as the Chair of the Board of Directors and as a member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Corporate Governance, Finance and Audit Committees. He previously served as Secretary of the Company from 1999 to 2007. Mr. Goodkind was a partner in the law firm of Quarles &amp; Brady, LLP, where his practice concentrated in corporate and securities law from 1979 to 2009. Mr. Goodkind previously served as a director of Cade Industries, Inc. and Able Distributing, Inc. Mr. Goodkind has a bachelor’s degree in political science and a juris doctor degree from the University of Wisconsin. His extensive experience in advising companies on a broad range of transactional matters, including mergers and acquisitions and securities offerings, and historical knowledge of the Company provide the Board with expertise and insight into governance, business and compliance issues that the Company encounters.</w:t>
      </w:r>
    </w:p>
    <w:p>
      <w:pPr>
        <w:spacing w:after="0" w:line="1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Frank W. Harris, Ph.D - </w:t>
      </w:r>
      <w:r>
        <w:rPr>
          <w:rFonts w:ascii="Times New Roman" w:cs="Times New Roman" w:eastAsia="Times New Roman" w:hAnsi="Times New Roman"/>
          <w:sz w:val="18"/>
          <w:szCs w:val="18"/>
          <w:color w:val="auto"/>
        </w:rPr>
        <w:t>Dr. Harris was elected to the Board of Directors in 1991. He serves as a member of the Technology and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and Compensation Committees. He is the founder of several technology-based companies including Akron Polymer Systems, where he serves as Chair of the Board of Directors. Dr. Harris is the inventor of several commercialized products. He is an Emeritus Distinguished Professor of Polymer Science and Biomedical Engineering at The University of Akron, where he previously served as Director of the Maurice Morton Institute of Polymer Science. Dr. Harris has a bachelor’s degree in chemistry from the University of Missouri, and a master of organic chemistry and doctorate in organic chemistry from the University of Iowa. Dr. Harris’ extensive experience in technology and engineering solutions provides the Board with important expertise in new product development.</w:t>
      </w:r>
    </w:p>
    <w:p>
      <w:pPr>
        <w:spacing w:after="0" w:line="12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Bradley C. Richardson - </w:t>
      </w:r>
      <w:r>
        <w:rPr>
          <w:rFonts w:ascii="Times New Roman" w:cs="Times New Roman" w:eastAsia="Times New Roman" w:hAnsi="Times New Roman"/>
          <w:sz w:val="18"/>
          <w:szCs w:val="18"/>
          <w:color w:val="auto"/>
        </w:rPr>
        <w:t>Mr. Richardson was elected to the Board of Directors in 2007. He serves as the Chair of the Audit Committee and is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member of the Corporate Governance and Finance Committees. He is the Executive Vice President and CFO of Avient Corporation (formerly PolyOne Corporation). He previously served as the Executive Vice President and CFO of Diebold, Inc. and as Executive Vice President Corporate Strategy and CFO of Modine Manufacturing. Prior to Modine, he spent 21 years with BP Amoco serving in various financial and operational roles. Mr. Richardson has served on the boards of Modine Manufacturing and Tronox, Inc. Mr. Richardson has a bachelor’s degree in finance and economics from Miami University and a master of business administration in accounting and finance from Indiana University. He brings to the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0" w:name="page61"/>
    <w:bookmarkEnd w:id="60"/>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Company extensive knowledge and global experience in the areas of operations, strategy, accounting, tax accounting and finance, which are areas of critical importance to the Company as a global company.</w:t>
      </w:r>
    </w:p>
    <w:p>
      <w:pPr>
        <w:spacing w:after="0" w:line="106"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Michelle E. Williams, Ph.D - </w:t>
      </w:r>
      <w:r>
        <w:rPr>
          <w:rFonts w:ascii="Times New Roman" w:cs="Times New Roman" w:eastAsia="Times New Roman" w:hAnsi="Times New Roman"/>
          <w:sz w:val="18"/>
          <w:szCs w:val="18"/>
          <w:color w:val="auto"/>
        </w:rPr>
        <w:t>Dr. Williams was elected to the Board of Directors in 2019. She serves as a member of the Management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Compensation and Technology Committees. Dr. Williams is Global Group President of Altuglas International, a subsidiary of Arkema S.A. Prior to Arkema, she spent 23 years with Rohm and Haas Company and Dow Chemical in manufacturing, commercial, strategy and general management positions. She was General Manager, Chemical Mechanical Polishing Technologies, and later, General Manager, Adhesives and Sealants. She has a bachelor’s degree in chemistry from Pace University and a doctorate in physical chemistry from the University of Utah. Dr. Williams’ experience in commercial, technology and business leadership roles provides the Board with important expertise in innovation, new product development and operations.</w:t>
      </w:r>
    </w:p>
    <w:p>
      <w:pPr>
        <w:spacing w:after="0" w:line="13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All Directors serve until their respective successors are elected at the next annual meeting of shareholders. Officers serve at the discretion of the Board of Directors. None of the Company's Directors or executive officers has any family relationship with any other Director or executive officer.</w:t>
      </w:r>
    </w:p>
    <w:p>
      <w:pPr>
        <w:spacing w:after="0" w:line="10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Board Leadership Structure - </w:t>
      </w:r>
      <w:r>
        <w:rPr>
          <w:rFonts w:ascii="Times New Roman" w:cs="Times New Roman" w:eastAsia="Times New Roman" w:hAnsi="Times New Roman"/>
          <w:sz w:val="18"/>
          <w:szCs w:val="18"/>
          <w:color w:val="auto"/>
        </w:rPr>
        <w:t>The Board does not have a formal policy regarding the separation of the roles of Chief Executive Officer and Chair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Board, as the Board believes it is in the best interest of the Company to make that determination based on the position and direction of the Company and the membership of the Board. Since September 2015, the Board’s leadership structure has included a non-executive Chair. Mr. Goodkind, an independent Director, has served in that position since its creation. The duties of the non-executive Chair include, among others: chairing meetings of the Board and executive sessions of the non-management Directors; meeting periodically with the Chief Executive Officer and consulting as necessary with management on current significant issues facing the Company; facilitating effective communication among the Chief Executive Officer and all members of the Board; and overseeing the Board's shareholder communication policies and procedures.</w:t>
      </w:r>
    </w:p>
    <w:p>
      <w:pPr>
        <w:spacing w:after="0" w:line="13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Board believes that its current leadership structure enhances the Board's oversight of, and independence from, Company management; the ability of the Board to carry out its roles and responsibilities on behalf of the Company’s shareholders; and the Company’s overall corporate governance.</w:t>
      </w:r>
    </w:p>
    <w:p>
      <w:pPr>
        <w:spacing w:after="0" w:line="106"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Risk Oversight - </w:t>
      </w:r>
      <w:r>
        <w:rPr>
          <w:rFonts w:ascii="Times New Roman" w:cs="Times New Roman" w:eastAsia="Times New Roman" w:hAnsi="Times New Roman"/>
          <w:sz w:val="18"/>
          <w:szCs w:val="18"/>
          <w:color w:val="auto"/>
        </w:rPr>
        <w:t>The Board oversees the Company's risk management processes directly and through its committees. In general, the Board oversees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of risks inherent in the operation of the Company's businesses, the implementation of its strategic plan, its acquisition and capital allocation program and its organizational structure. Each of the Board's committees also oversees the management of Company risks that fall within the committee's areas of responsibility. The Company's management is responsible for reporting significant risks to executive management as a part of the disclosure process. The significance of the risk is assessed by executive management and escalation to the respective board committee and Board of Directors as determined. The Company reviews its risk assessment with the Audit Committee annually.</w:t>
      </w:r>
    </w:p>
    <w:p>
      <w:pPr>
        <w:spacing w:after="0" w:line="128" w:lineRule="exact"/>
        <w:rPr>
          <w:sz w:val="20"/>
          <w:szCs w:val="20"/>
          <w:color w:val="auto"/>
        </w:rPr>
      </w:pPr>
    </w:p>
    <w:p>
      <w:pPr>
        <w:jc w:val="both"/>
        <w:ind w:right="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Audit Committee Financial Expert - </w:t>
      </w:r>
      <w:r>
        <w:rPr>
          <w:rFonts w:ascii="Times New Roman" w:cs="Times New Roman" w:eastAsia="Times New Roman" w:hAnsi="Times New Roman"/>
          <w:sz w:val="18"/>
          <w:szCs w:val="18"/>
          <w:color w:val="auto"/>
        </w:rPr>
        <w:t>The Company's Board of Directors has determined that at least one Audit Committee financial expert is serving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Audit Committee. Messrs. Richardson, Chair of the Audit Committee, and Allender and Balkema, members of the Audit Committee, are financial experts and are independent under the rules of the SEC and the New York Stock Exchange (“NYSE”).</w:t>
      </w:r>
    </w:p>
    <w:p>
      <w:pPr>
        <w:spacing w:after="0" w:line="11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Director Independence - </w:t>
      </w:r>
      <w:r>
        <w:rPr>
          <w:rFonts w:ascii="Times New Roman" w:cs="Times New Roman" w:eastAsia="Times New Roman" w:hAnsi="Times New Roman"/>
          <w:sz w:val="18"/>
          <w:szCs w:val="18"/>
          <w:color w:val="auto"/>
        </w:rPr>
        <w:t>A majority of the Directors must meet the criteria for independence established by the Board in accordance with the rules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NYSE. In determining the independence of a Director, the Board must find that a Director has no relationship that may interfere with the exercise of his or her independence from management and the Company. In undertaking this determination with respect to the Company’s Directors other than Mr. Nauman, the Board considered the commercial relationships of the Company, if any, with those entities that have employed the Company’s Directors. The commercial relationships, which involved the purchase and sale of products on customary terms, did not exceed the maximum amounts proscribed by the director independence rules of the NYSE. Furthermore, the compensation paid to the Company’s Directors by their employers was not linked in any way to the commercial relationships their employers had with the Company in fiscal 2020. After consideration of these factors, the Board concluded that the commercial relationships were not material and did not prevent the Company’s Directors from being considered independent. Based on application of the NYSE independence criteria, all Directors, with the exception of Mr. Nauman, President and CEO, are deemed independent. All members of the Audit, Management Development and Compensation, and Corporate Governance Committees are deemed independent.</w:t>
      </w:r>
    </w:p>
    <w:p>
      <w:pPr>
        <w:spacing w:after="0" w:line="131"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Meetings of Non-management Directors - </w:t>
      </w:r>
      <w:r>
        <w:rPr>
          <w:rFonts w:ascii="Times New Roman" w:cs="Times New Roman" w:eastAsia="Times New Roman" w:hAnsi="Times New Roman"/>
          <w:sz w:val="18"/>
          <w:szCs w:val="18"/>
          <w:color w:val="auto"/>
        </w:rPr>
        <w:t>The non-management Directors of the Board regularly meet alone without any members of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present. As Chair of the Board, Mr. Goodkind is the presiding Director at these sessions. In fiscal 2020, there were executive sessions at all scheduled Board meetings. Interested parties can raise concerns to be addressed at these meetings by calling the confidential Brady hotline at 1-800-368-3613.</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1" w:name="page62"/>
    <w:bookmarkEnd w:id="61"/>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right="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Audit Committee Members - </w:t>
      </w:r>
      <w:r>
        <w:rPr>
          <w:rFonts w:ascii="Times New Roman" w:cs="Times New Roman" w:eastAsia="Times New Roman" w:hAnsi="Times New Roman"/>
          <w:sz w:val="18"/>
          <w:szCs w:val="18"/>
          <w:color w:val="auto"/>
        </w:rPr>
        <w:t>The Audit Committee, which is a separately-designated standing committee of the Board of Directors, is composed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Messrs. Richardson (Chair), Allender, Balkema, and Goodkind. Each member of the Audit Committee has been determined by the Board to be independent under the rules of the SEC and NYSE.</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Code of Ethics - </w:t>
      </w:r>
      <w:r>
        <w:rPr>
          <w:rFonts w:ascii="Times New Roman" w:cs="Times New Roman" w:eastAsia="Times New Roman" w:hAnsi="Times New Roman"/>
          <w:sz w:val="18"/>
          <w:szCs w:val="18"/>
          <w:color w:val="auto"/>
        </w:rPr>
        <w:t>The Company has a code of ethics. This code of ethics applies to all of the Company's employees, officers and Directors. The code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ethics can be viewed at the Company's corporate website, www.bradyid.com, or may be obtained in print by any person, without charge, by contacting Brady Corporation, Investor Relations, P.O. Box 571, Milwaukee, WI 53201. The Company intends to satisfy the disclosure requirements under Item 5.05 of Form 8-K regarding an amendment to, or a waiver from, a provision of its code of ethics by placing such information on its Internet website.</w:t>
      </w:r>
    </w:p>
    <w:p>
      <w:pPr>
        <w:spacing w:after="0" w:line="126"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Corporate Governance Guidelines - </w:t>
      </w:r>
      <w:r>
        <w:rPr>
          <w:rFonts w:ascii="Times New Roman" w:cs="Times New Roman" w:eastAsia="Times New Roman" w:hAnsi="Times New Roman"/>
          <w:sz w:val="18"/>
          <w:szCs w:val="18"/>
          <w:color w:val="auto"/>
        </w:rPr>
        <w:t>Brady's Corporate Governance Principles, as well as the charters of the Audit, Corporate Governance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Development and Compensation Committees, are available on the Company's Corporate website, www.bradyid.com. Shareholders may request printed copies of these documents from Brady Corporation, Investor Relations, P.O. Box 571, Milwaukee, WI 53201.</w:t>
      </w:r>
    </w:p>
    <w:p>
      <w:pPr>
        <w:spacing w:after="0" w:line="11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Director Qualifications - </w:t>
      </w:r>
      <w:r>
        <w:rPr>
          <w:rFonts w:ascii="Times New Roman" w:cs="Times New Roman" w:eastAsia="Times New Roman" w:hAnsi="Times New Roman"/>
          <w:sz w:val="18"/>
          <w:szCs w:val="18"/>
          <w:color w:val="auto"/>
        </w:rPr>
        <w:t>Brady's Corporate Governance Committee reviews the individual skills and characteristics of the Directors, as well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composition of the Board as a whole. This assessment includes a consideration of independence, diversity, age, skills, expertise, and industry backgrounds in the context of the needs of the Board and the Company. Although the Company has no policy regarding diversity, the Corporate Governance Committee seeks a broad range of perspectives and considers both the personal characteristics and experience of Directors and prospective nominees to the Board so that, as a group, the Board will possess the appropriate talent, skills and expertise to oversee the Company's businesses. The Board does not discriminate on the basis of race, national origin, gender, religion, disability, or sexual orientation in selecting director candidates.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To the Company’s knowledge, based solely on a review of the Section 16(a) filings and written representations that no other reports were required, during the fiscal year ended July 31, 2020, all Section 16(a) filing requirements were complied with other than with respect to the following:</w:t>
      </w:r>
    </w:p>
    <w:p>
      <w:pPr>
        <w:spacing w:after="0" w:line="108" w:lineRule="exact"/>
        <w:rPr>
          <w:sz w:val="20"/>
          <w:szCs w:val="20"/>
          <w:color w:val="auto"/>
        </w:rPr>
      </w:pPr>
    </w:p>
    <w:p>
      <w:pPr>
        <w:jc w:val="both"/>
        <w:ind w:firstLine="332"/>
        <w:spacing w:after="0" w:line="266" w:lineRule="auto"/>
        <w:tabs>
          <w:tab w:leader="none" w:pos="64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transfers by Thomas J. Felmer in his Company-matched 401(k) plan of 2,500, 7,500 and 7,603 shares of Class A Nonvoting Common Stock on September 26, 2019, September 27, 2019 and September 30, 2019, respectively, were reported late by Mr. Felmer due to an administrative error. These transactions were reported on a Form 4 that was filed on October 15, 2019.</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2" w:name="page63"/>
    <w:bookmarkEnd w:id="62"/>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Discussion and Analysis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Compensation Discussion and Analysis focuses on the Company's total compensation philosophy, the role of the Management Development and Compensation Committee (the "Committee") and its approach in determining total compensation decisions, elements of total compensation inclusive of base salary, short-term incentives, long-term incentives, benefits, perquisites, severance amounts and change-in-control agreements for our executive officers, and peer company and market reviews.</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fiscal 2020, the following named executive officers' (the "NEOs") compensation is disclosed and discussed in this section:</w:t>
      </w:r>
    </w:p>
    <w:p>
      <w:pPr>
        <w:spacing w:after="0" w:line="171"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 Michael Nauman, President, Chief Executive Officer and Director;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Aaron J. Pearce, Chief Financial Officer and Treasurer;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Pascal Deman, Vice President and General Manager, Workplace Safety (1);</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Helena R. Nelligan, Senior Vice President, Human Resources;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Russell R. Shaller, Senior Vice President and President - Identification Solutions;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Louis T. Bolognini, Former Senior Vice President, General Counsel and Secretary (2);</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Thomas J. Felmer, Former Senior Vice President and President - Workplace Safety (3).</w:t>
      </w:r>
    </w:p>
    <w:p>
      <w:pPr>
        <w:spacing w:after="0" w:line="153" w:lineRule="exact"/>
        <w:rPr>
          <w:sz w:val="20"/>
          <w:szCs w:val="20"/>
          <w:color w:val="auto"/>
        </w:rPr>
      </w:pPr>
    </w:p>
    <w:p>
      <w:pPr>
        <w:ind w:left="580" w:hanging="248"/>
        <w:spacing w:after="0"/>
        <w:tabs>
          <w:tab w:leader="none" w:pos="5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January 3, 2020, Mr. Deman was appointed by the Company as Vice President and General Manager, Workplace Safety.</w:t>
      </w:r>
    </w:p>
    <w:p>
      <w:pPr>
        <w:spacing w:after="0" w:line="171" w:lineRule="exact"/>
        <w:rPr>
          <w:rFonts w:ascii="Times New Roman" w:cs="Times New Roman" w:eastAsia="Times New Roman" w:hAnsi="Times New Roman"/>
          <w:sz w:val="18"/>
          <w:szCs w:val="18"/>
          <w:color w:val="auto"/>
        </w:rPr>
      </w:pPr>
    </w:p>
    <w:p>
      <w:pPr>
        <w:ind w:firstLine="332"/>
        <w:spacing w:after="0" w:line="282" w:lineRule="auto"/>
        <w:tabs>
          <w:tab w:leader="none" w:pos="59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April 15, 2020, Mr. Bolognini resigned from his position as Senior Vice President, General Counsel and Secretary and retired from the Company.</w:t>
      </w:r>
    </w:p>
    <w:p>
      <w:pPr>
        <w:spacing w:after="0" w:line="107" w:lineRule="exact"/>
        <w:rPr>
          <w:rFonts w:ascii="Times New Roman" w:cs="Times New Roman" w:eastAsia="Times New Roman" w:hAnsi="Times New Roman"/>
          <w:sz w:val="18"/>
          <w:szCs w:val="18"/>
          <w:color w:val="auto"/>
        </w:rPr>
      </w:pPr>
    </w:p>
    <w:p>
      <w:pPr>
        <w:ind w:right="20" w:firstLine="332"/>
        <w:spacing w:after="0" w:line="282" w:lineRule="auto"/>
        <w:tabs>
          <w:tab w:leader="none" w:pos="58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January 2, 2020, Mr. Felmer resigned from his position as Senior Vice President and President - Workplace Safety and retired from the Company.</w:t>
      </w:r>
    </w:p>
    <w:p>
      <w:pPr>
        <w:spacing w:after="0" w:line="10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Retirement of Thomas J. Felmer: </w:t>
      </w:r>
      <w:r>
        <w:rPr>
          <w:rFonts w:ascii="Times New Roman" w:cs="Times New Roman" w:eastAsia="Times New Roman" w:hAnsi="Times New Roman"/>
          <w:sz w:val="18"/>
          <w:szCs w:val="18"/>
          <w:color w:val="auto"/>
        </w:rPr>
        <w:t>Mr. Felmer, Senior Vice President and President - Workplace Safety, provided notice to the Company of 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retirement on September 16, 2019, with an effective retirement date of January 2, 2020. On October 15, 2019, the Company entered into a written retirement agreement with Mr. Felmer to assist in the transition of his duties and be otherwise available on a consultative basis for a period of six months following his retirement date. The agreement provided for a severance payment of $650,000 to be paid in equal installments throughout the 24 months following his retirement date. The agreement also included standard confidentiality, waiver, and non-disparagement provisions, including non-competition and non-solicitation provisions stipulating his agreement not to compete with the Company or solicit its employees, customers, and vendors for a period for 24 months after his retirement date. In addition, the agreement provided for the modification of vesting conditions for certain outstanding equity awards. Under the agreement, unvested stock options and restricted stock units granted on September 22, 2017 and September 25, 2018 would vest 100% and 50%, respectively, on the retirement date.</w:t>
      </w:r>
    </w:p>
    <w:p>
      <w:pPr>
        <w:spacing w:after="0" w:line="13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Appointment of Pascal Deman: </w:t>
      </w:r>
      <w:r>
        <w:rPr>
          <w:rFonts w:ascii="Times New Roman" w:cs="Times New Roman" w:eastAsia="Times New Roman" w:hAnsi="Times New Roman"/>
          <w:sz w:val="18"/>
          <w:szCs w:val="18"/>
          <w:color w:val="auto"/>
        </w:rPr>
        <w:t>The Company appointed Mr. Deman as Vice President and General Manager, Workplace Safety effective January 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2020. On January 7, 2020, the Company entered into an amendment to the employment agreement dated September 4, 2014 with Mr. Deman (the "Amendment"), which was effective as of January 3, 2020. The Amendment provided that Mr. Deman would receive an annual base salary of €255,550, with eligibility for a target annual bonus at 50% of base salary, and participation in the Company's equity incentive and other benefit plans on a basis similar to other executive officers. The Amendment further provided that Mr. Deman would receive a retention award of time-based restricted stock units with a grant date value of $75,000 and a grant date of January 3, 2020. The restricted stock units vest in increments of 10%, 20%, 30%, and 40% upon the first, second, third, and fourth anniversaries of the grant date. Mr. Deman will have a Company stock ownership requirement equal to two times his base salary. The Amendment also contained non-competition and non-solicitation provisions stipulating his agreement not to compete with the Company or solicit its employees, customers, and vendors for a period for 12 months after the date of separation from the Company. Mr. Deman's employment agreement, including the amendment thereto, does not contain any provisions related to specified payments upon termination of employment.</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Effective January 7, 2020, the Company also entered into a change of control agreement with Mr. Deman (the "Change of Control Agreement"). Under the terms of the Change of Control Agreement, in the event of a qualifying termination within 24 months following a change of control (as such events are defined in the Change of Control Agreement), Mr. Deman will receive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3" w:name="page64"/>
    <w:bookmarkEnd w:id="63"/>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two times his base salary and two times the average bonus payment received in the three years immediately prior to the date of the change of control.</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2020 Business Highlights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Refer to Item 1 "General Development of Business" for a business overview and key initiatives during fiscal 2020. Highlights for fiscal 2020 include:</w:t>
      </w:r>
    </w:p>
    <w:p>
      <w:pPr>
        <w:spacing w:after="0" w:line="171" w:lineRule="exact"/>
        <w:rPr>
          <w:sz w:val="20"/>
          <w:szCs w:val="20"/>
          <w:color w:val="auto"/>
        </w:rPr>
      </w:pPr>
    </w:p>
    <w:p>
      <w:pPr>
        <w:ind w:left="660" w:right="20" w:hanging="328"/>
        <w:spacing w:after="0" w:line="26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fiscal 2020 income before income taxes and losses of unconsolidated affiliate was $140.9 million, a decrease of $23.7 million from fiscal 2019 income before income taxes and losses of unconsolidated affiliate of $164.6 million.</w:t>
      </w: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from operating activities was $141.0 million during fiscal 2020, a decrease of $21.2 million from fiscal 2019.</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were $1,081.3 million in fiscal 2020 compared to $1,160.6 million in fiscal 2019, a decrease of 6.8%. Organic sales decreased 5.4% and foreign currency translation decreased sales by 1.4%.</w:t>
      </w:r>
    </w:p>
    <w:p>
      <w:pPr>
        <w:spacing w:after="0" w:line="2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Refer to Item 7 "Management's Discussion and Analysis of Financial Condition and Results of Operations" for further discussion of fiscal 2020 results, including the impact of the COVID-19 pandemic on our business.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2020 Executive Summary</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fiscal 2020, the Board of Directors approved a 3.0% increase in base salary for Mr. Nauman. In addition, Mr. Nauman recommended and the Committee approved increases in base salary for Messrs. Pearce, Shaller, Bolognini and Ms. Nelligan. All increases were made to recognize the performance, current scope of responsibilities and peer company and other market data for each executive and, with regard to Messrs. Pearce and Shaller, to better align their base salary with individuals holding comparable positions at peer companies.</w:t>
      </w:r>
    </w:p>
    <w:p>
      <w:pPr>
        <w:spacing w:after="0" w:line="12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Fiscal 2020 equity grants were made in the form of time-based stock options, time-based restricted stock units ("RSUs") and performance-based RSUs ("PRSUs"), of which the quantity was based upon the average stock price on the grant date. Generally, one-third of the award granted was in the form of stock options that vest equally over a three-year period, which are inherently performance-based and have value only to the extent that the price of the Company's stock increases. Another one-third of the award granted was in the form of RSUs that vest equally over three years and are intended to facilitate retention and align with the creation of long-term shareholder value. The final one-third of the award granted was in the form of PRSUs, which reinforce the Company's pay-for-performance philosophy where the level of rewards is aligned to Company performance. The PRSU awards granted in fiscal 2020 have a three-year performance period with the number of shares issued at vesting determined by the Company's total shareholder return ("TSR") relative to the S&amp;P 600 SmallCap Industrials Index. Payout opportunities will range from 0% to 200% of the target award at the end of the three-year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Compensation Practices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As part of the Company's pay-for-performance philosophy, the Company's compensation program includes several features that maintain alignment with shareholders:</w:t>
      </w:r>
    </w:p>
    <w:p>
      <w:pPr>
        <w:spacing w:after="0" w:line="162" w:lineRule="exact"/>
        <w:rPr>
          <w:sz w:val="20"/>
          <w:szCs w:val="20"/>
          <w:color w:val="auto"/>
        </w:rPr>
      </w:pPr>
    </w:p>
    <w:p>
      <w:pPr>
        <w:ind w:left="20"/>
        <w:spacing w:after="0"/>
        <w:tabs>
          <w:tab w:leader="none" w:pos="3160" w:val="left"/>
        </w:tabs>
        <w:rPr>
          <w:sz w:val="20"/>
          <w:szCs w:val="20"/>
          <w:color w:val="auto"/>
        </w:rPr>
      </w:pPr>
      <w:r>
        <w:rPr>
          <w:rFonts w:ascii="Times New Roman" w:cs="Times New Roman" w:eastAsia="Times New Roman" w:hAnsi="Times New Roman"/>
          <w:sz w:val="18"/>
          <w:szCs w:val="18"/>
          <w:color w:val="auto"/>
        </w:rPr>
        <w:t>Emphasis on Variable Compensation</w:t>
      </w:r>
      <w:r>
        <w:rPr>
          <w:sz w:val="20"/>
          <w:szCs w:val="20"/>
          <w:color w:val="auto"/>
        </w:rPr>
        <w:tab/>
      </w:r>
      <w:r>
        <w:rPr>
          <w:rFonts w:ascii="Times New Roman" w:cs="Times New Roman" w:eastAsia="Times New Roman" w:hAnsi="Times New Roman"/>
          <w:sz w:val="18"/>
          <w:szCs w:val="18"/>
          <w:color w:val="auto"/>
        </w:rPr>
        <w:t>A significant portion of the NEOs' possible compensation is tied to Company performance, which is intended</w:t>
      </w:r>
    </w:p>
    <w:p>
      <w:pPr>
        <w:spacing w:after="0" w:line="2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to drive shareholder value.</w:t>
      </w:r>
    </w:p>
    <w:p>
      <w:pPr>
        <w:spacing w:after="0" w:line="153" w:lineRule="exact"/>
        <w:rPr>
          <w:sz w:val="20"/>
          <w:szCs w:val="20"/>
          <w:color w:val="auto"/>
        </w:rPr>
      </w:pPr>
    </w:p>
    <w:p>
      <w:pPr>
        <w:ind w:left="20"/>
        <w:spacing w:after="0"/>
        <w:tabs>
          <w:tab w:leader="none" w:pos="3160" w:val="left"/>
        </w:tabs>
        <w:rPr>
          <w:sz w:val="20"/>
          <w:szCs w:val="20"/>
          <w:color w:val="auto"/>
        </w:rPr>
      </w:pPr>
      <w:r>
        <w:rPr>
          <w:rFonts w:ascii="Times New Roman" w:cs="Times New Roman" w:eastAsia="Times New Roman" w:hAnsi="Times New Roman"/>
          <w:sz w:val="18"/>
          <w:szCs w:val="18"/>
          <w:color w:val="auto"/>
        </w:rPr>
        <w:t>Ownership Requirements</w:t>
      </w:r>
      <w:r>
        <w:rPr>
          <w:sz w:val="20"/>
          <w:szCs w:val="20"/>
          <w:color w:val="auto"/>
        </w:rPr>
        <w:tab/>
      </w:r>
      <w:r>
        <w:rPr>
          <w:rFonts w:ascii="Times New Roman" w:cs="Times New Roman" w:eastAsia="Times New Roman" w:hAnsi="Times New Roman"/>
          <w:sz w:val="18"/>
          <w:szCs w:val="18"/>
          <w:color w:val="auto"/>
        </w:rPr>
        <w:t>The Company believes that the interests of shareholders and executives become aligned when executives</w:t>
      </w:r>
    </w:p>
    <w:p>
      <w:pPr>
        <w:spacing w:after="0" w:line="2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become shareholders in possession of a meaningful amount of Company stock. Furthermore, this stock</w:t>
      </w:r>
    </w:p>
    <w:p>
      <w:pPr>
        <w:spacing w:after="0" w:line="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ownership encourages positive performance behaviors and discourages executive officers from taking undue</w:t>
      </w:r>
    </w:p>
    <w:p>
      <w:pPr>
        <w:spacing w:after="0" w:line="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risk. In order to encourage our executive officers and directors to acquire and retain ownership of a significant</w:t>
      </w:r>
    </w:p>
    <w:p>
      <w:pPr>
        <w:spacing w:after="0" w:line="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number of shares of the Company's stock, stock ownership requirements have been established and are equal to</w:t>
      </w:r>
    </w:p>
    <w:p>
      <w:pPr>
        <w:spacing w:after="0" w:line="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a specified multiple of the executive officer's base salary. Our NEOs are expected to obtain the required</w:t>
      </w:r>
    </w:p>
    <w:p>
      <w:pPr>
        <w:spacing w:after="0" w:line="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ownership levels within five years of becoming an executive officer. Refer to heading "Stock Ownership</w:t>
      </w:r>
    </w:p>
    <w:p>
      <w:pPr>
        <w:spacing w:after="0" w:line="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Requirements" for further discussion of the stock ownership requirements established for each NEO and the</w:t>
      </w:r>
    </w:p>
    <w:p>
      <w:pPr>
        <w:spacing w:after="0" w:line="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actions that the Company may take when an executive is not in compliance with his or her respective stock</w:t>
      </w:r>
    </w:p>
    <w:p>
      <w:pPr>
        <w:spacing w:after="0" w:line="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ownership requirement.</w:t>
      </w:r>
    </w:p>
    <w:p>
      <w:pPr>
        <w:spacing w:after="0" w:line="153" w:lineRule="exact"/>
        <w:rPr>
          <w:sz w:val="20"/>
          <w:szCs w:val="20"/>
          <w:color w:val="auto"/>
        </w:rPr>
      </w:pPr>
    </w:p>
    <w:p>
      <w:pPr>
        <w:ind w:left="20"/>
        <w:spacing w:after="0"/>
        <w:tabs>
          <w:tab w:leader="none" w:pos="3160" w:val="left"/>
        </w:tabs>
        <w:rPr>
          <w:sz w:val="20"/>
          <w:szCs w:val="20"/>
          <w:color w:val="auto"/>
        </w:rPr>
      </w:pPr>
      <w:r>
        <w:rPr>
          <w:rFonts w:ascii="Times New Roman" w:cs="Times New Roman" w:eastAsia="Times New Roman" w:hAnsi="Times New Roman"/>
          <w:sz w:val="18"/>
          <w:szCs w:val="18"/>
          <w:color w:val="auto"/>
        </w:rPr>
        <w:t>Clawback Provisions</w:t>
      </w:r>
      <w:r>
        <w:rPr>
          <w:sz w:val="20"/>
          <w:szCs w:val="20"/>
          <w:color w:val="auto"/>
        </w:rPr>
        <w:tab/>
      </w:r>
      <w:r>
        <w:rPr>
          <w:rFonts w:ascii="Times New Roman" w:cs="Times New Roman" w:eastAsia="Times New Roman" w:hAnsi="Times New Roman"/>
          <w:sz w:val="18"/>
          <w:szCs w:val="18"/>
          <w:color w:val="auto"/>
        </w:rPr>
        <w:t>There is a recoupment policy under which incentive compensation payments and/or awards may be recouped</w:t>
      </w:r>
    </w:p>
    <w:p>
      <w:pPr>
        <w:spacing w:after="0" w:line="2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by the Company if such payments and/or awards were based on erroneous results. If the Committee determines</w:t>
      </w:r>
    </w:p>
    <w:p>
      <w:pPr>
        <w:spacing w:after="0" w:line="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that an executive officer or other key executive of the Company who participates in any of the Company's</w:t>
      </w:r>
    </w:p>
    <w:p>
      <w:pPr>
        <w:spacing w:after="0" w:line="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incentive plans has engaged in intentional misconduct that results in a material inaccuracy in the Company's</w:t>
      </w:r>
    </w:p>
    <w:p>
      <w:pPr>
        <w:spacing w:after="0" w:line="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financial statements or fraudulent or other willful and deliberate conduct that is detrimental to the Company or</w:t>
      </w:r>
    </w:p>
    <w:p>
      <w:pPr>
        <w:spacing w:after="0" w:line="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there is a material, negative revision of a performance measure for which incentive compensation was paid or</w:t>
      </w:r>
    </w:p>
    <w:p>
      <w:pPr>
        <w:spacing w:after="0" w:line="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awarded, the Committee may take a variety of actions including, among others, seeking repayment of incentive</w:t>
      </w:r>
    </w:p>
    <w:p>
      <w:pPr>
        <w:spacing w:after="0" w:line="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compensation (cash and/or equity) that is greater than what would have been awarded if the payments/awards</w:t>
      </w:r>
    </w:p>
    <w:p>
      <w:pPr>
        <w:spacing w:after="0" w:line="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had been based on accurate results and the forfeiture of incentive compensation. As this policy suggests, the</w:t>
      </w:r>
    </w:p>
    <w:p>
      <w:pPr>
        <w:spacing w:after="0" w:line="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Committee believes that any incentive compensation should be based only on accurate and reliable financial</w:t>
      </w:r>
    </w:p>
    <w:p>
      <w:pPr>
        <w:spacing w:after="0" w:line="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and operational information, and, thus, any inappropriately paid incentive compensation should be returned to</w:t>
      </w:r>
    </w:p>
    <w:p>
      <w:pPr>
        <w:spacing w:after="0" w:line="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the Company for the benefit of shareholders. The Committee believes that this policy enhances the Company's</w:t>
      </w:r>
    </w:p>
    <w:p>
      <w:pPr>
        <w:spacing w:after="0" w:line="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compensation risk mitigation efforts. While the policy affords the Committee discretion regarding the</w:t>
      </w:r>
    </w:p>
    <w:p>
      <w:pPr>
        <w:spacing w:after="0" w:line="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application and enforcement of the policy, the Company and the Committee will conform the policy to any</w:t>
      </w:r>
    </w:p>
    <w:p>
      <w:pPr>
        <w:spacing w:after="0" w:line="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requirements that may be promulgated by the national stock exchanges, as mandated by the Dodd-Frank Wall</w:t>
      </w:r>
    </w:p>
    <w:p>
      <w:pPr>
        <w:spacing w:after="0" w:line="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Street Reform and Consumer Protection Act.</w:t>
      </w:r>
    </w:p>
    <w:p>
      <w:pPr>
        <w:spacing w:after="0" w:line="153" w:lineRule="exact"/>
        <w:rPr>
          <w:sz w:val="20"/>
          <w:szCs w:val="20"/>
          <w:color w:val="auto"/>
        </w:rPr>
      </w:pPr>
    </w:p>
    <w:p>
      <w:pPr>
        <w:ind w:left="20"/>
        <w:spacing w:after="0"/>
        <w:tabs>
          <w:tab w:leader="none" w:pos="3160" w:val="left"/>
        </w:tabs>
        <w:rPr>
          <w:sz w:val="20"/>
          <w:szCs w:val="20"/>
          <w:color w:val="auto"/>
        </w:rPr>
      </w:pPr>
      <w:r>
        <w:rPr>
          <w:rFonts w:ascii="Times New Roman" w:cs="Times New Roman" w:eastAsia="Times New Roman" w:hAnsi="Times New Roman"/>
          <w:sz w:val="18"/>
          <w:szCs w:val="18"/>
          <w:color w:val="auto"/>
        </w:rPr>
        <w:t>Performance Thresholds and Caps</w:t>
      </w:r>
      <w:r>
        <w:rPr>
          <w:sz w:val="20"/>
          <w:szCs w:val="20"/>
          <w:color w:val="auto"/>
        </w:rPr>
        <w:tab/>
      </w:r>
      <w:r>
        <w:rPr>
          <w:rFonts w:ascii="Times New Roman" w:cs="Times New Roman" w:eastAsia="Times New Roman" w:hAnsi="Times New Roman"/>
          <w:sz w:val="17"/>
          <w:szCs w:val="17"/>
          <w:color w:val="auto"/>
        </w:rPr>
        <w:t>Our cash incentive awards are determined based on financial results for organic revenue, income before income</w:t>
      </w:r>
    </w:p>
    <w:p>
      <w:pPr>
        <w:spacing w:after="0" w:line="2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taxes, division organic revenue, division operating income, and achievement of fiscal year objectives, which</w:t>
      </w:r>
    </w:p>
    <w:p>
      <w:pPr>
        <w:spacing w:after="0" w:line="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aggregate to a maximum payout of 193% of target.  Executive officers then receive a performance rating that</w:t>
      </w:r>
    </w:p>
    <w:p>
      <w:pPr>
        <w:spacing w:after="0" w:line="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results in a multiplier ranging from 0% to 150%, resulting in a maximum cash incentive award payout of 289%</w:t>
      </w:r>
    </w:p>
    <w:p>
      <w:pPr>
        <w:spacing w:after="0" w:line="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of target opportunities.</w:t>
      </w:r>
    </w:p>
    <w:p>
      <w:pPr>
        <w:spacing w:after="0" w:line="20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We  grant  equity  compensation  to  executive  officers  that  promotes  long-term  financial  and  operating</w:t>
      </w:r>
    </w:p>
    <w:p>
      <w:pPr>
        <w:spacing w:after="0" w:line="2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performance by delivering incremental value to the extent our stock price increases over time. Performance-</w:t>
      </w:r>
    </w:p>
    <w:p>
      <w:pPr>
        <w:spacing w:after="0" w:line="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based RSUs incorporate the achievement of certain financial performance goals or Company performance</w:t>
      </w:r>
    </w:p>
    <w:p>
      <w:pPr>
        <w:spacing w:after="0" w:line="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relative to a benchmark over a three-year period.</w:t>
      </w:r>
    </w:p>
    <w:p>
      <w:pPr>
        <w:spacing w:after="0" w:line="153" w:lineRule="exact"/>
        <w:rPr>
          <w:sz w:val="20"/>
          <w:szCs w:val="20"/>
          <w:color w:val="auto"/>
        </w:rPr>
      </w:pPr>
    </w:p>
    <w:p>
      <w:pPr>
        <w:ind w:left="20"/>
        <w:spacing w:after="0"/>
        <w:tabs>
          <w:tab w:leader="none" w:pos="3160" w:val="left"/>
        </w:tabs>
        <w:rPr>
          <w:sz w:val="20"/>
          <w:szCs w:val="20"/>
          <w:color w:val="auto"/>
        </w:rPr>
      </w:pPr>
      <w:r>
        <w:rPr>
          <w:rFonts w:ascii="Times New Roman" w:cs="Times New Roman" w:eastAsia="Times New Roman" w:hAnsi="Times New Roman"/>
          <w:sz w:val="18"/>
          <w:szCs w:val="18"/>
          <w:color w:val="auto"/>
        </w:rPr>
        <w:t>Insider Trading Policy</w:t>
      </w:r>
      <w:r>
        <w:rPr>
          <w:sz w:val="20"/>
          <w:szCs w:val="20"/>
          <w:color w:val="auto"/>
        </w:rPr>
        <w:tab/>
      </w:r>
      <w:r>
        <w:rPr>
          <w:rFonts w:ascii="Times New Roman" w:cs="Times New Roman" w:eastAsia="Times New Roman" w:hAnsi="Times New Roman"/>
          <w:sz w:val="18"/>
          <w:szCs w:val="18"/>
          <w:color w:val="auto"/>
        </w:rPr>
        <w:t>Our Insider Trading Policy prohibits executive officers from trading during certain periods at the end of each</w:t>
      </w:r>
    </w:p>
    <w:p>
      <w:pPr>
        <w:spacing w:after="0" w:line="2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quarter until after we disclose our financial and operating results. We may impose additional restricted trading</w:t>
      </w:r>
    </w:p>
    <w:p>
      <w:pPr>
        <w:spacing w:after="0" w:line="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periods at any time if we believe trading by executives would not be appropriate because of developments that</w:t>
      </w:r>
    </w:p>
    <w:p>
      <w:pPr>
        <w:spacing w:after="0" w:line="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are, or could be, material and which have not been publicly disclosed. The Insider Trading Policy also prohibits</w:t>
      </w:r>
    </w:p>
    <w:p>
      <w:pPr>
        <w:spacing w:after="0" w:line="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the pledging of Company stock as collateral for loans, holding Company securities in a margin account by</w:t>
      </w:r>
    </w:p>
    <w:p>
      <w:pPr>
        <w:spacing w:after="0" w:line="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officers, directors or employees, and the hedging of Company securities.</w:t>
      </w:r>
    </w:p>
    <w:p>
      <w:pPr>
        <w:spacing w:after="0" w:line="153" w:lineRule="exact"/>
        <w:rPr>
          <w:sz w:val="20"/>
          <w:szCs w:val="20"/>
          <w:color w:val="auto"/>
        </w:rPr>
      </w:pPr>
    </w:p>
    <w:p>
      <w:pPr>
        <w:ind w:left="20"/>
        <w:spacing w:after="0"/>
        <w:tabs>
          <w:tab w:leader="none" w:pos="3160" w:val="left"/>
        </w:tabs>
        <w:rPr>
          <w:sz w:val="20"/>
          <w:szCs w:val="20"/>
          <w:color w:val="auto"/>
        </w:rPr>
      </w:pPr>
      <w:r>
        <w:rPr>
          <w:rFonts w:ascii="Times New Roman" w:cs="Times New Roman" w:eastAsia="Times New Roman" w:hAnsi="Times New Roman"/>
          <w:sz w:val="18"/>
          <w:szCs w:val="18"/>
          <w:color w:val="auto"/>
        </w:rPr>
        <w:t>Annual Risk Reviews</w:t>
      </w:r>
      <w:r>
        <w:rPr>
          <w:sz w:val="20"/>
          <w:szCs w:val="20"/>
          <w:color w:val="auto"/>
        </w:rPr>
        <w:tab/>
      </w:r>
      <w:r>
        <w:rPr>
          <w:rFonts w:ascii="Times New Roman" w:cs="Times New Roman" w:eastAsia="Times New Roman" w:hAnsi="Times New Roman"/>
          <w:sz w:val="18"/>
          <w:szCs w:val="18"/>
          <w:color w:val="auto"/>
        </w:rPr>
        <w:t>The Company conducts an annual compensation-related risk review and presents findings and suggested risk</w:t>
      </w:r>
    </w:p>
    <w:p>
      <w:pPr>
        <w:spacing w:after="0" w:line="2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mitigation actions to both the Audit and Management Development and Compensation Committees.</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65" w:name="page66"/>
    <w:bookmarkEnd w:id="65"/>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compensation programs also maintain alignment with shareholders by not including certain features:</w:t>
      </w:r>
    </w:p>
    <w:p>
      <w:pPr>
        <w:spacing w:after="0" w:line="225" w:lineRule="exact"/>
        <w:rPr>
          <w:sz w:val="20"/>
          <w:szCs w:val="20"/>
          <w:color w:val="auto"/>
        </w:rPr>
      </w:pPr>
    </w:p>
    <w:p>
      <w:pPr>
        <w:ind w:left="20"/>
        <w:spacing w:after="0"/>
        <w:tabs>
          <w:tab w:leader="none" w:pos="3120" w:val="left"/>
        </w:tabs>
        <w:rPr>
          <w:sz w:val="20"/>
          <w:szCs w:val="20"/>
          <w:color w:val="auto"/>
        </w:rPr>
      </w:pPr>
      <w:r>
        <w:rPr>
          <w:rFonts w:ascii="Times New Roman" w:cs="Times New Roman" w:eastAsia="Times New Roman" w:hAnsi="Times New Roman"/>
          <w:sz w:val="18"/>
          <w:szCs w:val="18"/>
          <w:color w:val="auto"/>
        </w:rPr>
        <w:t>No Excessive Change of Control</w:t>
      </w:r>
      <w:r>
        <w:rPr>
          <w:sz w:val="20"/>
          <w:szCs w:val="20"/>
          <w:color w:val="auto"/>
        </w:rPr>
        <w:tab/>
      </w:r>
      <w:r>
        <w:rPr>
          <w:rFonts w:ascii="Times New Roman" w:cs="Times New Roman" w:eastAsia="Times New Roman" w:hAnsi="Times New Roman"/>
          <w:sz w:val="18"/>
          <w:szCs w:val="18"/>
          <w:color w:val="auto"/>
        </w:rPr>
        <w:t>Mr. Nauman's maximum cash benefit is equal to two times salary and two times target annual cash incentive</w:t>
      </w:r>
    </w:p>
    <w:p>
      <w:pPr>
        <w:spacing w:after="0" w:line="27" w:lineRule="exact"/>
        <w:rPr>
          <w:sz w:val="20"/>
          <w:szCs w:val="20"/>
          <w:color w:val="auto"/>
        </w:rPr>
      </w:pPr>
    </w:p>
    <w:p>
      <w:pPr>
        <w:ind w:left="20"/>
        <w:spacing w:after="0"/>
        <w:tabs>
          <w:tab w:leader="none" w:pos="3120" w:val="left"/>
        </w:tabs>
        <w:rPr>
          <w:sz w:val="20"/>
          <w:szCs w:val="20"/>
          <w:color w:val="auto"/>
        </w:rPr>
      </w:pPr>
      <w:r>
        <w:rPr>
          <w:rFonts w:ascii="Times New Roman" w:cs="Times New Roman" w:eastAsia="Times New Roman" w:hAnsi="Times New Roman"/>
          <w:sz w:val="18"/>
          <w:szCs w:val="18"/>
          <w:color w:val="auto"/>
        </w:rPr>
        <w:t>Payments</w:t>
      </w:r>
      <w:r>
        <w:rPr>
          <w:sz w:val="20"/>
          <w:szCs w:val="20"/>
          <w:color w:val="auto"/>
        </w:rPr>
        <w:tab/>
      </w:r>
      <w:r>
        <w:rPr>
          <w:rFonts w:ascii="Times New Roman" w:cs="Times New Roman" w:eastAsia="Times New Roman" w:hAnsi="Times New Roman"/>
          <w:sz w:val="18"/>
          <w:szCs w:val="18"/>
          <w:color w:val="auto"/>
        </w:rPr>
        <w:t>plus a prorated target annual cash incentive in the year in which the termination occurs. For all other NEOs, the</w:t>
      </w:r>
    </w:p>
    <w:p>
      <w:pPr>
        <w:spacing w:after="0" w:line="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maximum cash benefit is equal to two times salary and two times the average annual cash incentive payment</w:t>
      </w:r>
    </w:p>
    <w:p>
      <w:pPr>
        <w:spacing w:after="0" w:line="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received in the three years immediately prior to the date the change of control occurs. In the event of a change</w:t>
      </w:r>
    </w:p>
    <w:p>
      <w:pPr>
        <w:spacing w:after="0" w:line="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of control, unexercised stock options become fully exercisable or, if canceled, each named executive officer</w:t>
      </w:r>
    </w:p>
    <w:p>
      <w:pPr>
        <w:spacing w:after="0" w:line="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shall be given cash or stock equal to the in-the-money value of the canceled stock options. In the event of a</w:t>
      </w:r>
    </w:p>
    <w:p>
      <w:pPr>
        <w:spacing w:after="0" w:line="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change of control, performance-based and time-based RSUs become unrestricted and fully vested at target.</w:t>
      </w:r>
    </w:p>
    <w:p>
      <w:pPr>
        <w:spacing w:after="0" w:line="153" w:lineRule="exact"/>
        <w:rPr>
          <w:sz w:val="20"/>
          <w:szCs w:val="20"/>
          <w:color w:val="auto"/>
        </w:rPr>
      </w:pPr>
    </w:p>
    <w:p>
      <w:pPr>
        <w:ind w:left="20"/>
        <w:spacing w:after="0"/>
        <w:tabs>
          <w:tab w:leader="none" w:pos="400" w:val="left"/>
          <w:tab w:leader="none" w:pos="1500" w:val="left"/>
          <w:tab w:leader="none" w:pos="2560" w:val="left"/>
          <w:tab w:leader="none" w:pos="3120" w:val="left"/>
        </w:tabs>
        <w:rPr>
          <w:sz w:val="20"/>
          <w:szCs w:val="20"/>
          <w:color w:val="auto"/>
        </w:rPr>
      </w:pPr>
      <w:r>
        <w:rPr>
          <w:rFonts w:ascii="Times New Roman" w:cs="Times New Roman" w:eastAsia="Times New Roman" w:hAnsi="Times New Roman"/>
          <w:sz w:val="18"/>
          <w:szCs w:val="18"/>
          <w:color w:val="auto"/>
        </w:rPr>
        <w:t>No</w:t>
        <w:tab/>
        <w:t>Employment</w:t>
        <w:tab/>
        <w:t>Agreements</w:t>
        <w:tab/>
        <w:t>with</w:t>
        <w:tab/>
        <w:t>The Company does not maintain any employment agreements with its executives that contain provision of</w:t>
      </w:r>
    </w:p>
    <w:p>
      <w:pPr>
        <w:spacing w:after="0" w:line="27" w:lineRule="exact"/>
        <w:rPr>
          <w:sz w:val="20"/>
          <w:szCs w:val="20"/>
          <w:color w:val="auto"/>
        </w:rPr>
      </w:pPr>
    </w:p>
    <w:p>
      <w:pPr>
        <w:ind w:left="20"/>
        <w:spacing w:after="0"/>
        <w:tabs>
          <w:tab w:leader="none" w:pos="3120" w:val="left"/>
        </w:tabs>
        <w:rPr>
          <w:sz w:val="20"/>
          <w:szCs w:val="20"/>
          <w:color w:val="auto"/>
        </w:rPr>
      </w:pPr>
      <w:r>
        <w:rPr>
          <w:rFonts w:ascii="Times New Roman" w:cs="Times New Roman" w:eastAsia="Times New Roman" w:hAnsi="Times New Roman"/>
          <w:sz w:val="18"/>
          <w:szCs w:val="18"/>
          <w:color w:val="auto"/>
        </w:rPr>
        <w:t>Severance Arrangements</w:t>
      </w:r>
      <w:r>
        <w:rPr>
          <w:sz w:val="20"/>
          <w:szCs w:val="20"/>
          <w:color w:val="auto"/>
        </w:rPr>
        <w:tab/>
      </w:r>
      <w:r>
        <w:rPr>
          <w:rFonts w:ascii="Times New Roman" w:cs="Times New Roman" w:eastAsia="Times New Roman" w:hAnsi="Times New Roman"/>
          <w:sz w:val="18"/>
          <w:szCs w:val="18"/>
          <w:color w:val="auto"/>
        </w:rPr>
        <w:t>benefits related to termination of employment. The offer letters for Messrs. Nauman and Shaller provide that</w:t>
      </w:r>
    </w:p>
    <w:p>
      <w:pPr>
        <w:spacing w:after="0" w:line="9" w:lineRule="exact"/>
        <w:rPr>
          <w:sz w:val="20"/>
          <w:szCs w:val="20"/>
          <w:color w:val="auto"/>
        </w:rPr>
      </w:pPr>
    </w:p>
    <w:p>
      <w:pPr>
        <w:ind w:left="3140" w:right="20"/>
        <w:spacing w:after="0" w:line="260" w:lineRule="auto"/>
        <w:rPr>
          <w:sz w:val="20"/>
          <w:szCs w:val="20"/>
          <w:color w:val="auto"/>
        </w:rPr>
      </w:pPr>
      <w:r>
        <w:rPr>
          <w:rFonts w:ascii="Times New Roman" w:cs="Times New Roman" w:eastAsia="Times New Roman" w:hAnsi="Times New Roman"/>
          <w:sz w:val="18"/>
          <w:szCs w:val="18"/>
          <w:color w:val="auto"/>
        </w:rPr>
        <w:t>each is deemed an at-will employee, but will receive a severance benefit in the event his employment is terminated by the Company without cause or for good reason as described in the respective offer letter.</w:t>
      </w:r>
    </w:p>
    <w:p>
      <w:pPr>
        <w:sectPr>
          <w:pgSz w:w="11900" w:h="16838" w:orient="portrait"/>
          <w:cols w:equalWidth="0" w:num="1">
            <w:col w:w="11240"/>
          </w:cols>
          <w:pgMar w:left="320" w:top="118" w:right="339" w:bottom="1440" w:gutter="0" w:footer="0" w:header="0"/>
        </w:sectPr>
      </w:pPr>
    </w:p>
    <w:p>
      <w:pPr>
        <w:spacing w:after="0" w:line="127" w:lineRule="exact"/>
        <w:rPr>
          <w:sz w:val="20"/>
          <w:szCs w:val="20"/>
          <w:color w:val="auto"/>
        </w:rPr>
      </w:pPr>
    </w:p>
    <w:p>
      <w:pPr>
        <w:ind w:left="20"/>
        <w:spacing w:after="0" w:line="282" w:lineRule="auto"/>
        <w:rPr>
          <w:sz w:val="20"/>
          <w:szCs w:val="20"/>
          <w:color w:val="auto"/>
        </w:rPr>
      </w:pPr>
      <w:r>
        <w:rPr>
          <w:rFonts w:ascii="Times New Roman" w:cs="Times New Roman" w:eastAsia="Times New Roman" w:hAnsi="Times New Roman"/>
          <w:sz w:val="18"/>
          <w:szCs w:val="18"/>
          <w:color w:val="auto"/>
        </w:rPr>
        <w:t>No Reloads, Repricing, or Options Issued at a Discount</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Stock options issued are not repriced, replaced, or regranted through cancellation or by lowering the option price of a previously granted option.</w:t>
      </w:r>
    </w:p>
    <w:p>
      <w:pPr>
        <w:spacing w:after="0" w:line="200" w:lineRule="exact"/>
        <w:rPr>
          <w:sz w:val="20"/>
          <w:szCs w:val="20"/>
          <w:color w:val="auto"/>
        </w:rPr>
      </w:pPr>
    </w:p>
    <w:p>
      <w:pPr>
        <w:sectPr>
          <w:pgSz w:w="11900" w:h="16838" w:orient="portrait"/>
          <w:cols w:equalWidth="0" w:num="2">
            <w:col w:w="2520" w:space="620"/>
            <w:col w:w="8100"/>
          </w:cols>
          <w:pgMar w:left="320" w:top="118" w:right="339" w:bottom="1440" w:gutter="0" w:footer="0" w:header="0"/>
          <w:type w:val="continuous"/>
        </w:sectPr>
      </w:pP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Philosophy and Objectives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seek to align the interests of our executives with those of our shareholders by evaluating performance on the basis of key financial measurements that we believe closely correlate to long-term shareholder value. To this end, we have structured our compensation program to accomplish the following:</w:t>
      </w:r>
    </w:p>
    <w:p>
      <w:pPr>
        <w:spacing w:after="0" w:line="108"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Company to compete for, retain and motivate talented executives;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compensation plans that are both internally equitable when comparing similar roles and levels within the Company and externally competitive when comparing to the external market and the Company’s designated peer group;</w:t>
      </w: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 appropriate balance between base salary and short-term and long-term incentive opportunities;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integrated compensation programs aligned to the Company’s annual and long-term financial goals and realized performance;</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and reward individual initiative and achievement with the amount of compensation each executive receives reflective of the executive’s level of proficiency within his or her role and their level of sustained performance; and</w:t>
      </w: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Institute a pay-for-performance philosophy where level of rewards is aligned to Company performance.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Determining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Development &amp; Compensation Committee’s Role</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Committee is responsible for monitoring and approving the compensation of the Company's NEOs. The Committee approves compensation and benefit policies and strategies, approves corporate goals and objectives relative to the chief executive officer and other executive officer compensation, oversees and reviews the development plan process of key executives, reviews compensation-related risk, administers the Company's equity incentive plans, and consults with management regarding executive compensation. On an annual basis with respect to executive officers, the Committee approves base salary adjustments, equity incentive awards, the annual cash incentive paid for performance target achievement in the prior fiscal year, and the annual cash incentive performance targets for the upcoming fiscal year. In addition, the Committee annually reviews a summary of the elements of compensation for each executive officer in order to evaluate, among other items, how a potential change to an element of our compensation program would affect the respective executive officer's overall compensation. When a new executive officer is hired, the Committee is involved in reviewing and approving base salary, annual incentive opportunity, sign-on incentives, annual equity awards, and other aspects of the executive's compensation.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Consultants’ Role</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Committee has historically utilized the services of an executive compensation consulting firm and legal counsel to assist with the review and evaluation of compensation levels and policies on a periodic basis, as well as to provide advice with respect to new or modified compensation programs. In fiscal 2020, the Committee utilized the services of Meridian Compensation Partners and Compensation Strategies, Inc. as compensation consultants and Quarles &amp; Brady LLP as legal counsel, each of which were determined to be independent by the Corporate Governance Committee.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66" w:name="page67"/>
    <w:bookmarkEnd w:id="66"/>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Role</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To aid in determining compensation for fiscal 2020, management obtained compensation data on peer group executive officer compensation through a standard data subscription with Equilar, Inc. and published survey data from various third-parties. For fiscal 2020, Mr. Nauman used this data to make recommendations to the Committee concerning compensation for each NEO other than himself. In setting compensation for NEOs, the Committee takes into consideration these recommendations, along with Company results during the previous fiscal year, the level of responsibility, demonstrated leadership capability, third-party compensation data, and the results of annual performance reviews which, for our chief executive officer, included a self-assessment and feedback from his direct reports and each member of the Board of Directors. In addition, during fiscal 2020, the Committee took into consideration the recommendations of Meridian Compensation Partners, with respect to compensation elements for the chief executive officer. Mr. Nauman did not attend the portion of any committee meeting during which the Committee discussed matters related specifically to his compensation.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Elements of Compensation</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total compensation program includes five elements: base salary, annual cash incentives, long-term equity incentives, employee benefits, and perquisites. We use these elements of compensation to attract, retain, motivate, develop and reward our executives.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compensation philosophy is to allocate a significant portion of total compensation to long-term compensation (equity incentive awards) in order to align the achievement of performance goals for our executives with shareholder interests. For fiscal 2020, equity incentive awards comprised approximately 64% of Mr. Nauman’s total target compensation and approximately 50% of the total target compensation of the other NEOs.</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total of base salary, annual cash, and long-term equity incentive compensation elements, in general, is targeted at market median (50th percentile) up to 75th percentile for the achievement of performance goals, with an opportunity for above market median pay when performance is achieved. Our compensation structure is balanced by the payment of below market median compensation to our NEOs when actual financial results or individual performance do not meet expected results. The following table describes the purpose of each compensation element and how that element is related to our pay-for-performance approach:</w:t>
      </w:r>
    </w:p>
    <w:p>
      <w:pPr>
        <w:sectPr>
          <w:pgSz w:w="11900" w:h="16838" w:orient="portrait"/>
          <w:cols w:equalWidth="0" w:num="1">
            <w:col w:w="11240"/>
          </w:cols>
          <w:pgMar w:left="320" w:top="118" w:right="339" w:bottom="1440" w:gutter="0" w:footer="0" w:header="0"/>
        </w:sectPr>
      </w:pP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Compensation Element</w:t>
            </w:r>
          </w:p>
        </w:tc>
        <w:tc>
          <w:tcPr>
            <w:tcW w:w="3260" w:type="dxa"/>
            <w:vAlign w:val="bottom"/>
          </w:tcPr>
          <w:p>
            <w:pPr>
              <w:ind w:left="1320"/>
              <w:spacing w:after="0"/>
              <w:rPr>
                <w:sz w:val="20"/>
                <w:szCs w:val="20"/>
                <w:color w:val="auto"/>
              </w:rPr>
            </w:pPr>
            <w:r>
              <w:rPr>
                <w:rFonts w:ascii="Times New Roman" w:cs="Times New Roman" w:eastAsia="Times New Roman" w:hAnsi="Times New Roman"/>
                <w:sz w:val="18"/>
                <w:szCs w:val="18"/>
                <w:b w:val="1"/>
                <w:bCs w:val="1"/>
                <w:color w:val="auto"/>
              </w:rPr>
              <w:t>Purpose</w:t>
            </w:r>
          </w:p>
        </w:tc>
      </w:tr>
      <w:tr>
        <w:trPr>
          <w:trHeight w:val="27"/>
        </w:trPr>
        <w:tc>
          <w:tcPr>
            <w:tcW w:w="2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r>
      <w:tr>
        <w:trPr>
          <w:trHeight w:val="218"/>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Base salary</w:t>
            </w: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 fixed level of income used to attract and</w:t>
            </w:r>
          </w:p>
        </w:tc>
      </w:tr>
      <w:tr>
        <w:trPr>
          <w:trHeight w:val="216"/>
        </w:trPr>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retain executives by compensating for the</w:t>
            </w:r>
          </w:p>
        </w:tc>
      </w:tr>
      <w:tr>
        <w:trPr>
          <w:trHeight w:val="216"/>
        </w:trPr>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primary functions and responsibilities of the</w:t>
            </w:r>
          </w:p>
        </w:tc>
      </w:tr>
      <w:tr>
        <w:trPr>
          <w:trHeight w:val="234"/>
        </w:trPr>
        <w:tc>
          <w:tcPr>
            <w:tcW w:w="2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position.</w:t>
            </w:r>
          </w:p>
        </w:tc>
      </w:tr>
    </w:tbl>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Performance Alignment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36830</wp:posOffset>
            </wp:positionV>
            <wp:extent cx="343725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37255" cy="8890"/>
                    </a:xfrm>
                    <a:prstGeom prst="rect">
                      <a:avLst/>
                    </a:prstGeom>
                    <a:noFill/>
                  </pic:spPr>
                </pic:pic>
              </a:graphicData>
            </a:graphic>
          </wp:anchor>
        </w:drawing>
      </w:r>
    </w:p>
    <w:p>
      <w:pPr>
        <w:spacing w:after="0" w:line="6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Base salary increases depend upon individual performance, displayed skills and competencies, and market competitiveness.</w:t>
      </w:r>
    </w:p>
    <w:p>
      <w:pPr>
        <w:spacing w:after="0" w:line="539" w:lineRule="exact"/>
        <w:rPr>
          <w:sz w:val="20"/>
          <w:szCs w:val="20"/>
          <w:color w:val="auto"/>
        </w:rPr>
      </w:pPr>
    </w:p>
    <w:p>
      <w:pPr>
        <w:sectPr>
          <w:pgSz w:w="11900" w:h="16838" w:orient="portrait"/>
          <w:cols w:equalWidth="0" w:num="2">
            <w:col w:w="5720" w:space="120"/>
            <w:col w:w="5400"/>
          </w:cols>
          <w:pgMar w:left="320" w:top="118" w:right="339" w:bottom="1440" w:gutter="0" w:footer="0" w:header="0"/>
          <w:type w:val="continuous"/>
        </w:sectPr>
      </w:pPr>
    </w:p>
    <w:p>
      <w:pPr>
        <w:ind w:left="20"/>
        <w:spacing w:after="0"/>
        <w:tabs>
          <w:tab w:leader="none" w:pos="2460" w:val="left"/>
        </w:tabs>
        <w:rPr>
          <w:sz w:val="20"/>
          <w:szCs w:val="20"/>
          <w:color w:val="auto"/>
        </w:rPr>
      </w:pPr>
      <w:r>
        <w:rPr>
          <w:rFonts w:ascii="Times New Roman" w:cs="Times New Roman" w:eastAsia="Times New Roman" w:hAnsi="Times New Roman"/>
          <w:sz w:val="18"/>
          <w:szCs w:val="18"/>
          <w:color w:val="auto"/>
        </w:rPr>
        <w:t>Annual cash incentive award</w:t>
      </w:r>
      <w:r>
        <w:rPr>
          <w:sz w:val="20"/>
          <w:szCs w:val="20"/>
          <w:color w:val="auto"/>
        </w:rPr>
        <w:tab/>
      </w:r>
      <w:r>
        <w:rPr>
          <w:rFonts w:ascii="Times New Roman" w:cs="Times New Roman" w:eastAsia="Times New Roman" w:hAnsi="Times New Roman"/>
          <w:sz w:val="17"/>
          <w:szCs w:val="17"/>
          <w:color w:val="auto"/>
        </w:rPr>
        <w:t>To attract, retain, motivate and reward</w:t>
      </w:r>
    </w:p>
    <w:p>
      <w:pPr>
        <w:spacing w:after="0" w:line="27" w:lineRule="exact"/>
        <w:rPr>
          <w:sz w:val="20"/>
          <w:szCs w:val="20"/>
          <w:color w:val="auto"/>
        </w:rPr>
      </w:pPr>
    </w:p>
    <w:p>
      <w:pPr>
        <w:ind w:left="2480"/>
        <w:spacing w:after="0" w:line="255" w:lineRule="auto"/>
        <w:rPr>
          <w:sz w:val="20"/>
          <w:szCs w:val="20"/>
          <w:color w:val="auto"/>
        </w:rPr>
      </w:pPr>
      <w:r>
        <w:rPr>
          <w:rFonts w:ascii="Times New Roman" w:cs="Times New Roman" w:eastAsia="Times New Roman" w:hAnsi="Times New Roman"/>
          <w:sz w:val="18"/>
          <w:szCs w:val="18"/>
          <w:color w:val="auto"/>
        </w:rPr>
        <w:t>executives for achieving or exceeding annual performance goals at total Company and division levels.</w:t>
      </w:r>
    </w:p>
    <w:p>
      <w:pPr>
        <w:spacing w:after="0" w:line="132" w:lineRule="exact"/>
        <w:rPr>
          <w:sz w:val="20"/>
          <w:szCs w:val="20"/>
          <w:color w:val="auto"/>
        </w:rPr>
      </w:pPr>
    </w:p>
    <w:p>
      <w:pPr>
        <w:ind w:left="20" w:right="260"/>
        <w:spacing w:after="0" w:line="263" w:lineRule="auto"/>
        <w:rPr>
          <w:sz w:val="20"/>
          <w:szCs w:val="20"/>
          <w:color w:val="auto"/>
        </w:rPr>
      </w:pPr>
      <w:r>
        <w:rPr>
          <w:rFonts w:ascii="Times New Roman" w:cs="Times New Roman" w:eastAsia="Times New Roman" w:hAnsi="Times New Roman"/>
          <w:sz w:val="18"/>
          <w:szCs w:val="18"/>
          <w:color w:val="auto"/>
        </w:rPr>
        <w:t>Annual equity incentive award: To attract, retain, motivate and reward Time-based stock options, time- executives for the successful creation of based RSUs and performance- long-term shareholder value. based RSUs</w:t>
      </w:r>
    </w:p>
    <w:p>
      <w:pPr>
        <w:spacing w:after="0" w:line="20" w:lineRule="exact"/>
        <w:rPr>
          <w:sz w:val="20"/>
          <w:szCs w:val="20"/>
          <w:color w:val="auto"/>
        </w:rPr>
      </w:pPr>
      <w:r>
        <w:rPr>
          <w:sz w:val="20"/>
          <w:szCs w:val="20"/>
          <w:color w:val="auto"/>
        </w:rPr>
        <w:br w:type="column"/>
      </w: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Financial performance, achievement of fiscal year objectives and individual performance of each executive determines the amount of the executive's annual cash incentive award.</w:t>
      </w:r>
    </w:p>
    <w:p>
      <w:pPr>
        <w:spacing w:after="0" w:line="33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An assessment of executive leadership, experience and expected future contribution, combined with market data, are used to determine the amount of equity granted to each executive.</w:t>
      </w:r>
    </w:p>
    <w:p>
      <w:pPr>
        <w:spacing w:after="0" w:line="176"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Stock options are inherently performance-based in that the value is dependent upon the increase in the stock price.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Time-based RSUs are intended to facilitate retention and to align executives with the creation of long-term shareholder value.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Performance-based RSUs are intended to align executives with long-term financial goals and the creation of long-term shareholder value.</w:t>
      </w:r>
    </w:p>
    <w:p>
      <w:pPr>
        <w:spacing w:after="0" w:line="200" w:lineRule="exact"/>
        <w:rPr>
          <w:sz w:val="20"/>
          <w:szCs w:val="20"/>
          <w:color w:val="auto"/>
        </w:rPr>
      </w:pPr>
    </w:p>
    <w:p>
      <w:pPr>
        <w:sectPr>
          <w:pgSz w:w="11900" w:h="16838" w:orient="portrait"/>
          <w:cols w:equalWidth="0" w:num="2">
            <w:col w:w="5620" w:space="220"/>
            <w:col w:w="5400"/>
          </w:cols>
          <w:pgMar w:left="320" w:top="118" w:right="339" w:bottom="1440" w:gutter="0" w:footer="0" w:header="0"/>
          <w:type w:val="continuous"/>
        </w:sect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67" w:name="page68"/>
    <w:bookmarkEnd w:id="67"/>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Benchmarking Total Compensation</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Committee uses peer group data to test the reasonableness and competitiveness of several elements of compensation, including base salaries, annual cash incentives, and long-term equity awards of positions similar to those of our NEOs. The following 18 companies were included in the fiscal 2020 total compensation analysis conducted using publicly available data:</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Apogee Enterprises, Inc.</w:t>
            </w:r>
          </w:p>
        </w:tc>
        <w:tc>
          <w:tcPr>
            <w:tcW w:w="39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Federal Signal Corp.</w:t>
            </w:r>
          </w:p>
        </w:tc>
        <w:tc>
          <w:tcPr>
            <w:tcW w:w="3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MSA Safety Incorporated</w:t>
            </w:r>
          </w:p>
        </w:tc>
      </w:tr>
      <w:tr>
        <w:trPr>
          <w:trHeight w:val="270"/>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Balchem Corporation</w:t>
            </w:r>
          </w:p>
        </w:tc>
        <w:tc>
          <w:tcPr>
            <w:tcW w:w="39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GCP Applied Technologies Inc.</w:t>
            </w:r>
          </w:p>
        </w:tc>
        <w:tc>
          <w:tcPr>
            <w:tcW w:w="3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Neenah, Inc.</w:t>
            </w:r>
          </w:p>
        </w:tc>
      </w:tr>
      <w:tr>
        <w:trPr>
          <w:trHeight w:val="270"/>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Barnes Group Inc.</w:t>
            </w:r>
          </w:p>
        </w:tc>
        <w:tc>
          <w:tcPr>
            <w:tcW w:w="39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Graco Inc.</w:t>
            </w:r>
          </w:p>
        </w:tc>
        <w:tc>
          <w:tcPr>
            <w:tcW w:w="3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Nordson Corporation</w:t>
            </w:r>
          </w:p>
        </w:tc>
      </w:tr>
      <w:tr>
        <w:trPr>
          <w:trHeight w:val="270"/>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Enerpac Tool Group Corp.</w:t>
            </w:r>
          </w:p>
        </w:tc>
        <w:tc>
          <w:tcPr>
            <w:tcW w:w="39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IDEX Corporation</w:t>
            </w:r>
          </w:p>
        </w:tc>
        <w:tc>
          <w:tcPr>
            <w:tcW w:w="35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Schweitzer-Mauduit International, Inc.</w:t>
            </w:r>
          </w:p>
        </w:tc>
      </w:tr>
      <w:tr>
        <w:trPr>
          <w:trHeight w:val="270"/>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EnPro Industries, Inc.</w:t>
            </w:r>
          </w:p>
        </w:tc>
        <w:tc>
          <w:tcPr>
            <w:tcW w:w="39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II-VI Incorporated</w:t>
            </w:r>
          </w:p>
        </w:tc>
        <w:tc>
          <w:tcPr>
            <w:tcW w:w="3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TriMas Corporation</w:t>
            </w:r>
          </w:p>
        </w:tc>
      </w:tr>
      <w:tr>
        <w:trPr>
          <w:trHeight w:val="270"/>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ESCO Technologies Inc.</w:t>
            </w:r>
          </w:p>
        </w:tc>
        <w:tc>
          <w:tcPr>
            <w:tcW w:w="39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Ingevity Corporation</w:t>
            </w:r>
          </w:p>
        </w:tc>
        <w:tc>
          <w:tcPr>
            <w:tcW w:w="3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Watts Water Technologies, Inc.</w:t>
            </w: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2020 Named Executive Officer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Salaries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reflects the base salary for each NEO in effect at the end of each fiscal year.</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Fiscal 2020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Fiscal 2019</w:t>
            </w:r>
          </w:p>
        </w:tc>
        <w:tc>
          <w:tcPr>
            <w:tcW w:w="10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Percentage Increase</w:t>
            </w:r>
          </w:p>
        </w:tc>
        <w:tc>
          <w:tcPr>
            <w:tcW w:w="200" w:type="dxa"/>
            <w:vAlign w:val="bottom"/>
            <w:tcBorders>
              <w:bottom w:val="single" w:sz="8" w:color="auto"/>
            </w:tcBorders>
          </w:tcPr>
          <w:p>
            <w:pPr>
              <w:spacing w:after="0"/>
              <w:rPr>
                <w:sz w:val="16"/>
                <w:szCs w:val="16"/>
                <w:color w:val="auto"/>
              </w:rPr>
            </w:pPr>
          </w:p>
        </w:tc>
      </w:tr>
      <w:tr>
        <w:trPr>
          <w:trHeight w:val="248"/>
        </w:trPr>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 Michael Nauman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830,180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806,000</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Aaron J. Pearce</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415,073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396,440</w:t>
            </w:r>
          </w:p>
        </w:tc>
        <w:tc>
          <w:tcPr>
            <w:tcW w:w="1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Pascal Deman (1)</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252,625</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Helena R. Nelligan</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326,290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316,787</w:t>
            </w:r>
          </w:p>
        </w:tc>
        <w:tc>
          <w:tcPr>
            <w:tcW w:w="1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Russell R. Shaller</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400,151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378,931</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Louis T. Bolognini (2)</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360,785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350,277</w:t>
            </w:r>
          </w:p>
        </w:tc>
        <w:tc>
          <w:tcPr>
            <w:tcW w:w="1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gridSpan w:val="2"/>
          </w:tcPr>
          <w:p>
            <w:pPr>
              <w:spacing w:after="0"/>
              <w:rPr>
                <w:sz w:val="2"/>
                <w:szCs w:val="2"/>
                <w:color w:val="auto"/>
              </w:rPr>
            </w:pPr>
          </w:p>
        </w:tc>
      </w:tr>
      <w:tr>
        <w:trPr>
          <w:trHeight w:val="243"/>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Thomas J. Felmer (3)</w:t>
            </w:r>
          </w:p>
        </w:tc>
        <w:tc>
          <w:tcPr>
            <w:tcW w:w="2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398,623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398,623</w:t>
            </w:r>
          </w:p>
        </w:tc>
        <w:tc>
          <w:tcPr>
            <w:tcW w:w="100" w:type="dxa"/>
            <w:vAlign w:val="bottom"/>
            <w:shd w:val="clear" w:color="auto" w:fill="CCEEFF"/>
          </w:tcPr>
          <w:p>
            <w:pPr>
              <w:spacing w:after="0"/>
              <w:rPr>
                <w:sz w:val="21"/>
                <w:szCs w:val="21"/>
                <w:color w:val="auto"/>
              </w:rPr>
            </w:pP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5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r>
    </w:tbl>
    <w:p>
      <w:pPr>
        <w:spacing w:after="0" w:line="306" w:lineRule="exact"/>
        <w:rPr>
          <w:sz w:val="20"/>
          <w:szCs w:val="20"/>
          <w:color w:val="auto"/>
        </w:rPr>
      </w:pPr>
    </w:p>
    <w:p>
      <w:pPr>
        <w:jc w:val="both"/>
        <w:ind w:left="580" w:hanging="329"/>
        <w:spacing w:after="0" w:line="261" w:lineRule="auto"/>
        <w:tabs>
          <w:tab w:leader="none" w:pos="53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Deman's compensation is denominated in Euros. The amounts shown in U.S. dollars in the table above were converted from Euros at the average exchange rate for fiscal 2020: 1 EUR = 1.1073 USD and fiscal 2019: 1 EUR = 1.1369 USD. Mr. Deman received a 15% base salary increase in fiscal 2020 as a result of his appointment as Vice President and General Manager - Workplace Safety. The remainder of the difference between fiscal 2019 and 2020 base salaries relates to exchange rate fluctuation.</w:t>
      </w:r>
    </w:p>
    <w:p>
      <w:pPr>
        <w:spacing w:after="0" w:line="125" w:lineRule="exact"/>
        <w:rPr>
          <w:rFonts w:ascii="Times New Roman" w:cs="Times New Roman" w:eastAsia="Times New Roman" w:hAnsi="Times New Roman"/>
          <w:sz w:val="18"/>
          <w:szCs w:val="18"/>
          <w:color w:val="auto"/>
        </w:rPr>
      </w:pPr>
    </w:p>
    <w:p>
      <w:pPr>
        <w:ind w:left="580" w:hanging="329"/>
        <w:spacing w:after="0" w:line="282" w:lineRule="auto"/>
        <w:tabs>
          <w:tab w:leader="none" w:pos="52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April 15, 2020, Mr. Bolognini resigned from his position as Senior Vice President, General Counsel and Secretary and retired from the Company.</w:t>
      </w:r>
    </w:p>
    <w:p>
      <w:pPr>
        <w:spacing w:after="0" w:line="107" w:lineRule="exact"/>
        <w:rPr>
          <w:rFonts w:ascii="Times New Roman" w:cs="Times New Roman" w:eastAsia="Times New Roman" w:hAnsi="Times New Roman"/>
          <w:sz w:val="18"/>
          <w:szCs w:val="18"/>
          <w:color w:val="auto"/>
        </w:rPr>
      </w:pPr>
    </w:p>
    <w:p>
      <w:pPr>
        <w:ind w:left="580" w:right="20" w:hanging="329"/>
        <w:spacing w:after="0" w:line="282" w:lineRule="auto"/>
        <w:tabs>
          <w:tab w:leader="none" w:pos="52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January 2, 2020, Mr. Felmer resigned from his position as Senior Vice President and President - Workplace Safety and retired from the Company.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8" w:name="page69"/>
    <w:bookmarkEnd w:id="68"/>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Cash Incentive Awards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is managed on a global basis with two reportable segments: Identification Solutions ("IDS") and Workplace Safety ("WPS"). All executives participate in an annual cash incentive plan, which is based on fiscal year financial results of the Company or a division. Management and the Committee annually evaluate the performance metrics of the cash incentive award program, and concluded that the elements of the fiscal 2020 plan represent critical elements of the Company’s performance that when combined, are designed to result in sustainable long-term sales and profit growth. Set forth below is a description of the fiscal 2020 financial performance metrics for the annual cash incentive plan: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9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Performance Metric</w:t>
            </w:r>
          </w:p>
        </w:tc>
        <w:tc>
          <w:tcPr>
            <w:tcW w:w="100" w:type="dxa"/>
            <w:vAlign w:val="bottom"/>
          </w:tcPr>
          <w:p>
            <w:pPr>
              <w:spacing w:after="0"/>
              <w:rPr>
                <w:sz w:val="16"/>
                <w:szCs w:val="16"/>
                <w:color w:val="auto"/>
              </w:rPr>
            </w:pPr>
          </w:p>
        </w:tc>
        <w:tc>
          <w:tcPr>
            <w:tcW w:w="6060" w:type="dxa"/>
            <w:vAlign w:val="bottom"/>
            <w:tcBorders>
              <w:bottom w:val="single" w:sz="8" w:color="auto"/>
            </w:tcBorders>
          </w:tcPr>
          <w:p>
            <w:pPr>
              <w:ind w:left="2720"/>
              <w:spacing w:after="0"/>
              <w:rPr>
                <w:sz w:val="20"/>
                <w:szCs w:val="20"/>
                <w:color w:val="auto"/>
              </w:rPr>
            </w:pPr>
            <w:r>
              <w:rPr>
                <w:rFonts w:ascii="Times New Roman" w:cs="Times New Roman" w:eastAsia="Times New Roman" w:hAnsi="Times New Roman"/>
                <w:sz w:val="14"/>
                <w:szCs w:val="14"/>
                <w:b w:val="1"/>
                <w:bCs w:val="1"/>
                <w:color w:val="auto"/>
              </w:rPr>
              <w:t>Definition</w:t>
            </w:r>
          </w:p>
        </w:tc>
        <w:tc>
          <w:tcPr>
            <w:tcW w:w="10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Weighting</w:t>
            </w:r>
          </w:p>
        </w:tc>
        <w:tc>
          <w:tcPr>
            <w:tcW w:w="100" w:type="dxa"/>
            <w:vAlign w:val="bottom"/>
          </w:tcPr>
          <w:p>
            <w:pPr>
              <w:spacing w:after="0"/>
              <w:rPr>
                <w:sz w:val="16"/>
                <w:szCs w:val="16"/>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NEO</w:t>
            </w:r>
          </w:p>
        </w:tc>
      </w:tr>
      <w:tr>
        <w:trPr>
          <w:trHeight w:val="223"/>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organic sales</w:t>
            </w:r>
          </w:p>
        </w:tc>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organic sales is measured as total net sales calculated in accordance with U.S.</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Messrs. Nauman, Pearce,</w:t>
            </w:r>
          </w:p>
        </w:tc>
      </w:tr>
      <w:tr>
        <w:trPr>
          <w:trHeight w:val="216"/>
        </w:trPr>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GAAP, excluding the impact of foreign currency translation, acquisitions and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Bolognini and Ms.</w:t>
            </w:r>
          </w:p>
        </w:tc>
      </w:tr>
      <w:tr>
        <w:trPr>
          <w:trHeight w:val="234"/>
        </w:trPr>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divestitures.</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Nelligan</w:t>
            </w:r>
          </w:p>
        </w:tc>
      </w:tr>
      <w:tr>
        <w:trPr>
          <w:trHeight w:val="252"/>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before income</w:t>
            </w:r>
          </w:p>
        </w:tc>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before income taxes is defined as total net sales minus total expenses</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1"/>
                <w:szCs w:val="21"/>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Messrs. Nauman, Pearce,</w:t>
            </w:r>
          </w:p>
        </w:tc>
      </w:tr>
      <w:tr>
        <w:trPr>
          <w:trHeight w:val="216"/>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taxes</w:t>
            </w:r>
          </w:p>
        </w:tc>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before deducting income tax expense calculated in accordance with U.S. GAAP,</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Bolognini and Ms.</w:t>
            </w:r>
          </w:p>
        </w:tc>
      </w:tr>
      <w:tr>
        <w:trPr>
          <w:trHeight w:val="216"/>
        </w:trPr>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excluding the impact of foreign currency translation. Income before income taxes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Nelligan</w:t>
            </w:r>
          </w:p>
        </w:tc>
      </w:tr>
      <w:tr>
        <w:trPr>
          <w:trHeight w:val="234"/>
        </w:trPr>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excludes the impact of acquisitions, divestitures, and unconsolidated affiliates.</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52"/>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Division organic sales</w:t>
            </w:r>
          </w:p>
        </w:tc>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Division organic sales is measured as division net sales calculated in accordance</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Messrs. Deman, Shaller,</w:t>
            </w:r>
          </w:p>
        </w:tc>
      </w:tr>
      <w:tr>
        <w:trPr>
          <w:trHeight w:val="216"/>
        </w:trPr>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with U.S. GAAP, excluding the impact of foreign currency translation, acquisitions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and Felmer</w:t>
            </w:r>
          </w:p>
        </w:tc>
      </w:tr>
      <w:tr>
        <w:trPr>
          <w:trHeight w:val="234"/>
        </w:trPr>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 divestitures.</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52"/>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Division operating</w:t>
            </w:r>
          </w:p>
        </w:tc>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Division operating income is measured as division net sales less cost of goods sold,</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1"/>
                <w:szCs w:val="21"/>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Messrs. Deman, Shaller,</w:t>
            </w:r>
          </w:p>
        </w:tc>
      </w:tr>
      <w:tr>
        <w:trPr>
          <w:trHeight w:val="216"/>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w:t>
            </w:r>
          </w:p>
        </w:tc>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expenses, research and development expenses, and administrative expenses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and Felmer</w:t>
            </w:r>
          </w:p>
        </w:tc>
      </w:tr>
      <w:tr>
        <w:trPr>
          <w:trHeight w:val="216"/>
        </w:trPr>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calculated in accordance with U.S. GAAP, excluding the impact of foreign</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34"/>
        </w:trPr>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currency translation, acquisitions and divestitures.</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52"/>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Fiscal year objectives</w:t>
            </w:r>
          </w:p>
        </w:tc>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fiscal 2020, the Company had seven fiscal year objectives that were established</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All NEOs</w:t>
            </w:r>
          </w:p>
        </w:tc>
      </w:tr>
      <w:tr>
        <w:trPr>
          <w:trHeight w:val="216"/>
        </w:trPr>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at the beginning of the fiscal year and viewed as critical to the execution of the</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34"/>
        </w:trPr>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Company's strategy.</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tcPr>
          <w:p>
            <w:pPr>
              <w:spacing w:after="0"/>
              <w:rPr>
                <w:sz w:val="20"/>
                <w:szCs w:val="20"/>
                <w:color w:val="auto"/>
              </w:rPr>
            </w:pPr>
          </w:p>
        </w:tc>
      </w:tr>
    </w:tbl>
    <w:p>
      <w:pPr>
        <w:spacing w:after="0" w:line="34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funding of the fiscal 2020 annual cash incentive plan was determined by the achievement of certain sales and profit metrics compared to stated thresholds, as well as the achievement of seven fiscal year objectives that were established at the beginning of the fiscal year. The annual cash incentive plan includes a minimum profit threshold that must be exceeded in order for any cash incentive amount to be funded, regardless of the achievement of revenue or fiscal year objectives, and has an eligibility requirement to be employed on the payment date.</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Individual contribution is determined by assessing the level of achievement of each NEO’s individual annual goals combined with their ability to deliver on the competencies needed to achieve those goals. The competencies include items such as optimizing work processes through continuous improvement initiatives, building strong customer relationships and providing excellent customer service, creating innovative new product solutions, and developing our people. Individual annual goals and competencies are included in each NEO’s performance assessment to ensure they are focused on initiatives within their area of responsibility that will increase both sales and profitability and drive long-term shareholder value.</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While our objective is to set goals that are quantitative and measurable, certain elements of the performance assessment may be subjective. Assessments and rating recommendations for all NEOs, except the CEO, are delivered to the Committee by the CEO in July. The CEO provides the Committee with a self-assessment of his own performance without a rating recommendation and the Committee determines the CEO's performance rating.</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rating system consists of five performance levels, each with a predetermined multiplier that is applied to the available annual cash incentive that is earned and payable to the NEO based upon their contribution to the fiscal year objectives and their individual annual goals: Unsatisfactory</w:t>
      </w:r>
    </w:p>
    <w:p>
      <w:pPr>
        <w:jc w:val="both"/>
        <w:ind w:firstLine="8"/>
        <w:spacing w:after="0" w:line="253" w:lineRule="auto"/>
        <w:tabs>
          <w:tab w:leader="none" w:pos="11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 Needs Improvement - 50%; Fully Meets Objectives - 100%; Exceeds Objectives - 125%; and Outstanding - 150%. The target annual cash incentive award that would be payable to each NEO is calculated as a percentage of the NEO’s eligible compensation, which is defined as base salary paid during the fiscal year. The achievement of the financial performance metrics defined in the table above is applied to this target for each NEO, and their individual performance rating is then applied, resulting in the annual cash incentive award. The following section details this calculation for each NEO.</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9" w:name="page70"/>
    <w:bookmarkEnd w:id="69"/>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a result of their retirement during fiscal 2020, Messrs. Bolognini and Felmer were not eligible for payout under the Company's annual cash incentive plan for fiscal 2020.</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Messrs. Nauman, Pearce and Ms. Nelligan</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cash incentive payable to Messrs. Nauman, Pearce and Ms. Nelligan for fiscal 2020 was based on total organic sales, income before income taxes and the achievement of fiscal year objectives. For fiscal 2020, no bonus was payable for these named executive officers as the income before income taxes threshold was not achieved. As a result, the organic sales performance measure, fiscal year objective component, and the individual performance multiplier were not applicable.</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threshold, target, maximum and actual cash incentive award earned for Messrs. Nauman, Pearce and Ms. Nelligan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0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920" w:type="dxa"/>
            <w:vAlign w:val="bottom"/>
            <w:tcBorders>
              <w:bottom w:val="single" w:sz="8" w:color="auto"/>
            </w:tcBorders>
            <w:gridSpan w:val="5"/>
          </w:tcPr>
          <w:p>
            <w:pPr>
              <w:jc w:val="center"/>
              <w:ind w:left="1139"/>
              <w:spacing w:after="0"/>
              <w:rPr>
                <w:sz w:val="20"/>
                <w:szCs w:val="20"/>
                <w:color w:val="auto"/>
              </w:rPr>
            </w:pPr>
            <w:r>
              <w:rPr>
                <w:rFonts w:ascii="Times New Roman" w:cs="Times New Roman" w:eastAsia="Times New Roman" w:hAnsi="Times New Roman"/>
                <w:sz w:val="14"/>
                <w:szCs w:val="14"/>
                <w:b w:val="1"/>
                <w:bCs w:val="1"/>
                <w:color w:val="auto"/>
              </w:rPr>
              <w:t>Fiscal 2020 Actual Results</w:t>
            </w: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Performance Measure </w:t>
            </w:r>
            <w:r>
              <w:rPr>
                <w:rFonts w:ascii="Times New Roman" w:cs="Times New Roman" w:eastAsia="Times New Roman" w:hAnsi="Times New Roman"/>
                <w:sz w:val="14"/>
                <w:szCs w:val="14"/>
                <w:color w:val="auto"/>
              </w:rPr>
              <w:t>(weighting)</w:t>
            </w:r>
          </w:p>
        </w:tc>
        <w:tc>
          <w:tcPr>
            <w:tcW w:w="10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2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00" w:type="dxa"/>
            <w:vAlign w:val="bottom"/>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Achievement ($)</w:t>
            </w:r>
          </w:p>
        </w:tc>
        <w:tc>
          <w:tcPr>
            <w:tcW w:w="12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Achievement (%)</w:t>
            </w:r>
          </w:p>
        </w:tc>
        <w:tc>
          <w:tcPr>
            <w:tcW w:w="0" w:type="dxa"/>
            <w:vAlign w:val="bottom"/>
          </w:tcPr>
          <w:p>
            <w:pPr>
              <w:spacing w:after="0"/>
              <w:rPr>
                <w:sz w:val="1"/>
                <w:szCs w:val="1"/>
                <w:color w:val="auto"/>
              </w:rPr>
            </w:pPr>
          </w:p>
        </w:tc>
      </w:tr>
      <w:tr>
        <w:trPr>
          <w:trHeight w:val="241"/>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Organic Sales (35%)(millions)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$1,158.3</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$1,193.4</w:t>
            </w:r>
          </w:p>
        </w:tc>
        <w:tc>
          <w:tcPr>
            <w:tcW w:w="100" w:type="dxa"/>
            <w:vAlign w:val="bottom"/>
          </w:tcPr>
          <w:p>
            <w:pPr>
              <w:spacing w:after="0"/>
              <w:rPr>
                <w:sz w:val="21"/>
                <w:szCs w:val="21"/>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$1,216.2 or more</w:t>
            </w: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$1,095.9</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 (55%)</w:t>
            </w: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(millions)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1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$191.8 or more</w:t>
            </w: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1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Fiscal Year Objectives (10%)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Individual Performance Multiplier</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5"/>
        </w:trPr>
        <w:tc>
          <w:tcPr>
            <w:tcW w:w="31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Fiscal 2020 Annual Cash Incentive</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4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Actual Payout</w:t>
            </w:r>
          </w:p>
        </w:tc>
        <w:tc>
          <w:tcPr>
            <w:tcW w:w="152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Actual Payout</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Actual Payout</w:t>
            </w:r>
          </w:p>
        </w:tc>
        <w:tc>
          <w:tcPr>
            <w:tcW w:w="0" w:type="dxa"/>
            <w:vAlign w:val="bottom"/>
          </w:tcPr>
          <w:p>
            <w:pPr>
              <w:spacing w:after="0"/>
              <w:rPr>
                <w:sz w:val="1"/>
                <w:szCs w:val="1"/>
                <w:color w:val="auto"/>
              </w:rPr>
            </w:pPr>
          </w:p>
        </w:tc>
      </w:tr>
      <w:tr>
        <w:trPr>
          <w:trHeight w:val="61"/>
        </w:trPr>
        <w:tc>
          <w:tcPr>
            <w:tcW w:w="314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Award:</w:t>
            </w:r>
          </w:p>
        </w:tc>
        <w:tc>
          <w:tcPr>
            <w:tcW w:w="11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10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720" w:type="dxa"/>
            <w:vAlign w:val="bottom"/>
            <w:gridSpan w:val="2"/>
            <w:vMerge w:val="continue"/>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1520" w:type="dxa"/>
            <w:vAlign w:val="bottom"/>
            <w:gridSpan w:val="3"/>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314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 of Base Salary)</w:t>
            </w:r>
          </w:p>
        </w:tc>
        <w:tc>
          <w:tcPr>
            <w:tcW w:w="14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 of Target)</w:t>
            </w:r>
          </w:p>
        </w:tc>
        <w:tc>
          <w:tcPr>
            <w:tcW w:w="15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 of Base Salary)</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48"/>
        </w:trPr>
        <w:tc>
          <w:tcPr>
            <w:tcW w:w="3140" w:type="dxa"/>
            <w:vAlign w:val="bottom"/>
            <w:tcBorders>
              <w:top w:val="single" w:sz="8" w:color="CCEEFF"/>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J.M. Nauman</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43"/>
        </w:trPr>
        <w:tc>
          <w:tcPr>
            <w:tcW w:w="31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A.J. Pearce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188 %</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1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H.R. Nelligan</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7"/>
        </w:trPr>
        <w:tc>
          <w:tcPr>
            <w:tcW w:w="3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Mr. Shaller</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cash incentive payable to Mr. Shaller for fiscal 2020 was based on achievement of IDS division organic sales, IDS division operating income, and the achievement of fiscal year objectives. For fiscal 2020, no bonus was payable for Mr. Shaller as the IDS division operating income threshold was not achieved. As a result, the IDS division organic sales performance measure, the fiscal year objective component, and the individual performance multiplier were not applicable.</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threshold, target, maximum and actual payout amounts for Mr. Shaller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80" w:type="dxa"/>
            <w:vAlign w:val="bottom"/>
            <w:tcBorders>
              <w:bottom w:val="single" w:sz="8" w:color="auto"/>
            </w:tcBorders>
            <w:gridSpan w:val="5"/>
          </w:tcPr>
          <w:p>
            <w:pPr>
              <w:jc w:val="center"/>
              <w:ind w:left="1124"/>
              <w:spacing w:after="0"/>
              <w:rPr>
                <w:sz w:val="20"/>
                <w:szCs w:val="20"/>
                <w:color w:val="auto"/>
              </w:rPr>
            </w:pPr>
            <w:r>
              <w:rPr>
                <w:rFonts w:ascii="Times New Roman" w:cs="Times New Roman" w:eastAsia="Times New Roman" w:hAnsi="Times New Roman"/>
                <w:sz w:val="14"/>
                <w:szCs w:val="14"/>
                <w:b w:val="1"/>
                <w:bCs w:val="1"/>
                <w:color w:val="auto"/>
              </w:rPr>
              <w:t>Fiscal 2020 Actual Results</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Performance Measure (weighting)</w:t>
            </w:r>
          </w:p>
        </w:tc>
        <w:tc>
          <w:tcPr>
            <w:tcW w:w="10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2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00" w:type="dxa"/>
            <w:vAlign w:val="bottom"/>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Achievement ($)</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Achievement (%)</w:t>
            </w:r>
          </w:p>
        </w:tc>
        <w:tc>
          <w:tcPr>
            <w:tcW w:w="0" w:type="dxa"/>
            <w:vAlign w:val="bottom"/>
          </w:tcPr>
          <w:p>
            <w:pPr>
              <w:spacing w:after="0"/>
              <w:rPr>
                <w:sz w:val="1"/>
                <w:szCs w:val="1"/>
                <w:color w:val="auto"/>
              </w:rPr>
            </w:pPr>
          </w:p>
        </w:tc>
      </w:tr>
      <w:tr>
        <w:trPr>
          <w:trHeight w:val="223"/>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IDS Division Organic Sales (35%)</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(millions)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$634.0</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$656.2</w:t>
            </w:r>
          </w:p>
        </w:tc>
        <w:tc>
          <w:tcPr>
            <w:tcW w:w="100" w:type="dxa"/>
            <w:vAlign w:val="bottom"/>
          </w:tcPr>
          <w:p>
            <w:pPr>
              <w:spacing w:after="0"/>
              <w:rPr>
                <w:sz w:val="20"/>
                <w:szCs w:val="20"/>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$672.1 or more</w:t>
            </w: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IDS Division Operating Income (55%)</w:t>
            </w: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(millions)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$179.4 or more</w:t>
            </w: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Fiscal Year Objectives (10%)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Individual Performance Multiplier</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5"/>
        </w:trPr>
        <w:tc>
          <w:tcPr>
            <w:tcW w:w="3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Fiscal 2020 Annual Cash Incentive</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4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Actual Payout</w:t>
            </w:r>
          </w:p>
        </w:tc>
        <w:tc>
          <w:tcPr>
            <w:tcW w:w="148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Actual Payout</w:t>
            </w:r>
          </w:p>
        </w:tc>
        <w:tc>
          <w:tcPr>
            <w:tcW w:w="1200" w:type="dxa"/>
            <w:vAlign w:val="bottom"/>
            <w:vMerge w:val="restart"/>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Actual Payout</w:t>
            </w:r>
          </w:p>
        </w:tc>
        <w:tc>
          <w:tcPr>
            <w:tcW w:w="0" w:type="dxa"/>
            <w:vAlign w:val="bottom"/>
          </w:tcPr>
          <w:p>
            <w:pPr>
              <w:spacing w:after="0"/>
              <w:rPr>
                <w:sz w:val="1"/>
                <w:szCs w:val="1"/>
                <w:color w:val="auto"/>
              </w:rPr>
            </w:pPr>
          </w:p>
        </w:tc>
      </w:tr>
      <w:tr>
        <w:trPr>
          <w:trHeight w:val="61"/>
        </w:trPr>
        <w:tc>
          <w:tcPr>
            <w:tcW w:w="32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Award:</w:t>
            </w:r>
          </w:p>
        </w:tc>
        <w:tc>
          <w:tcPr>
            <w:tcW w:w="11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10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700" w:type="dxa"/>
            <w:vAlign w:val="bottom"/>
            <w:gridSpan w:val="2"/>
            <w:vMerge w:val="continue"/>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1480" w:type="dxa"/>
            <w:vAlign w:val="bottom"/>
            <w:gridSpan w:val="3"/>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322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of Base Salary)</w:t>
            </w:r>
          </w:p>
        </w:tc>
        <w:tc>
          <w:tcPr>
            <w:tcW w:w="14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 of Target)</w:t>
            </w:r>
          </w:p>
        </w:tc>
        <w:tc>
          <w:tcPr>
            <w:tcW w:w="148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 of Base Salary)</w:t>
            </w:r>
          </w:p>
        </w:tc>
        <w:tc>
          <w:tcPr>
            <w:tcW w:w="120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42"/>
        </w:trPr>
        <w:tc>
          <w:tcPr>
            <w:tcW w:w="3220" w:type="dxa"/>
            <w:vAlign w:val="bottom"/>
            <w:tcBorders>
              <w:top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R.R. Shaller</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2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tcBorders>
              <w:top w:val="single" w:sz="8" w:color="CCEEFF"/>
            </w:tcBorders>
            <w:shd w:val="clear" w:color="auto" w:fill="CCEEFF"/>
          </w:tcPr>
          <w:p>
            <w:pPr>
              <w:spacing w:after="0"/>
              <w:rPr>
                <w:sz w:val="21"/>
                <w:szCs w:val="21"/>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173 %</w:t>
            </w:r>
          </w:p>
        </w:tc>
        <w:tc>
          <w:tcPr>
            <w:tcW w:w="100" w:type="dxa"/>
            <w:vAlign w:val="bottom"/>
            <w:tcBorders>
              <w:top w:val="single" w:sz="8" w:color="CCEEFF"/>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Borders>
              <w:top w:val="single" w:sz="8" w:color="CCEEFF"/>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7"/>
        </w:trPr>
        <w:tc>
          <w:tcPr>
            <w:tcW w:w="3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Mr. Deman</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cash incentive payable to Mr. Deman for fiscal 2020 was based on achievement of WPS division organic sales, WPS division operating income, and the achievement of fiscal year objectives. For fiscal 2020, an annual cash incentive was funded for the achievement of WPS division organic sales, WPS division operating income, and for the achievement of certain fiscal year objectives. The multiplier for individual performance was applied to the achievement of the three components to arrive at the final cash incentive award achieved.</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70" w:name="page71"/>
    <w:bookmarkEnd w:id="70"/>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threshold, target, maximum and actual payout amounts for Mr. Deman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86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780" w:type="dxa"/>
            <w:vAlign w:val="bottom"/>
            <w:tcBorders>
              <w:bottom w:val="single" w:sz="8" w:color="auto"/>
            </w:tcBorders>
            <w:gridSpan w:val="5"/>
          </w:tcPr>
          <w:p>
            <w:pPr>
              <w:jc w:val="center"/>
              <w:ind w:left="1061"/>
              <w:spacing w:after="0"/>
              <w:rPr>
                <w:sz w:val="20"/>
                <w:szCs w:val="20"/>
                <w:color w:val="auto"/>
              </w:rPr>
            </w:pPr>
            <w:r>
              <w:rPr>
                <w:rFonts w:ascii="Times New Roman" w:cs="Times New Roman" w:eastAsia="Times New Roman" w:hAnsi="Times New Roman"/>
                <w:sz w:val="14"/>
                <w:szCs w:val="14"/>
                <w:b w:val="1"/>
                <w:bCs w:val="1"/>
                <w:color w:val="auto"/>
              </w:rPr>
              <w:t>Fiscal 2020 Actual Results</w:t>
            </w:r>
          </w:p>
        </w:tc>
        <w:tc>
          <w:tcPr>
            <w:tcW w:w="9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Performance Measure (weighting)</w:t>
            </w:r>
          </w:p>
        </w:tc>
        <w:tc>
          <w:tcPr>
            <w:tcW w:w="66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00" w:type="dxa"/>
            <w:vAlign w:val="bottom"/>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Achievement ($)</w:t>
            </w: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Achievement (%)</w:t>
            </w:r>
          </w:p>
        </w:tc>
        <w:tc>
          <w:tcPr>
            <w:tcW w:w="0" w:type="dxa"/>
            <w:vAlign w:val="bottom"/>
          </w:tcPr>
          <w:p>
            <w:pPr>
              <w:spacing w:after="0"/>
              <w:rPr>
                <w:sz w:val="1"/>
                <w:szCs w:val="1"/>
                <w:color w:val="auto"/>
              </w:rPr>
            </w:pPr>
          </w:p>
        </w:tc>
      </w:tr>
      <w:tr>
        <w:trPr>
          <w:trHeight w:val="223"/>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WPS Division Organic Sales (35%)</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(millions)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100" w:type="dxa"/>
            <w:vAlign w:val="bottom"/>
          </w:tcPr>
          <w:p>
            <w:pPr>
              <w:spacing w:after="0"/>
              <w:rPr>
                <w:sz w:val="20"/>
                <w:szCs w:val="20"/>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$303.9 or more</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$301.7</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WPS Division Operating Income</w:t>
            </w: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(55%)(millions)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$36.9 or more</w:t>
            </w: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43"/>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Fiscal Year Objectives (10%)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Individual Performance Multiplier</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25"/>
        </w:trPr>
        <w:tc>
          <w:tcPr>
            <w:tcW w:w="3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Fiscal 2020 Annual Cash</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3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Actual Payout</w:t>
            </w:r>
          </w:p>
        </w:tc>
        <w:tc>
          <w:tcPr>
            <w:tcW w:w="142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Actual Payout</w:t>
            </w:r>
          </w:p>
        </w:tc>
        <w:tc>
          <w:tcPr>
            <w:tcW w:w="980" w:type="dxa"/>
            <w:vAlign w:val="bottom"/>
            <w:vMerge w:val="restart"/>
          </w:tcPr>
          <w:p>
            <w:pPr>
              <w:jc w:val="center"/>
              <w:ind w:left="16"/>
              <w:spacing w:after="0"/>
              <w:rPr>
                <w:sz w:val="20"/>
                <w:szCs w:val="20"/>
                <w:color w:val="auto"/>
              </w:rPr>
            </w:pPr>
            <w:r>
              <w:rPr>
                <w:rFonts w:ascii="Times New Roman" w:cs="Times New Roman" w:eastAsia="Times New Roman" w:hAnsi="Times New Roman"/>
                <w:sz w:val="14"/>
                <w:szCs w:val="14"/>
                <w:b w:val="1"/>
                <w:bCs w:val="1"/>
                <w:color w:val="auto"/>
              </w:rPr>
              <w:t>Actual Payout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35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Incentive Award:</w:t>
            </w:r>
          </w:p>
        </w:tc>
        <w:tc>
          <w:tcPr>
            <w:tcW w:w="11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0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620" w:type="dxa"/>
            <w:vAlign w:val="bottom"/>
            <w:gridSpan w:val="2"/>
            <w:vMerge w:val="continue"/>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1420" w:type="dxa"/>
            <w:vAlign w:val="bottom"/>
            <w:gridSpan w:val="3"/>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352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of Base Salary)</w:t>
            </w:r>
          </w:p>
        </w:tc>
        <w:tc>
          <w:tcPr>
            <w:tcW w:w="13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 of Target)</w:t>
            </w:r>
          </w:p>
        </w:tc>
        <w:tc>
          <w:tcPr>
            <w:tcW w:w="14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 of Base Salary)</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3520" w:type="dxa"/>
            <w:vAlign w:val="bottom"/>
            <w:tcBorders>
              <w:top w:val="single" w:sz="8" w:color="CCEEFF"/>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 Deman</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$53,507</w:t>
            </w:r>
          </w:p>
        </w:tc>
        <w:tc>
          <w:tcPr>
            <w:tcW w:w="0" w:type="dxa"/>
            <w:vAlign w:val="bottom"/>
          </w:tcPr>
          <w:p>
            <w:pPr>
              <w:spacing w:after="0"/>
              <w:rPr>
                <w:sz w:val="1"/>
                <w:szCs w:val="1"/>
                <w:color w:val="auto"/>
              </w:rPr>
            </w:pPr>
          </w:p>
        </w:tc>
      </w:tr>
      <w:tr>
        <w:trPr>
          <w:trHeight w:val="243"/>
        </w:trPr>
        <w:tc>
          <w:tcPr>
            <w:tcW w:w="35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P. Deman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147 %</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$122,859</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left="660" w:hanging="328"/>
        <w:spacing w:after="0" w:line="261" w:lineRule="auto"/>
        <w:tabs>
          <w:tab w:leader="none" w:pos="65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Deman's compensation is denominated in Euros. The amount shown in U.S. dollars in the table above was converted from Euro at the average exchange rate for fiscal 2020: 1 EUR = 1.1073 USD. As a result of Mr. Deman's executive officer appointment effective January 3, 2020, his bonus target was increased from 35% to 50%. Therefore, Mr. Deman's fiscal 2020 annual incentive compensation payout was calculated on a pro-rata basis using the bonus target in effect for the respective portions of the fiscal year prior to and subsequent to his appointment date.</w:t>
      </w:r>
    </w:p>
    <w:p>
      <w:pPr>
        <w:spacing w:after="0" w:line="12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Mr. Deman's individual performance multiplier was the result of his contribution to several fiscal year objectives and individual annual goals as follows:</w:t>
      </w:r>
    </w:p>
    <w:p>
      <w:pPr>
        <w:spacing w:after="0" w:line="108" w:lineRule="exact"/>
        <w:rPr>
          <w:sz w:val="20"/>
          <w:szCs w:val="20"/>
          <w:color w:val="auto"/>
        </w:rPr>
      </w:pPr>
    </w:p>
    <w:p>
      <w:pPr>
        <w:jc w:val="both"/>
        <w:ind w:left="660" w:hanging="328"/>
        <w:spacing w:after="0" w:line="266"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WPS organic sales growth - The objective focused on accelerating organic sales growth and and enhancing sales capabilities through an improved digital presence in the WPS division. Despite challenging global economic conditions resulting from the COVID-19 pandemic, organic sales within the WPS segment increased by 2.3% in fiscal 2020, compared to an organic sales decline of 0.7% in fiscal 2019.</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Insourcing - The objective was successfully executed and focused on enhancing our manufacturing capabilities to improve quality, delivery, speed, and reduce the cost of our core product offerings.</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 Insights - The objective was successfully executed and focused on positioning the Company for sustainable long-term growth by understanding our competitor and the competitive landscape, and using that knowledge to develop and implement effective competitive strategies.</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After review of Mr. Deman's performance, the Committee determined that Mr. Deman's resulting performance level was 150% for his individual performance multiplier.</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Committee regularly evaluates the impact of unusual events on a case-by-case basis along with compensation policies and practices in light of ongoing developments and best practices in compensation. For fiscal 2020, an adjustment was made to WPS Division Operating Income to exclude the financial impact of accelerated expense recognized during the current year for certain previously capitalized catalog costs, which impacted the annual cash incentive for Mr. Deman. No other adjustments were made to the financial results for unusual and unforeseen events that would have an impact on the Company's fiscal 2020 annual cash incentive for its NEOs.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Equity Incentive Awards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fiscal 2020, the Committee reviewed historical award sizes and median levels of equity awarded to similar positions at our peer companies and other relevant market data. The Committee then approved fiscal 2020 awards consisting of a combination of time-based stock options, time-based RSUs and performance-based RSUs. The Committee uses its discretion in combination with peer group data, analysis of actual pay and performance, and advice from its independent compensation consultant to determine the size and type of equity awards granted to the chief executive officer. For all other executives, the Committee also considers the input from the chief executive officer when determining the size and type of annual equity awards.</w:t>
      </w:r>
    </w:p>
    <w:p>
      <w:pPr>
        <w:spacing w:after="0" w:line="1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Time-based Stock Options: </w:t>
      </w:r>
      <w:r>
        <w:rPr>
          <w:rFonts w:ascii="Times New Roman" w:cs="Times New Roman" w:eastAsia="Times New Roman" w:hAnsi="Times New Roman"/>
          <w:sz w:val="18"/>
          <w:szCs w:val="18"/>
          <w:color w:val="auto"/>
        </w:rPr>
        <w:t>Stock options generally vest one-third annually for three years and have a ten-year term. The Committee has the ability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vary both the term and vesting schedule for new stock option grants in accordance with the terms of the plan. All stock options are granted to the NEOs during the first quarter of each fiscal year following the Committee's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1" w:name="page72"/>
    <w:bookmarkEnd w:id="71"/>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approval, with an exercise price equal to the average of the high and low stock price on the grant date. No dividends are paid or accrued prior to the issuance of shares.</w:t>
      </w:r>
    </w:p>
    <w:p>
      <w:pPr>
        <w:spacing w:after="0" w:line="10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Time-based RSUs: </w:t>
      </w:r>
      <w:r>
        <w:rPr>
          <w:rFonts w:ascii="Times New Roman" w:cs="Times New Roman" w:eastAsia="Times New Roman" w:hAnsi="Times New Roman"/>
          <w:sz w:val="18"/>
          <w:szCs w:val="18"/>
          <w:color w:val="auto"/>
        </w:rPr>
        <w:t>RSUs generally vest one-third annually for three years. The Committee has the ability to vary both the term and vesting schedule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RSU grants in accordance with the terms of the plan. All RSUs are granted following the Committee's approval, with a fair value equal to the average of the high and low stock price on the grant date.</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Performance-based RSUs: </w:t>
      </w:r>
      <w:r>
        <w:rPr>
          <w:rFonts w:ascii="Times New Roman" w:cs="Times New Roman" w:eastAsia="Times New Roman" w:hAnsi="Times New Roman"/>
          <w:sz w:val="18"/>
          <w:szCs w:val="18"/>
          <w:color w:val="auto"/>
        </w:rPr>
        <w:t>PRSUs granted in fiscal year 2018 vest based upon the combined achievement of average organic revenue growth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average operating income growth over a three-year performance period. Organic revenue growth and operating income growth exclude certain unusual or non-recurring events affecting the Company. The organic revenue and operating income growth metrics are based on consideration of the Company's overall strategy and stretch goals in order to emphasize the importance of long-term decision-making to both the financial success of the Company and to improve shareholder value. The PRSUs have a fair value equal to the average of the high and low stock price on the date of grant, and will vest between 40% and 200% of target if the combination of average organic sales growth and average operating income growth over the three-year performance period are met. If the minimum vesting threshold of 40% is not achieved, then the PRSUs will be forfeited.</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Performance-based RSUs granted in fiscal 2019 and fiscal 2020 ("TSR PRSUs") vest based upon the Company’s total shareholder return ("TSR") relative to the S&amp;P 600 SmallCap Industrials Index over a three-year performance period. The TSR PRSUs have a fair value determined by a third-party valuation involving a Monte Carlo simulation. The TSR PRSUs will vest between 25% and 200% of target depending on the relative three-year TSR performance. If the minimum vesting threshold of 25% is not achieved, then the TSR PRSUs will be forfeited.</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dividends are paid or accrued on the performance-based or time-based RSUs prior to the issuance of shares.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long-term equity incentive awards granted during fiscal 2020:</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Fiscal 2020 Annual Equity Awards</w:t>
      </w:r>
    </w:p>
    <w:p>
      <w:pPr>
        <w:spacing w:after="0" w:line="210"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 Grant Date</w:t>
            </w:r>
          </w:p>
        </w:tc>
        <w:tc>
          <w:tcPr>
            <w:tcW w:w="140" w:type="dxa"/>
            <w:vAlign w:val="bottom"/>
          </w:tcPr>
          <w:p>
            <w:pPr>
              <w:spacing w:after="0"/>
              <w:rPr>
                <w:sz w:val="13"/>
                <w:szCs w:val="13"/>
                <w:color w:val="auto"/>
              </w:rPr>
            </w:pPr>
          </w:p>
        </w:tc>
        <w:tc>
          <w:tcPr>
            <w:tcW w:w="2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Time-Based Stock Options</w:t>
            </w:r>
          </w:p>
        </w:tc>
        <w:tc>
          <w:tcPr>
            <w:tcW w:w="120" w:type="dxa"/>
            <w:vAlign w:val="bottom"/>
          </w:tcPr>
          <w:p>
            <w:pPr>
              <w:spacing w:after="0"/>
              <w:rPr>
                <w:sz w:val="13"/>
                <w:szCs w:val="13"/>
                <w:color w:val="auto"/>
              </w:rPr>
            </w:pPr>
          </w:p>
        </w:tc>
        <w:tc>
          <w:tcPr>
            <w:tcW w:w="2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Performance-based RSUs (at</w:t>
            </w:r>
          </w:p>
        </w:tc>
        <w:tc>
          <w:tcPr>
            <w:tcW w:w="220" w:type="dxa"/>
            <w:vAlign w:val="bottom"/>
          </w:tcPr>
          <w:p>
            <w:pPr>
              <w:spacing w:after="0"/>
              <w:rPr>
                <w:sz w:val="13"/>
                <w:szCs w:val="13"/>
                <w:color w:val="auto"/>
              </w:rPr>
            </w:pPr>
          </w:p>
        </w:tc>
        <w:tc>
          <w:tcPr>
            <w:tcW w:w="184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Time-Based RSUs</w:t>
            </w:r>
          </w:p>
        </w:tc>
        <w:tc>
          <w:tcPr>
            <w:tcW w:w="0" w:type="dxa"/>
            <w:vAlign w:val="bottom"/>
          </w:tcPr>
          <w:p>
            <w:pPr>
              <w:spacing w:after="0"/>
              <w:rPr>
                <w:sz w:val="1"/>
                <w:szCs w:val="1"/>
                <w:color w:val="auto"/>
              </w:rPr>
            </w:pPr>
          </w:p>
        </w:tc>
      </w:tr>
      <w:tr>
        <w:trPr>
          <w:trHeight w:val="149"/>
        </w:trPr>
        <w:tc>
          <w:tcPr>
            <w:tcW w:w="1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Named Officers</w:t>
            </w:r>
          </w:p>
        </w:tc>
        <w:tc>
          <w:tcPr>
            <w:tcW w:w="100" w:type="dxa"/>
            <w:vAlign w:val="bottom"/>
            <w:vMerge w:val="restart"/>
          </w:tcPr>
          <w:p>
            <w:pPr>
              <w:spacing w:after="0"/>
              <w:rPr>
                <w:sz w:val="12"/>
                <w:szCs w:val="12"/>
                <w:color w:val="auto"/>
              </w:rPr>
            </w:pPr>
          </w:p>
        </w:tc>
        <w:tc>
          <w:tcPr>
            <w:tcW w:w="30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20" w:type="dxa"/>
            <w:vAlign w:val="bottom"/>
          </w:tcPr>
          <w:p>
            <w:pPr>
              <w:spacing w:after="0"/>
              <w:rPr>
                <w:sz w:val="12"/>
                <w:szCs w:val="12"/>
                <w:color w:val="auto"/>
              </w:rPr>
            </w:pPr>
          </w:p>
        </w:tc>
        <w:tc>
          <w:tcPr>
            <w:tcW w:w="20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target)</w:t>
            </w:r>
          </w:p>
        </w:tc>
        <w:tc>
          <w:tcPr>
            <w:tcW w:w="22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248"/>
        </w:trPr>
        <w:tc>
          <w:tcPr>
            <w:tcW w:w="1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J.M. Nauman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3,447,084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1,000,001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1,447,050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1,000,033</w:t>
            </w:r>
          </w:p>
        </w:tc>
        <w:tc>
          <w:tcPr>
            <w:tcW w:w="0" w:type="dxa"/>
            <w:vAlign w:val="bottom"/>
          </w:tcPr>
          <w:p>
            <w:pPr>
              <w:spacing w:after="0"/>
              <w:rPr>
                <w:sz w:val="1"/>
                <w:szCs w:val="1"/>
                <w:color w:val="auto"/>
              </w:rPr>
            </w:pPr>
          </w:p>
        </w:tc>
      </w:tr>
      <w:tr>
        <w:trPr>
          <w:trHeight w:val="243"/>
        </w:trPr>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A.J. Pearce</w:t>
            </w:r>
          </w:p>
        </w:tc>
        <w:tc>
          <w:tcPr>
            <w:tcW w:w="3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1,011,225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293,342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424,500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293,383</w:t>
            </w:r>
          </w:p>
        </w:tc>
        <w:tc>
          <w:tcPr>
            <w:tcW w:w="0" w:type="dxa"/>
            <w:vAlign w:val="bottom"/>
          </w:tcPr>
          <w:p>
            <w:pPr>
              <w:spacing w:after="0"/>
              <w:rPr>
                <w:sz w:val="1"/>
                <w:szCs w:val="1"/>
                <w:color w:val="auto"/>
              </w:rPr>
            </w:pPr>
          </w:p>
        </w:tc>
      </w:tr>
      <w:tr>
        <w:trPr>
          <w:trHeight w:val="27"/>
        </w:trPr>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 Deman</w:t>
            </w: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32,501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107,586</w:t>
            </w:r>
          </w:p>
        </w:tc>
        <w:tc>
          <w:tcPr>
            <w:tcW w:w="0" w:type="dxa"/>
            <w:vAlign w:val="bottom"/>
          </w:tcPr>
          <w:p>
            <w:pPr>
              <w:spacing w:after="0"/>
              <w:rPr>
                <w:sz w:val="1"/>
                <w:szCs w:val="1"/>
                <w:color w:val="auto"/>
              </w:rPr>
            </w:pPr>
          </w:p>
        </w:tc>
      </w:tr>
      <w:tr>
        <w:trPr>
          <w:trHeight w:val="243"/>
        </w:trPr>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H.R. Nelligan</w:t>
            </w:r>
          </w:p>
        </w:tc>
        <w:tc>
          <w:tcPr>
            <w:tcW w:w="3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344,801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100,004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144,750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100,047</w:t>
            </w:r>
          </w:p>
        </w:tc>
        <w:tc>
          <w:tcPr>
            <w:tcW w:w="0" w:type="dxa"/>
            <w:vAlign w:val="bottom"/>
          </w:tcPr>
          <w:p>
            <w:pPr>
              <w:spacing w:after="0"/>
              <w:rPr>
                <w:sz w:val="1"/>
                <w:szCs w:val="1"/>
                <w:color w:val="auto"/>
              </w:rPr>
            </w:pPr>
          </w:p>
        </w:tc>
      </w:tr>
      <w:tr>
        <w:trPr>
          <w:trHeight w:val="27"/>
        </w:trPr>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R.R. Shaller</w:t>
            </w: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1,246,954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216,676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313,575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716,703</w:t>
            </w:r>
          </w:p>
        </w:tc>
        <w:tc>
          <w:tcPr>
            <w:tcW w:w="0" w:type="dxa"/>
            <w:vAlign w:val="bottom"/>
          </w:tcPr>
          <w:p>
            <w:pPr>
              <w:spacing w:after="0"/>
              <w:rPr>
                <w:sz w:val="1"/>
                <w:szCs w:val="1"/>
                <w:color w:val="auto"/>
              </w:rPr>
            </w:pPr>
          </w:p>
        </w:tc>
      </w:tr>
      <w:tr>
        <w:trPr>
          <w:trHeight w:val="243"/>
        </w:trPr>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L.T. Bolognini</w:t>
            </w:r>
          </w:p>
        </w:tc>
        <w:tc>
          <w:tcPr>
            <w:tcW w:w="3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373,539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108,344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156,825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108,370</w:t>
            </w:r>
          </w:p>
        </w:tc>
        <w:tc>
          <w:tcPr>
            <w:tcW w:w="0" w:type="dxa"/>
            <w:vAlign w:val="bottom"/>
          </w:tcPr>
          <w:p>
            <w:pPr>
              <w:spacing w:after="0"/>
              <w:rPr>
                <w:sz w:val="1"/>
                <w:szCs w:val="1"/>
                <w:color w:val="auto"/>
              </w:rPr>
            </w:pPr>
          </w:p>
        </w:tc>
      </w:tr>
      <w:tr>
        <w:trPr>
          <w:trHeight w:val="27"/>
        </w:trPr>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T.J. Felmer</w:t>
            </w:r>
          </w:p>
        </w:tc>
        <w:tc>
          <w:tcPr>
            <w:tcW w:w="30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495,899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9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121,289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9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217,125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157,485</w:t>
            </w:r>
          </w:p>
        </w:tc>
        <w:tc>
          <w:tcPr>
            <w:tcW w:w="0" w:type="dxa"/>
            <w:vAlign w:val="bottom"/>
          </w:tcPr>
          <w:p>
            <w:pPr>
              <w:spacing w:after="0"/>
              <w:rPr>
                <w:sz w:val="1"/>
                <w:szCs w:val="1"/>
                <w:color w:val="auto"/>
              </w:rPr>
            </w:pPr>
          </w:p>
        </w:tc>
      </w:tr>
      <w:tr>
        <w:trPr>
          <w:trHeight w:val="27"/>
        </w:trPr>
        <w:tc>
          <w:tcPr>
            <w:tcW w:w="1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Performance-based RSUs Earned for the Fiscal 2018 - 2020 Performance Period: </w:t>
      </w:r>
      <w:r>
        <w:rPr>
          <w:rFonts w:ascii="Times New Roman" w:cs="Times New Roman" w:eastAsia="Times New Roman" w:hAnsi="Times New Roman"/>
          <w:sz w:val="18"/>
          <w:szCs w:val="18"/>
          <w:color w:val="auto"/>
        </w:rPr>
        <w:t>The performance metrics for the PRSUs granted in fiscal 2018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described above. Target payout of 100% could be achieved through one of the following seven combinations of average annual organic sales growth and average annual operating income growth:</w:t>
      </w:r>
    </w:p>
    <w:p>
      <w:pPr>
        <w:spacing w:after="0" w:line="156" w:lineRule="exact"/>
        <w:rPr>
          <w:sz w:val="20"/>
          <w:szCs w:val="20"/>
          <w:color w:val="auto"/>
        </w:rPr>
      </w:pPr>
    </w:p>
    <w:tbl>
      <w:tblPr>
        <w:tblLayout w:type="fixed"/>
        <w:tblInd w:w="3740" w:type="dxa"/>
        <w:tblCellMar>
          <w:top w:w="0" w:type="dxa"/>
          <w:left w:w="0" w:type="dxa"/>
          <w:bottom w:w="0" w:type="dxa"/>
          <w:right w:w="0" w:type="dxa"/>
        </w:tblCellMar>
      </w:tblPr>
      <w:tr>
        <w:trPr>
          <w:trHeight w:val="161"/>
        </w:trPr>
        <w:tc>
          <w:tcPr>
            <w:tcW w:w="1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Average annual organic sales</w:t>
            </w: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annual operating</w:t>
            </w:r>
          </w:p>
        </w:tc>
      </w:tr>
      <w:tr>
        <w:trPr>
          <w:trHeight w:val="195"/>
        </w:trPr>
        <w:tc>
          <w:tcPr>
            <w:tcW w:w="1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growth</w:t>
            </w: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growth</w:t>
            </w:r>
          </w:p>
        </w:tc>
      </w:tr>
      <w:tr>
        <w:trPr>
          <w:trHeight w:val="248"/>
        </w:trPr>
        <w:tc>
          <w:tcPr>
            <w:tcW w:w="18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w:t>
            </w:r>
          </w:p>
        </w:tc>
      </w:tr>
      <w:tr>
        <w:trPr>
          <w:trHeight w:val="243"/>
        </w:trPr>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1"/>
                <w:szCs w:val="21"/>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w:t>
            </w:r>
          </w:p>
        </w:tc>
      </w:tr>
      <w:tr>
        <w:trPr>
          <w:trHeight w:val="27"/>
        </w:trPr>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6.0%</w:t>
            </w:r>
          </w:p>
        </w:tc>
      </w:tr>
      <w:tr>
        <w:trPr>
          <w:trHeight w:val="243"/>
        </w:trPr>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1"/>
                <w:szCs w:val="21"/>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7.0%</w:t>
            </w:r>
          </w:p>
        </w:tc>
      </w:tr>
      <w:tr>
        <w:trPr>
          <w:trHeight w:val="27"/>
        </w:trPr>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8.0%</w:t>
            </w:r>
          </w:p>
        </w:tc>
      </w:tr>
      <w:tr>
        <w:trPr>
          <w:trHeight w:val="243"/>
        </w:trPr>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21"/>
                <w:szCs w:val="21"/>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9.0%</w:t>
            </w:r>
          </w:p>
        </w:tc>
      </w:tr>
      <w:tr>
        <w:trPr>
          <w:trHeight w:val="27"/>
        </w:trPr>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43"/>
        </w:trPr>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shd w:val="clear" w:color="auto" w:fill="CCEEFF"/>
          </w:tcPr>
          <w:p>
            <w:pPr>
              <w:spacing w:after="0"/>
              <w:rPr>
                <w:sz w:val="21"/>
                <w:szCs w:val="21"/>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10.0%</w:t>
            </w:r>
          </w:p>
        </w:tc>
      </w:tr>
      <w:tr>
        <w:trPr>
          <w:trHeight w:val="27"/>
        </w:trPr>
        <w:tc>
          <w:tcPr>
            <w:tcW w:w="1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2" w:name="page73"/>
    <w:bookmarkEnd w:id="72"/>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table below outlines the performance metrics, performance levels and actual performance achievement for the fiscal 2018 - 2020 PRSU cycle:</w:t>
      </w:r>
    </w:p>
    <w:p>
      <w:pPr>
        <w:spacing w:after="0" w:line="219" w:lineRule="exact"/>
        <w:rPr>
          <w:sz w:val="20"/>
          <w:szCs w:val="20"/>
          <w:color w:val="auto"/>
        </w:rPr>
      </w:pPr>
    </w:p>
    <w:tbl>
      <w:tblPr>
        <w:tblLayout w:type="fixed"/>
        <w:tblInd w:w="80" w:type="dxa"/>
        <w:tblCellMar>
          <w:top w:w="0" w:type="dxa"/>
          <w:left w:w="0" w:type="dxa"/>
          <w:bottom w:w="0" w:type="dxa"/>
          <w:right w:w="0" w:type="dxa"/>
        </w:tblCellMar>
      </w:tblPr>
      <w:tr>
        <w:trPr>
          <w:trHeight w:val="195"/>
        </w:trPr>
        <w:tc>
          <w:tcPr>
            <w:tcW w:w="3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Performance Metric</w:t>
            </w:r>
          </w:p>
        </w:tc>
        <w:tc>
          <w:tcPr>
            <w:tcW w:w="12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Threshold (40%)</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Maximum (200%)</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Actual Performance</w:t>
            </w:r>
          </w:p>
        </w:tc>
        <w:tc>
          <w:tcPr>
            <w:tcW w:w="10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 Payout Achieved</w:t>
            </w:r>
          </w:p>
        </w:tc>
        <w:tc>
          <w:tcPr>
            <w:tcW w:w="200" w:type="dxa"/>
            <w:vAlign w:val="bottom"/>
            <w:tcBorders>
              <w:bottom w:val="single" w:sz="8" w:color="auto"/>
            </w:tcBorders>
          </w:tcPr>
          <w:p>
            <w:pPr>
              <w:spacing w:after="0"/>
              <w:rPr>
                <w:sz w:val="16"/>
                <w:szCs w:val="16"/>
                <w:color w:val="auto"/>
              </w:rPr>
            </w:pPr>
          </w:p>
        </w:tc>
      </w:tr>
      <w:tr>
        <w:trPr>
          <w:trHeight w:val="268"/>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annual organic sales growth</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r>
              <w:rPr>
                <w:rFonts w:ascii="Times New Roman" w:cs="Times New Roman" w:eastAsia="Times New Roman" w:hAnsi="Times New Roman"/>
                <w:sz w:val="21"/>
                <w:szCs w:val="21"/>
                <w:color w:val="auto"/>
                <w:vertAlign w:val="superscript"/>
              </w:rPr>
              <w:t>(1)</w:t>
            </w:r>
          </w:p>
        </w:tc>
        <w:tc>
          <w:tcPr>
            <w:tcW w:w="10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21"/>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Average annual operating income growth</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r>
              <w:rPr>
                <w:rFonts w:ascii="Times New Roman" w:cs="Times New Roman" w:eastAsia="Times New Roman" w:hAnsi="Times New Roman"/>
                <w:sz w:val="21"/>
                <w:szCs w:val="21"/>
                <w:color w:val="auto"/>
                <w:vertAlign w:val="superscript"/>
              </w:rPr>
              <w:t>(1)</w:t>
            </w:r>
          </w:p>
        </w:tc>
        <w:tc>
          <w:tcPr>
            <w:tcW w:w="10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68" w:lineRule="exact"/>
        <w:rPr>
          <w:sz w:val="20"/>
          <w:szCs w:val="20"/>
          <w:color w:val="auto"/>
        </w:rPr>
      </w:pPr>
    </w:p>
    <w:p>
      <w:pPr>
        <w:jc w:val="both"/>
        <w:ind w:left="660" w:hanging="328"/>
        <w:spacing w:after="0" w:line="258" w:lineRule="auto"/>
        <w:tabs>
          <w:tab w:leader="none" w:pos="65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annual organic sales growth and average annual operating income growth are adjusted for unusual or nonrecurring events affecting the Company or the consolidated financial statements of the Company. Accordingly, average annual organic sales growth and average annual operating income growth were adjusted by excluding the financial impact of the COVID-19 pandemic in fiscal 2020. Actual performance of the fiscal 2018 - 2020 performance-based RSU performance reflects the Company's financial results excluding the financial impact of the COVID-19 pandemic in fiscal 2020.</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Elements of Compensation</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Health and Welfare Benefits: </w:t>
      </w:r>
      <w:r>
        <w:rPr>
          <w:rFonts w:ascii="Times New Roman" w:cs="Times New Roman" w:eastAsia="Times New Roman" w:hAnsi="Times New Roman"/>
          <w:sz w:val="18"/>
          <w:szCs w:val="18"/>
          <w:color w:val="auto"/>
        </w:rPr>
        <w:t>We provide subsidized health and welfare benefits which include medical, dental, life and disability insurance and paid time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 Executive officers are entitled to participate in our health and welfare plans on generally the same terms and conditions as other employees, subject to limitations under applicable law. In addition, the Company maintains a supplemental disability policy for its U.S. executives. The supplemental disability policy provides for an additional 15% of compensation, up to a maximum additional benefit of $5,000 per month. Brady Corporation pays the premiums for these benefits; therefore, these benefits represent taxable benefits to the executive.</w:t>
      </w:r>
    </w:p>
    <w:p>
      <w:pPr>
        <w:spacing w:after="0" w:line="1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Retirement Benefits: </w:t>
      </w:r>
      <w:r>
        <w:rPr>
          <w:rFonts w:ascii="Times New Roman" w:cs="Times New Roman" w:eastAsia="Times New Roman" w:hAnsi="Times New Roman"/>
          <w:sz w:val="18"/>
          <w:szCs w:val="18"/>
          <w:color w:val="auto"/>
        </w:rPr>
        <w:t>Brady employees (including NEOs) in the United States and certain expatriate employees working for its international subsidiaries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eligible to participate in the Brady Corporation Matched 401(k) Plan (the “Matched 401(k) Plan”). NEOs in the United States and employees at certain United States locations are also eligible to participate in the Brady Corporation Funded Retirement Plan (“Funded Retirement Plan”). In addition, certain Brady international employees (including NEOs) are eligible to participate in Company sponsored statutory and supplementary defined benefit pension plans that are primarily unfunded and provide an income benefit upon termination or retirement. Mr. Deman is the only NEO who participates in a defined benefit pension plan.</w:t>
      </w:r>
    </w:p>
    <w:p>
      <w:pPr>
        <w:spacing w:after="0" w:line="13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Funded Retirement Plan is a defined contribution plan through which the Company contributes 4% of the annual wages of each eligible participant. In addition, participants may elect to defer up to 5% of their annual wages into the Matched 401(k) Plan, which is matched up to an additional 4% contribution from the Company. Participants may elect to contribute an additional 45% of their eligible earnings to their Matched 401(k) Plan account without an additional matching contribution from the Company, which is subject to specified maximum limits allowed by the Internal Revenue Service ("IRS"). The assets of the Matched 401(k) Plan and Funded Retirement Plan credited to each participant are invested by the trustee of the Plans as directed by each plan participant in a variety of investment funds as permitted by the Plans. Participants in the Matched 401(k) Plan become fully vested in employer contributions over a two-year period of continuous service. Employer contributions to the Funded Retirement Plan become fully vested over a six-year period of continuous service.</w:t>
      </w:r>
    </w:p>
    <w:p>
      <w:pPr>
        <w:spacing w:after="0" w:line="1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Benefits are generally payable upon the death, disability, or retirement of the participant, or upon termination of employment before retirement, although benefits may be withdrawn from the Matched 401(k) Plan and paid to the participant in certain circumstances. Under certain specified circumstances, the Matched 401(k) Plan allows a participant to withdraw loans on their account.</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Deferred Compensation Arrangements: </w:t>
      </w:r>
      <w:r>
        <w:rPr>
          <w:rFonts w:ascii="Times New Roman" w:cs="Times New Roman" w:eastAsia="Times New Roman" w:hAnsi="Times New Roman"/>
          <w:sz w:val="18"/>
          <w:szCs w:val="18"/>
          <w:color w:val="auto"/>
        </w:rPr>
        <w:t>The Company has two deferred compensation plans, the Executive Deferred Compensation Plan and the Director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Deferred Compensation Plan that allow for compensation to be deferred into either the Company’s Class A Nonvoting Common Stock or in other investment funds. Both the Director Deferred Compensation and the Executive Deferred Compensation Plans disallow transfers from other investment funds into the Company’s Class A Nonvoting Stock, and both disallow transfers from the Company’s Class A Nonvoting Stock into other investment funds. The assets in both deferred compensation plans are held in a Rabbi Trust and are invested by the trustee as directed by the participant. Executives and Directors may elect whether to receive their account balance following termination of employment in a single lump sum payment or by means of distribution under an annual installment method. Distributions of the Company’s Class A Nonvoting Common Stock are made in-kind; distributions of mutual funds are in cash.</w:t>
      </w:r>
    </w:p>
    <w:p>
      <w:pPr>
        <w:spacing w:after="0" w:line="13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Executives are eligible to participate in the Brady Restoration Plan, which is a non-qualified deferred compensation plan that allows an equivalent benefit to the Matched 401(k) Plan and the Funded Retirement Plan for executives' income exceeding the IRS limits of participation in a qualified 401(k) plan.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3" w:name="page74"/>
    <w:bookmarkEnd w:id="73"/>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Perquisites: </w:t>
      </w:r>
      <w:r>
        <w:rPr>
          <w:rFonts w:ascii="Times New Roman" w:cs="Times New Roman" w:eastAsia="Times New Roman" w:hAnsi="Times New Roman"/>
          <w:sz w:val="18"/>
          <w:szCs w:val="18"/>
          <w:color w:val="auto"/>
        </w:rPr>
        <w:t>Brady generally provides executives with the following perquisites:</w:t>
      </w:r>
    </w:p>
    <w:p>
      <w:pPr>
        <w:spacing w:after="0" w:line="175"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planning and tax preparation;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car or car allowance;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Physical examination;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care insurance;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liability insurance.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Ownership Requirements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order to encourage our executive officers and directors to acquire and retain ownership of a significant number of shares of the Company's stock, stock ownership requirements have been established.</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Board of Directors has established the following stock ownership requirements for our NEOs: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J.M. Nauman</w:t>
            </w:r>
          </w:p>
        </w:tc>
        <w:tc>
          <w:tcPr>
            <w:tcW w:w="5760" w:type="dxa"/>
            <w:vAlign w:val="bottom"/>
            <w:shd w:val="clear" w:color="auto" w:fill="CCEEFF"/>
          </w:tcPr>
          <w:p>
            <w:pPr>
              <w:ind w:left="4380"/>
              <w:spacing w:after="0"/>
              <w:rPr>
                <w:sz w:val="20"/>
                <w:szCs w:val="20"/>
                <w:color w:val="auto"/>
              </w:rPr>
            </w:pPr>
            <w:r>
              <w:rPr>
                <w:rFonts w:ascii="Times New Roman" w:cs="Times New Roman" w:eastAsia="Times New Roman" w:hAnsi="Times New Roman"/>
                <w:sz w:val="18"/>
                <w:szCs w:val="18"/>
                <w:color w:val="auto"/>
                <w:w w:val="99"/>
              </w:rPr>
              <w:t>5 times base salary</w:t>
            </w:r>
          </w:p>
        </w:tc>
      </w:tr>
      <w:tr>
        <w:trPr>
          <w:trHeight w:val="243"/>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A.J. Pearce</w:t>
            </w:r>
          </w:p>
        </w:tc>
        <w:tc>
          <w:tcPr>
            <w:tcW w:w="5760" w:type="dxa"/>
            <w:vAlign w:val="bottom"/>
          </w:tcPr>
          <w:p>
            <w:pPr>
              <w:ind w:left="4380"/>
              <w:spacing w:after="0"/>
              <w:rPr>
                <w:sz w:val="20"/>
                <w:szCs w:val="20"/>
                <w:color w:val="auto"/>
              </w:rPr>
            </w:pPr>
            <w:r>
              <w:rPr>
                <w:rFonts w:ascii="Times New Roman" w:cs="Times New Roman" w:eastAsia="Times New Roman" w:hAnsi="Times New Roman"/>
                <w:sz w:val="18"/>
                <w:szCs w:val="18"/>
                <w:color w:val="auto"/>
                <w:w w:val="99"/>
              </w:rPr>
              <w:t>3 times base salary</w:t>
            </w:r>
          </w:p>
        </w:tc>
      </w:tr>
      <w:tr>
        <w:trPr>
          <w:trHeight w:val="27"/>
        </w:trPr>
        <w:tc>
          <w:tcPr>
            <w:tcW w:w="5460" w:type="dxa"/>
            <w:vAlign w:val="bottom"/>
          </w:tcPr>
          <w:p>
            <w:pPr>
              <w:spacing w:after="0"/>
              <w:rPr>
                <w:sz w:val="2"/>
                <w:szCs w:val="2"/>
                <w:color w:val="auto"/>
              </w:rPr>
            </w:pPr>
          </w:p>
        </w:tc>
        <w:tc>
          <w:tcPr>
            <w:tcW w:w="576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 Deman</w:t>
            </w:r>
          </w:p>
        </w:tc>
        <w:tc>
          <w:tcPr>
            <w:tcW w:w="5760" w:type="dxa"/>
            <w:vAlign w:val="bottom"/>
            <w:tcBorders>
              <w:bottom w:val="single" w:sz="8" w:color="CCEEFF"/>
            </w:tcBorders>
            <w:shd w:val="clear" w:color="auto" w:fill="CCEEFF"/>
          </w:tcPr>
          <w:p>
            <w:pPr>
              <w:ind w:left="4380"/>
              <w:spacing w:after="0"/>
              <w:rPr>
                <w:sz w:val="20"/>
                <w:szCs w:val="20"/>
                <w:color w:val="auto"/>
              </w:rPr>
            </w:pPr>
            <w:r>
              <w:rPr>
                <w:rFonts w:ascii="Times New Roman" w:cs="Times New Roman" w:eastAsia="Times New Roman" w:hAnsi="Times New Roman"/>
                <w:sz w:val="18"/>
                <w:szCs w:val="18"/>
                <w:color w:val="auto"/>
                <w:w w:val="99"/>
              </w:rPr>
              <w:t>2 times base salary</w:t>
            </w:r>
          </w:p>
        </w:tc>
      </w:tr>
      <w:tr>
        <w:trPr>
          <w:trHeight w:val="243"/>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H.R. Nelligan</w:t>
            </w:r>
          </w:p>
        </w:tc>
        <w:tc>
          <w:tcPr>
            <w:tcW w:w="5760" w:type="dxa"/>
            <w:vAlign w:val="bottom"/>
          </w:tcPr>
          <w:p>
            <w:pPr>
              <w:ind w:left="4380"/>
              <w:spacing w:after="0"/>
              <w:rPr>
                <w:sz w:val="20"/>
                <w:szCs w:val="20"/>
                <w:color w:val="auto"/>
              </w:rPr>
            </w:pPr>
            <w:r>
              <w:rPr>
                <w:rFonts w:ascii="Times New Roman" w:cs="Times New Roman" w:eastAsia="Times New Roman" w:hAnsi="Times New Roman"/>
                <w:sz w:val="18"/>
                <w:szCs w:val="18"/>
                <w:color w:val="auto"/>
                <w:w w:val="99"/>
              </w:rPr>
              <w:t>2 times base salary</w:t>
            </w:r>
          </w:p>
        </w:tc>
      </w:tr>
      <w:tr>
        <w:trPr>
          <w:trHeight w:val="27"/>
        </w:trPr>
        <w:tc>
          <w:tcPr>
            <w:tcW w:w="5460" w:type="dxa"/>
            <w:vAlign w:val="bottom"/>
          </w:tcPr>
          <w:p>
            <w:pPr>
              <w:spacing w:after="0"/>
              <w:rPr>
                <w:sz w:val="2"/>
                <w:szCs w:val="2"/>
                <w:color w:val="auto"/>
              </w:rPr>
            </w:pPr>
          </w:p>
        </w:tc>
        <w:tc>
          <w:tcPr>
            <w:tcW w:w="576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R.R. Shaller</w:t>
            </w:r>
          </w:p>
        </w:tc>
        <w:tc>
          <w:tcPr>
            <w:tcW w:w="5760" w:type="dxa"/>
            <w:vAlign w:val="bottom"/>
            <w:tcBorders>
              <w:bottom w:val="single" w:sz="8" w:color="CCEEFF"/>
            </w:tcBorders>
            <w:shd w:val="clear" w:color="auto" w:fill="CCEEFF"/>
          </w:tcPr>
          <w:p>
            <w:pPr>
              <w:ind w:left="4380"/>
              <w:spacing w:after="0"/>
              <w:rPr>
                <w:sz w:val="20"/>
                <w:szCs w:val="20"/>
                <w:color w:val="auto"/>
              </w:rPr>
            </w:pPr>
            <w:r>
              <w:rPr>
                <w:rFonts w:ascii="Times New Roman" w:cs="Times New Roman" w:eastAsia="Times New Roman" w:hAnsi="Times New Roman"/>
                <w:sz w:val="18"/>
                <w:szCs w:val="18"/>
                <w:color w:val="auto"/>
                <w:w w:val="99"/>
              </w:rPr>
              <w:t>3 times base salary</w:t>
            </w:r>
          </w:p>
        </w:tc>
      </w:tr>
      <w:tr>
        <w:trPr>
          <w:trHeight w:val="243"/>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L.T. Bolognini</w:t>
            </w:r>
          </w:p>
        </w:tc>
        <w:tc>
          <w:tcPr>
            <w:tcW w:w="5760" w:type="dxa"/>
            <w:vAlign w:val="bottom"/>
          </w:tcPr>
          <w:p>
            <w:pPr>
              <w:ind w:left="4380"/>
              <w:spacing w:after="0"/>
              <w:rPr>
                <w:sz w:val="20"/>
                <w:szCs w:val="20"/>
                <w:color w:val="auto"/>
              </w:rPr>
            </w:pPr>
            <w:r>
              <w:rPr>
                <w:rFonts w:ascii="Times New Roman" w:cs="Times New Roman" w:eastAsia="Times New Roman" w:hAnsi="Times New Roman"/>
                <w:sz w:val="18"/>
                <w:szCs w:val="18"/>
                <w:color w:val="auto"/>
                <w:w w:val="99"/>
              </w:rPr>
              <w:t>2 times base salary</w:t>
            </w:r>
          </w:p>
        </w:tc>
      </w:tr>
      <w:tr>
        <w:trPr>
          <w:trHeight w:val="27"/>
        </w:trPr>
        <w:tc>
          <w:tcPr>
            <w:tcW w:w="5460" w:type="dxa"/>
            <w:vAlign w:val="bottom"/>
          </w:tcPr>
          <w:p>
            <w:pPr>
              <w:spacing w:after="0"/>
              <w:rPr>
                <w:sz w:val="2"/>
                <w:szCs w:val="2"/>
                <w:color w:val="auto"/>
              </w:rPr>
            </w:pPr>
          </w:p>
        </w:tc>
        <w:tc>
          <w:tcPr>
            <w:tcW w:w="5760" w:type="dxa"/>
            <w:vAlign w:val="bottom"/>
          </w:tcPr>
          <w:p>
            <w:pPr>
              <w:spacing w:after="0"/>
              <w:rPr>
                <w:sz w:val="2"/>
                <w:szCs w:val="2"/>
                <w:color w:val="auto"/>
              </w:rPr>
            </w:pPr>
          </w:p>
        </w:tc>
      </w:tr>
      <w:tr>
        <w:trPr>
          <w:trHeight w:val="24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T.J. Felmer</w:t>
            </w:r>
          </w:p>
        </w:tc>
        <w:tc>
          <w:tcPr>
            <w:tcW w:w="5760" w:type="dxa"/>
            <w:vAlign w:val="bottom"/>
            <w:shd w:val="clear" w:color="auto" w:fill="CCEEFF"/>
          </w:tcPr>
          <w:p>
            <w:pPr>
              <w:ind w:left="4380"/>
              <w:spacing w:after="0"/>
              <w:rPr>
                <w:sz w:val="20"/>
                <w:szCs w:val="20"/>
                <w:color w:val="auto"/>
              </w:rPr>
            </w:pPr>
            <w:r>
              <w:rPr>
                <w:rFonts w:ascii="Times New Roman" w:cs="Times New Roman" w:eastAsia="Times New Roman" w:hAnsi="Times New Roman"/>
                <w:sz w:val="18"/>
                <w:szCs w:val="18"/>
                <w:color w:val="auto"/>
                <w:w w:val="99"/>
              </w:rPr>
              <w:t>3 times base salary</w:t>
            </w:r>
          </w:p>
        </w:tc>
      </w:tr>
      <w:tr>
        <w:trPr>
          <w:trHeight w:val="27"/>
        </w:trPr>
        <w:tc>
          <w:tcPr>
            <w:tcW w:w="5460" w:type="dxa"/>
            <w:vAlign w:val="bottom"/>
            <w:shd w:val="clear" w:color="auto" w:fill="CCEEFF"/>
          </w:tcPr>
          <w:p>
            <w:pPr>
              <w:spacing w:after="0"/>
              <w:rPr>
                <w:sz w:val="2"/>
                <w:szCs w:val="2"/>
                <w:color w:val="auto"/>
              </w:rPr>
            </w:pPr>
          </w:p>
        </w:tc>
        <w:tc>
          <w:tcPr>
            <w:tcW w:w="5760" w:type="dxa"/>
            <w:vAlign w:val="bottom"/>
            <w:shd w:val="clear" w:color="auto" w:fill="CCEEFF"/>
          </w:tcPr>
          <w:p>
            <w:pPr>
              <w:spacing w:after="0"/>
              <w:rPr>
                <w:sz w:val="2"/>
                <w:szCs w:val="2"/>
                <w:color w:val="auto"/>
              </w:rPr>
            </w:pPr>
          </w:p>
        </w:tc>
      </w:tr>
    </w:tbl>
    <w:p>
      <w:pPr>
        <w:spacing w:after="0" w:line="3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NEOs are expected to meet their ownership requirement within five years of becoming an executive officer and may not sell shares, other than to cover tax withholding requirements associated with the vesting or exercise of an equity award, until such time as they meet the requirements. All NEOs were in compliance with their respective ownership requirements as of July 31, 2020. If an executive does not meet his or her ownership requirement within five years, the Committee may direct that the executive's after-tax payout on any incentive plans will be in Class A Nonvoting Common Stock in order to satisfy the executive’s ownership requirement.</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Actual stock ownership of each NEO is reviewed on an annual basis to ensure the guidelines are met. The following equity balances are included for purposes of determining whether an executive meets his or her ownership requirements: the fair market values of Company stock owned, Company stock held in the Executive Deferred Compensation Plan, Company stock held in the Matched 401(k) Plan, time-based RSUs, and the value of vested and “in the money” stock options. The fair market value of performance-based RSUs are excluded from the determination of executive ownership levels.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Insider Trading Policy prohibits hedging and other monetization transactions in Company securities by officers, directors and employees. The prohibition of hedging transactions includes financial instruments such as prepaid variable forwards, equity swaps, collars and exchange funds. The Insider Trading Policy also prohibits the pledging of Company stock as collateral for loans or holding Company securities in a margin account by officers, directors or employees.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and Change of Control Agreements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fiscal 2020, the Company did not enter into any new employment agreements with our executives. On January 7, 2020, the Company entered into an amendment to the employment agreement dated September 4, 2014 with Mr. Deman, which was effective as of January 3, 2020. Mr. Deman's employment agreement, including the amendment thereto, does not contain any provisions related to specified payments upon termination of employment. The employment agreement does contain 12-month non-competition and non-solicitation provisions, standard confidentiality, waiver and non-disparagement provisions.</w:t>
      </w:r>
    </w:p>
    <w:p>
      <w:pPr>
        <w:spacing w:after="0" w:line="1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offer letter entered into with Mr. Nauman on August 1, 2014, provides that he is deemed an at-will employee, but will receive a severance benefit equal to two times the sum of his base salary and target annual cash incentive in the event his employment is terminated without cause or he resigns for good reason as described therein. The offer letter also contains 24-month non-competition and non-solicitation provisions, as well as standard confidentiality, waiver and non-disparagement provisions. The offer letter entered into with Mr. Shaller on June 22, 2015, provides that he is deemed an at-will employee, but will receive a severance benefit equal to his base salary plus target annual cash incentive in the event his employment is terminated without cause or he resigns for good reason as described therein.</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74" w:name="page75"/>
    <w:bookmarkEnd w:id="74"/>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Board of Directors of Brady Corporation approved change of control agreements for all of the NEOs of the Company. The agreements applicable to the NEOs, other than Mr. Nauman, provide a payment of an amount equal to two times their annual base salary and two times the average annual cash incentive payment received in the three years immediately prior to the date the change of control occurs in the event of termination or resignation for good cause (as defined in the change of control agreement) upon a change of control. Under the terms of the change of control agreement with Mr. Nauman, in the event of a qualifying termination within 24 months following a change of control (as such events are defined in the change of control agreement), Mr. Nauman will receive two times his annual base salary, two times his target annual cash incentive, and the amount of his target annual cash incentive prorated based on when the termination occurs. All of the NEO's agreements provide for up to $25,000 of attorney fees to enforce the executive's rights under the agreement. Payments under the agreement will be spread over two years.</w:t>
      </w:r>
    </w:p>
    <w:p>
      <w:pPr>
        <w:spacing w:after="0" w:line="13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Under the terms of the 2012 and 2017 Omnibus Incentive Stock Plans, in the event of (a) the merger or consolidation of the Company with or into another corporation or corporations in which the Company is not the surviving corporation, (b) the adoption of any plan for the dissolution of the Company, or (c) the sale or exchange of all or substantially all the assets of the Company for cash or for shares of stock or other securities of another corporation, all then-unexercised stock options become fully exercisable and all restrictions placed on restricted stock, and performance-based and time-based restricted stock units will lapse. If any stock option is canceled subsequent to the events described above, the Company or the corporation assuming the obligations of the Company, shall pay an amount of cash or stock equal to the in-the-money value of the canceled stock options. The awards granted under the 2017 Omnibus Incentive Plan provide for either accelerated or continuation of vesting of stock options and RSUs upon termination due to retirement, for which the eligibility criteria is 60 years of age and 5 years of service.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Non-Compete/Non-Solicitation/Confidentiality</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Equity awards under the Company's 2012 Omnibus Incentive Stock and 2017 Omnibus Incentive Plans contain non-competition, non-solicitation and confidential information covenants applicable to the award recipients. The confidential information covenant prohibits the use, disclosure, copying or duplication of the Company's confidential information other than in the course of authorized activities conducted in the course of the recipient's employment with the Company. The other covenants prohibit the NEOs for 12 months after termination of employment with the Company, from (i) performing duties for or as a competitor of the Company which are the same or similar to those performed by the recipient in the 24 months prior to termination of employment with the Company, (ii) soliciting customers for the sale of competitive products, (iii) soliciting employees to join a competitor or otherwise terminate their relationship with the Company, or (iv) interfering in the Company's relationships with its vendors and suppliers.</w:t>
      </w:r>
    </w:p>
    <w:p>
      <w:pPr>
        <w:spacing w:after="0" w:line="13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amendment to the employment agreement entered into with Mr. Deman on January 7, 2020, contains a 12-month non-compete clause. Under the clause, Mr. Deman agrees not to directly or indirectly carry out any activity that would compete with that of the Company and, in particular, any activity related to manufacturing or marketing of solutions that identify and protect people, products and places for a period of 12 months following termination of his employment agreement. In the event that the non-compete clause is enforced, Mr. Deman would receive monthly compensation during the non-compete period equal to 30% of the monthly gross average base salary paid to him during the last 12 months prior to the termination of his employment agreement. The Company reserves the right to waive the non-compete clause under the agreement, at which point no non-compete compensation would be owed to Mr. Deman.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Considerations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Section 162(m) of the Internal Revenue Code generally disallows a federal income tax deduction to publicly traded companies for compensation in excess of $1 million per year paid to certain executive officers and, beginning in 2018, certain former executive officers. Historically, the $1 million deduction limit generally has not applied to compensation that satisfies IRS requirements for qualified performance-based compensation. Effective for tax years beginning after July 31, 2018, the exemption for qualified performance-based compensation from the deduction limitation of Code Section 162(m) has been repealed, unless transition relief for certain compensation arrangements in place as of November 2, 2017 is available.</w:t>
      </w:r>
    </w:p>
    <w:p>
      <w:pPr>
        <w:spacing w:after="0" w:line="1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Committee's intent is to preserve the deductibility of executive compensation to the extent reasonably practicable and to the extent consistent with its other compensation objectives. However, the Committee believes Section 162(m) is only one of several relevant considerations in establishing executive compensation and believes Section 162(m) implications should not compromise its ability to design and maintain executive compensation arrangements intended to, among other things, attract, motivate and help retain a highly qualified and successful management team to lead the Company. As a result, the Committee retains the flexibility to provide compensation it determines to be in the best interests of the Company and its shareholders even if that compensation ultimately is not deductible for tax purposes. Moreover, even if we have in the past intended to grant qualifying performance-based compensation for purposes of Section 162(m), we cannot guarantee that such compensation will so qualify or ultimately will be deductible by us.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5" w:name="page76"/>
    <w:bookmarkEnd w:id="75"/>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Considerations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When reviewing preliminary recommendations and in connection with approving the terms of a given incentive plan, management and the Committee review and consider the accounting implications of a compensation arrangement, including the estimated expense and other accounting and disclosure requirements. With consideration of the accounting treatment associated with an incentive plan design, management and the Committee may alter or modify the incentive award if the award and the related accounting consequences were to adversely affect our financial performance.</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Development and Compensation Committee Interlocks and Insider Participation</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fiscal 2020, the Board's Management Development and Compensation Committee was composed of Messrs. Balkema, Bem, Harris, and Mses. Gioia and Williams. None of these persons has at any time been an employee of the Company or any of its subsidiaries. There are no relationships among the Company's executive officers, members of the Committee or entities whose executives serve on the Board that require disclosure under applicable SEC regulations.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Development and Compensation Committee Report</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Committee has reviewed and discussed the Compensation Discussion and Analysis with management; based on the review and discussions, the Committee recommended to the Board of Directors that the Compensation Discussion and Analysis be included in the Company's annual report on Form 10-K.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Gary Balkema, Chairman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Bem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Nancy Gioia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Frank Harris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Michelle Williams</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Policies and Practices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believes that its compensation policies, practices, and procedures for executive officers and all other employees are designed to avoid incentives that create unnecessary or excessive risks that are reasonably likely to have a material adverse effect on the Company. The Company's compensation programs are weighted towards offering long-term incentives that reward sustainable performance; do not offer significant short-term incentives that might drive high-risk investments at the expense of long-term Company value; and are set at reasonable and sustainable levels, as determined by a review of the Company's economic position, as well as the compensation offered by comparable companies. Under the oversight of its Audit and Management Development and Compensation Committees, the Company reviewed its executive compensation policies, practices and procedures for all employees to evaluate and ensure that they did not foster risk-taking beyond that deemed acceptable within the Company's business model.</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6" w:name="page77"/>
    <w:bookmarkEnd w:id="76"/>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Compensation Table</w:t>
      </w:r>
    </w:p>
    <w:p>
      <w:pPr>
        <w:spacing w:after="0" w:line="17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sets forth compensation awarded to, earned by, or paid to the NEOs, who served as executive officers during the fiscal year ended July 31, 2020, for services rendered as an executive officer to the Company and its subsidiaries during the fiscal years ended July 31, 2020, July 31, 2019 and July 31, 2018.</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Time-based and</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Non-Equity</w:t>
            </w: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Performance-</w:t>
            </w:r>
          </w:p>
        </w:tc>
        <w:tc>
          <w:tcPr>
            <w:tcW w:w="180" w:type="dxa"/>
            <w:vAlign w:val="bottom"/>
          </w:tcPr>
          <w:p>
            <w:pPr>
              <w:spacing w:after="0"/>
              <w:rPr>
                <w:sz w:val="17"/>
                <w:szCs w:val="17"/>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160" w:type="dxa"/>
            <w:vAlign w:val="bottom"/>
          </w:tcPr>
          <w:p>
            <w:pPr>
              <w:spacing w:after="0"/>
              <w:rPr>
                <w:sz w:val="17"/>
                <w:szCs w:val="17"/>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Incentive Plan</w:t>
            </w:r>
          </w:p>
        </w:tc>
        <w:tc>
          <w:tcPr>
            <w:tcW w:w="160" w:type="dxa"/>
            <w:vAlign w:val="bottom"/>
          </w:tcPr>
          <w:p>
            <w:pPr>
              <w:spacing w:after="0"/>
              <w:rPr>
                <w:sz w:val="17"/>
                <w:szCs w:val="17"/>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Fiscal</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Salary</w:t>
            </w:r>
          </w:p>
        </w:tc>
        <w:tc>
          <w:tcPr>
            <w:tcW w:w="12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based RSUs</w:t>
            </w:r>
          </w:p>
        </w:tc>
        <w:tc>
          <w:tcPr>
            <w:tcW w:w="180" w:type="dxa"/>
            <w:vAlign w:val="bottom"/>
          </w:tcPr>
          <w:p>
            <w:pPr>
              <w:spacing w:after="0"/>
              <w:rPr>
                <w:sz w:val="17"/>
                <w:szCs w:val="17"/>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7"/>
              </w:rPr>
              <w:t>Awards</w:t>
            </w:r>
          </w:p>
        </w:tc>
        <w:tc>
          <w:tcPr>
            <w:tcW w:w="160" w:type="dxa"/>
            <w:vAlign w:val="bottom"/>
          </w:tcPr>
          <w:p>
            <w:pPr>
              <w:spacing w:after="0"/>
              <w:rPr>
                <w:sz w:val="17"/>
                <w:szCs w:val="17"/>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6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260" w:type="dxa"/>
            <w:vAlign w:val="bottom"/>
          </w:tcPr>
          <w:p>
            <w:pPr>
              <w:spacing w:after="0"/>
              <w:rPr>
                <w:sz w:val="17"/>
                <w:szCs w:val="17"/>
                <w:color w:val="auto"/>
              </w:rPr>
            </w:pPr>
          </w:p>
        </w:tc>
        <w:tc>
          <w:tcPr>
            <w:tcW w:w="96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2"/>
        </w:trPr>
        <w:tc>
          <w:tcPr>
            <w:tcW w:w="2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Name and Principal Position</w:t>
            </w:r>
          </w:p>
        </w:tc>
        <w:tc>
          <w:tcPr>
            <w:tcW w:w="12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Year</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33"/>
        </w:trPr>
        <w:tc>
          <w:tcPr>
            <w:tcW w:w="2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2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J.M. Nauman, President, CEO &amp;</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2020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852,810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2,447,083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212,049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4,511,943</w:t>
            </w:r>
          </w:p>
        </w:tc>
        <w:tc>
          <w:tcPr>
            <w:tcW w:w="0" w:type="dxa"/>
            <w:vAlign w:val="bottom"/>
          </w:tcPr>
          <w:p>
            <w:pPr>
              <w:spacing w:after="0"/>
              <w:rPr>
                <w:sz w:val="1"/>
                <w:szCs w:val="1"/>
                <w:color w:val="auto"/>
              </w:rPr>
            </w:pPr>
          </w:p>
        </w:tc>
      </w:tr>
      <w:tr>
        <w:trPr>
          <w:trHeight w:val="141"/>
        </w:trPr>
        <w:tc>
          <w:tcPr>
            <w:tcW w:w="22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2019</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794,077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2,039,917</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869,998</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1,290,375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246,562</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5,240,929</w:t>
            </w:r>
          </w:p>
        </w:tc>
        <w:tc>
          <w:tcPr>
            <w:tcW w:w="0" w:type="dxa"/>
            <w:vAlign w:val="bottom"/>
          </w:tcPr>
          <w:p>
            <w:pPr>
              <w:spacing w:after="0"/>
              <w:rPr>
                <w:sz w:val="1"/>
                <w:szCs w:val="1"/>
                <w:color w:val="auto"/>
              </w:rPr>
            </w:pPr>
          </w:p>
        </w:tc>
      </w:tr>
      <w:tr>
        <w:trPr>
          <w:trHeight w:val="116"/>
        </w:trPr>
        <w:tc>
          <w:tcPr>
            <w:tcW w:w="22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120" w:type="dxa"/>
            <w:vAlign w:val="bottom"/>
            <w:shd w:val="clear" w:color="auto" w:fill="CCEEFF"/>
          </w:tcPr>
          <w:p>
            <w:pPr>
              <w:spacing w:after="0"/>
              <w:rPr>
                <w:sz w:val="10"/>
                <w:szCs w:val="10"/>
                <w:color w:val="auto"/>
              </w:rPr>
            </w:pPr>
          </w:p>
        </w:tc>
        <w:tc>
          <w:tcPr>
            <w:tcW w:w="70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4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2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2018</w:t>
            </w: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759,616</w:t>
            </w: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1,666,728</w:t>
            </w: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833,340</w:t>
            </w: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1,712,933</w:t>
            </w: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202,808</w:t>
            </w:r>
          </w:p>
        </w:tc>
        <w:tc>
          <w:tcPr>
            <w:tcW w:w="1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5,175,425</w:t>
            </w:r>
          </w:p>
        </w:tc>
        <w:tc>
          <w:tcPr>
            <w:tcW w:w="0" w:type="dxa"/>
            <w:vAlign w:val="bottom"/>
          </w:tcPr>
          <w:p>
            <w:pPr>
              <w:spacing w:after="0"/>
              <w:rPr>
                <w:sz w:val="1"/>
                <w:szCs w:val="1"/>
                <w:color w:val="auto"/>
              </w:rPr>
            </w:pPr>
          </w:p>
        </w:tc>
      </w:tr>
      <w:tr>
        <w:trPr>
          <w:trHeight w:val="195"/>
        </w:trPr>
        <w:tc>
          <w:tcPr>
            <w:tcW w:w="22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260" w:type="dxa"/>
            <w:vAlign w:val="bottom"/>
          </w:tcPr>
          <w:p>
            <w:pPr>
              <w:spacing w:after="0"/>
              <w:rPr>
                <w:sz w:val="18"/>
                <w:szCs w:val="18"/>
                <w:color w:val="auto"/>
              </w:rPr>
            </w:pPr>
          </w:p>
        </w:tc>
        <w:tc>
          <w:tcPr>
            <w:tcW w:w="8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2020</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423,871</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717,883</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293,342</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85,399</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1,520,495</w:t>
            </w:r>
          </w:p>
        </w:tc>
        <w:tc>
          <w:tcPr>
            <w:tcW w:w="0" w:type="dxa"/>
            <w:vAlign w:val="bottom"/>
          </w:tcPr>
          <w:p>
            <w:pPr>
              <w:spacing w:after="0"/>
              <w:rPr>
                <w:sz w:val="1"/>
                <w:szCs w:val="1"/>
                <w:color w:val="auto"/>
              </w:rPr>
            </w:pPr>
          </w:p>
        </w:tc>
      </w:tr>
      <w:tr>
        <w:trPr>
          <w:trHeight w:val="257"/>
        </w:trPr>
        <w:tc>
          <w:tcPr>
            <w:tcW w:w="2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A.J. Pearce, CFO &amp; Treasurer</w:t>
            </w:r>
          </w:p>
        </w:tc>
        <w:tc>
          <w:tcPr>
            <w:tcW w:w="8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2019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387,810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687,810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293,336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327,699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96,023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1,792,678</w:t>
            </w:r>
          </w:p>
        </w:tc>
        <w:tc>
          <w:tcPr>
            <w:tcW w:w="0" w:type="dxa"/>
            <w:vAlign w:val="bottom"/>
          </w:tcPr>
          <w:p>
            <w:pPr>
              <w:spacing w:after="0"/>
              <w:rPr>
                <w:sz w:val="1"/>
                <w:szCs w:val="1"/>
                <w:color w:val="auto"/>
              </w:rPr>
            </w:pPr>
          </w:p>
        </w:tc>
      </w:tr>
      <w:tr>
        <w:trPr>
          <w:trHeight w:val="257"/>
        </w:trPr>
        <w:tc>
          <w:tcPr>
            <w:tcW w:w="2260" w:type="dxa"/>
            <w:vAlign w:val="bottom"/>
          </w:tcPr>
          <w:p>
            <w:pPr>
              <w:spacing w:after="0"/>
              <w:rPr>
                <w:sz w:val="22"/>
                <w:szCs w:val="22"/>
                <w:color w:val="auto"/>
              </w:rPr>
            </w:pPr>
          </w:p>
        </w:tc>
        <w:tc>
          <w:tcPr>
            <w:tcW w:w="8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2018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360,923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586,707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293,338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488,329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97,767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1,827,064</w:t>
            </w:r>
          </w:p>
        </w:tc>
        <w:tc>
          <w:tcPr>
            <w:tcW w:w="0" w:type="dxa"/>
            <w:vAlign w:val="bottom"/>
          </w:tcPr>
          <w:p>
            <w:pPr>
              <w:spacing w:after="0"/>
              <w:rPr>
                <w:sz w:val="1"/>
                <w:szCs w:val="1"/>
                <w:color w:val="auto"/>
              </w:rPr>
            </w:pPr>
          </w:p>
        </w:tc>
      </w:tr>
      <w:tr>
        <w:trPr>
          <w:trHeight w:val="33"/>
        </w:trPr>
        <w:tc>
          <w:tcPr>
            <w:tcW w:w="2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 Deman, Vice President and</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Manager, Workplace</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Safety (1)</w:t>
            </w:r>
          </w:p>
        </w:tc>
        <w:tc>
          <w:tcPr>
            <w:tcW w:w="820" w:type="dxa"/>
            <w:vAlign w:val="bottom"/>
            <w:tcBorders>
              <w:bottom w:val="single" w:sz="8" w:color="CCEEFF"/>
            </w:tcBorders>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271,153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176,366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654,116</w:t>
            </w:r>
          </w:p>
        </w:tc>
        <w:tc>
          <w:tcPr>
            <w:tcW w:w="0" w:type="dxa"/>
            <w:vAlign w:val="bottom"/>
          </w:tcPr>
          <w:p>
            <w:pPr>
              <w:spacing w:after="0"/>
              <w:rPr>
                <w:sz w:val="1"/>
                <w:szCs w:val="1"/>
                <w:color w:val="auto"/>
              </w:rPr>
            </w:pPr>
          </w:p>
        </w:tc>
      </w:tr>
      <w:tr>
        <w:trPr>
          <w:trHeight w:val="217"/>
        </w:trPr>
        <w:tc>
          <w:tcPr>
            <w:tcW w:w="22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H.R. Nelligan, Senior VP, Human</w:t>
            </w:r>
          </w:p>
        </w:tc>
        <w:tc>
          <w:tcPr>
            <w:tcW w:w="8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2020</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335,185</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244,797</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100,004</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71,132</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751,118</w:t>
            </w:r>
          </w:p>
        </w:tc>
        <w:tc>
          <w:tcPr>
            <w:tcW w:w="0" w:type="dxa"/>
            <w:vAlign w:val="bottom"/>
          </w:tcPr>
          <w:p>
            <w:pPr>
              <w:spacing w:after="0"/>
              <w:rPr>
                <w:sz w:val="1"/>
                <w:szCs w:val="1"/>
                <w:color w:val="auto"/>
              </w:rPr>
            </w:pPr>
          </w:p>
        </w:tc>
      </w:tr>
      <w:tr>
        <w:trPr>
          <w:trHeight w:val="141"/>
        </w:trPr>
        <w:tc>
          <w:tcPr>
            <w:tcW w:w="2260" w:type="dxa"/>
            <w:vAlign w:val="bottom"/>
            <w:vMerge w:val="continue"/>
          </w:tcPr>
          <w:p>
            <w:pPr>
              <w:spacing w:after="0"/>
              <w:rPr>
                <w:sz w:val="12"/>
                <w:szCs w:val="12"/>
                <w:color w:val="auto"/>
              </w:rPr>
            </w:pPr>
          </w:p>
        </w:tc>
        <w:tc>
          <w:tcPr>
            <w:tcW w:w="820" w:type="dxa"/>
            <w:vAlign w:val="bottom"/>
            <w:gridSpan w:val="2"/>
            <w:vMerge w:val="restart"/>
          </w:tcPr>
          <w:p>
            <w:pPr>
              <w:jc w:val="center"/>
              <w:ind w:left="39"/>
              <w:spacing w:after="0"/>
              <w:rPr>
                <w:sz w:val="20"/>
                <w:szCs w:val="20"/>
                <w:color w:val="auto"/>
              </w:rPr>
            </w:pPr>
            <w:r>
              <w:rPr>
                <w:rFonts w:ascii="Times New Roman" w:cs="Times New Roman" w:eastAsia="Times New Roman" w:hAnsi="Times New Roman"/>
                <w:sz w:val="16"/>
                <w:szCs w:val="16"/>
                <w:color w:val="auto"/>
              </w:rPr>
              <w:t>2019</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313,815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634,480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203,980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71,199</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1,323,474</w:t>
            </w:r>
          </w:p>
        </w:tc>
        <w:tc>
          <w:tcPr>
            <w:tcW w:w="0" w:type="dxa"/>
            <w:vAlign w:val="bottom"/>
          </w:tcPr>
          <w:p>
            <w:pPr>
              <w:spacing w:after="0"/>
              <w:rPr>
                <w:sz w:val="1"/>
                <w:szCs w:val="1"/>
                <w:color w:val="auto"/>
              </w:rPr>
            </w:pPr>
          </w:p>
        </w:tc>
      </w:tr>
      <w:tr>
        <w:trPr>
          <w:trHeight w:val="116"/>
        </w:trPr>
        <w:tc>
          <w:tcPr>
            <w:tcW w:w="22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Resources</w:t>
            </w:r>
          </w:p>
        </w:tc>
        <w:tc>
          <w:tcPr>
            <w:tcW w:w="8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260" w:type="dxa"/>
            <w:vAlign w:val="bottom"/>
            <w:vMerge w:val="continue"/>
          </w:tcPr>
          <w:p>
            <w:pPr>
              <w:spacing w:after="0"/>
              <w:rPr>
                <w:sz w:val="8"/>
                <w:szCs w:val="8"/>
                <w:color w:val="auto"/>
              </w:rPr>
            </w:pPr>
          </w:p>
        </w:tc>
        <w:tc>
          <w:tcPr>
            <w:tcW w:w="820" w:type="dxa"/>
            <w:vAlign w:val="bottom"/>
            <w:gridSpan w:val="2"/>
            <w:vMerge w:val="restart"/>
          </w:tcPr>
          <w:p>
            <w:pPr>
              <w:jc w:val="center"/>
              <w:ind w:left="39"/>
              <w:spacing w:after="0"/>
              <w:rPr>
                <w:sz w:val="20"/>
                <w:szCs w:val="20"/>
                <w:color w:val="auto"/>
              </w:rPr>
            </w:pPr>
            <w:r>
              <w:rPr>
                <w:rFonts w:ascii="Times New Roman" w:cs="Times New Roman" w:eastAsia="Times New Roman" w:hAnsi="Times New Roman"/>
                <w:sz w:val="16"/>
                <w:szCs w:val="16"/>
                <w:color w:val="auto"/>
              </w:rPr>
              <w:t>2018</w:t>
            </w: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306,729</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200,033</w:t>
            </w: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100,001</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138,335</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84,631</w:t>
            </w: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829,729</w:t>
            </w: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226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R.R. Shaller, Senior VP &amp;</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2020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407,380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1,030,278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216,676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88,036</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1,742,370</w:t>
            </w:r>
          </w:p>
        </w:tc>
        <w:tc>
          <w:tcPr>
            <w:tcW w:w="0" w:type="dxa"/>
            <w:vAlign w:val="bottom"/>
          </w:tcPr>
          <w:p>
            <w:pPr>
              <w:spacing w:after="0"/>
              <w:rPr>
                <w:sz w:val="1"/>
                <w:szCs w:val="1"/>
                <w:color w:val="auto"/>
              </w:rPr>
            </w:pPr>
          </w:p>
        </w:tc>
      </w:tr>
      <w:tr>
        <w:trPr>
          <w:trHeight w:val="202"/>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President - Identification</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2019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371,991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508,088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216,675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337,582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114,333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1,548,669</w:t>
            </w:r>
          </w:p>
        </w:tc>
        <w:tc>
          <w:tcPr>
            <w:tcW w:w="0" w:type="dxa"/>
            <w:vAlign w:val="bottom"/>
          </w:tcPr>
          <w:p>
            <w:pPr>
              <w:spacing w:after="0"/>
              <w:rPr>
                <w:sz w:val="1"/>
                <w:szCs w:val="1"/>
                <w:color w:val="auto"/>
              </w:rPr>
            </w:pPr>
          </w:p>
        </w:tc>
      </w:tr>
      <w:tr>
        <w:trPr>
          <w:trHeight w:val="210"/>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Solutions</w:t>
            </w:r>
          </w:p>
        </w:tc>
        <w:tc>
          <w:tcPr>
            <w:tcW w:w="120" w:type="dxa"/>
            <w:vAlign w:val="bottom"/>
            <w:shd w:val="clear" w:color="auto" w:fill="CCEEFF"/>
          </w:tcPr>
          <w:p>
            <w:pPr>
              <w:spacing w:after="0"/>
              <w:rPr>
                <w:sz w:val="18"/>
                <w:szCs w:val="18"/>
                <w:color w:val="auto"/>
              </w:rPr>
            </w:pPr>
          </w:p>
        </w:tc>
        <w:tc>
          <w:tcPr>
            <w:tcW w:w="7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2018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355,548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366,718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183,341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539,722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113,141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1,558,470</w:t>
            </w:r>
          </w:p>
        </w:tc>
        <w:tc>
          <w:tcPr>
            <w:tcW w:w="0" w:type="dxa"/>
            <w:vAlign w:val="bottom"/>
          </w:tcPr>
          <w:p>
            <w:pPr>
              <w:spacing w:after="0"/>
              <w:rPr>
                <w:sz w:val="1"/>
                <w:szCs w:val="1"/>
                <w:color w:val="auto"/>
              </w:rPr>
            </w:pPr>
          </w:p>
        </w:tc>
      </w:tr>
      <w:tr>
        <w:trPr>
          <w:trHeight w:val="100"/>
        </w:trPr>
        <w:tc>
          <w:tcPr>
            <w:tcW w:w="226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70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78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24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86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13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124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60" w:type="dxa"/>
            <w:vAlign w:val="bottom"/>
            <w:tcBorders>
              <w:bottom w:val="single" w:sz="8" w:color="CCEEFF"/>
            </w:tcBorders>
            <w:shd w:val="clear" w:color="auto" w:fill="CCEEFF"/>
          </w:tcPr>
          <w:p>
            <w:pPr>
              <w:spacing w:after="0"/>
              <w:rPr>
                <w:sz w:val="8"/>
                <w:szCs w:val="8"/>
                <w:color w:val="auto"/>
              </w:rPr>
            </w:pPr>
          </w:p>
        </w:tc>
        <w:tc>
          <w:tcPr>
            <w:tcW w:w="96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L.T. Bolognini, Former Senior</w:t>
            </w:r>
          </w:p>
        </w:tc>
        <w:tc>
          <w:tcPr>
            <w:tcW w:w="8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2020</w:t>
            </w:r>
          </w:p>
        </w:tc>
        <w:tc>
          <w:tcPr>
            <w:tcW w:w="12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266,547</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265,195</w:t>
            </w:r>
          </w:p>
        </w:tc>
        <w:tc>
          <w:tcPr>
            <w:tcW w:w="12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108,344</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85,770</w:t>
            </w:r>
          </w:p>
        </w:tc>
        <w:tc>
          <w:tcPr>
            <w:tcW w:w="120" w:type="dxa"/>
            <w:vAlign w:val="bottom"/>
          </w:tcPr>
          <w:p>
            <w:pPr>
              <w:spacing w:after="0"/>
              <w:rPr>
                <w:sz w:val="21"/>
                <w:szCs w:val="21"/>
                <w:color w:val="auto"/>
              </w:rPr>
            </w:pP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725,856</w:t>
            </w:r>
          </w:p>
        </w:tc>
        <w:tc>
          <w:tcPr>
            <w:tcW w:w="0" w:type="dxa"/>
            <w:vAlign w:val="bottom"/>
          </w:tcPr>
          <w:p>
            <w:pPr>
              <w:spacing w:after="0"/>
              <w:rPr>
                <w:sz w:val="1"/>
                <w:szCs w:val="1"/>
                <w:color w:val="auto"/>
              </w:rPr>
            </w:pPr>
          </w:p>
        </w:tc>
      </w:tr>
      <w:tr>
        <w:trPr>
          <w:trHeight w:val="203"/>
        </w:trPr>
        <w:tc>
          <w:tcPr>
            <w:tcW w:w="2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VP, General Counsel and</w:t>
            </w:r>
          </w:p>
        </w:tc>
        <w:tc>
          <w:tcPr>
            <w:tcW w:w="8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2019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346,991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254,066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108,338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338,316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95,724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1,143,435</w:t>
            </w:r>
          </w:p>
        </w:tc>
        <w:tc>
          <w:tcPr>
            <w:tcW w:w="0" w:type="dxa"/>
            <w:vAlign w:val="bottom"/>
          </w:tcPr>
          <w:p>
            <w:pPr>
              <w:spacing w:after="0"/>
              <w:rPr>
                <w:sz w:val="1"/>
                <w:szCs w:val="1"/>
                <w:color w:val="auto"/>
              </w:rPr>
            </w:pPr>
          </w:p>
        </w:tc>
      </w:tr>
      <w:tr>
        <w:trPr>
          <w:trHeight w:val="210"/>
        </w:trPr>
        <w:tc>
          <w:tcPr>
            <w:tcW w:w="2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Secretary</w:t>
            </w:r>
          </w:p>
        </w:tc>
        <w:tc>
          <w:tcPr>
            <w:tcW w:w="820" w:type="dxa"/>
            <w:vAlign w:val="bottom"/>
            <w:gridSpan w:val="2"/>
            <w:vMerge w:val="restart"/>
          </w:tcPr>
          <w:p>
            <w:pPr>
              <w:jc w:val="center"/>
              <w:ind w:left="39"/>
              <w:spacing w:after="0"/>
              <w:rPr>
                <w:sz w:val="20"/>
                <w:szCs w:val="20"/>
                <w:color w:val="auto"/>
              </w:rPr>
            </w:pPr>
            <w:r>
              <w:rPr>
                <w:rFonts w:ascii="Times New Roman" w:cs="Times New Roman" w:eastAsia="Times New Roman" w:hAnsi="Times New Roman"/>
                <w:sz w:val="16"/>
                <w:szCs w:val="16"/>
                <w:color w:val="auto"/>
              </w:rPr>
              <w:t>2018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340,432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216,675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108,335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368,484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90,113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1,124,039</w:t>
            </w:r>
          </w:p>
        </w:tc>
        <w:tc>
          <w:tcPr>
            <w:tcW w:w="0" w:type="dxa"/>
            <w:vAlign w:val="bottom"/>
          </w:tcPr>
          <w:p>
            <w:pPr>
              <w:spacing w:after="0"/>
              <w:rPr>
                <w:sz w:val="1"/>
                <w:szCs w:val="1"/>
                <w:color w:val="auto"/>
              </w:rPr>
            </w:pPr>
          </w:p>
        </w:tc>
      </w:tr>
      <w:tr>
        <w:trPr>
          <w:trHeight w:val="68"/>
        </w:trPr>
        <w:tc>
          <w:tcPr>
            <w:tcW w:w="226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226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T.J. Felmer, Former Senior Vice</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2020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190,112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374,610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121,289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238,980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924,991</w:t>
            </w:r>
          </w:p>
        </w:tc>
        <w:tc>
          <w:tcPr>
            <w:tcW w:w="0" w:type="dxa"/>
            <w:vAlign w:val="bottom"/>
          </w:tcPr>
          <w:p>
            <w:pPr>
              <w:spacing w:after="0"/>
              <w:rPr>
                <w:sz w:val="1"/>
                <w:szCs w:val="1"/>
                <w:color w:val="auto"/>
              </w:rPr>
            </w:pPr>
          </w:p>
        </w:tc>
      </w:tr>
      <w:tr>
        <w:trPr>
          <w:trHeight w:val="202"/>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President and President -</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2019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395,617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429,886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183,335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125,323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1,134,161</w:t>
            </w:r>
          </w:p>
        </w:tc>
        <w:tc>
          <w:tcPr>
            <w:tcW w:w="0" w:type="dxa"/>
            <w:vAlign w:val="bottom"/>
          </w:tcPr>
          <w:p>
            <w:pPr>
              <w:spacing w:after="0"/>
              <w:rPr>
                <w:sz w:val="1"/>
                <w:szCs w:val="1"/>
                <w:color w:val="auto"/>
              </w:rPr>
            </w:pPr>
          </w:p>
        </w:tc>
      </w:tr>
      <w:tr>
        <w:trPr>
          <w:trHeight w:val="210"/>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Workplace Safety (2)</w:t>
            </w:r>
          </w:p>
        </w:tc>
        <w:tc>
          <w:tcPr>
            <w:tcW w:w="120" w:type="dxa"/>
            <w:vAlign w:val="bottom"/>
            <w:shd w:val="clear" w:color="auto" w:fill="CCEEFF"/>
          </w:tcPr>
          <w:p>
            <w:pPr>
              <w:spacing w:after="0"/>
              <w:rPr>
                <w:sz w:val="18"/>
                <w:szCs w:val="18"/>
                <w:color w:val="auto"/>
              </w:rPr>
            </w:pPr>
          </w:p>
        </w:tc>
        <w:tc>
          <w:tcPr>
            <w:tcW w:w="7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2018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389,319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366,718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183,341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688,315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69,355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1,697,048</w:t>
            </w:r>
          </w:p>
        </w:tc>
        <w:tc>
          <w:tcPr>
            <w:tcW w:w="0" w:type="dxa"/>
            <w:vAlign w:val="bottom"/>
          </w:tcPr>
          <w:p>
            <w:pPr>
              <w:spacing w:after="0"/>
              <w:rPr>
                <w:sz w:val="1"/>
                <w:szCs w:val="1"/>
                <w:color w:val="auto"/>
              </w:rPr>
            </w:pPr>
          </w:p>
        </w:tc>
      </w:tr>
      <w:tr>
        <w:trPr>
          <w:trHeight w:val="80"/>
        </w:trPr>
        <w:tc>
          <w:tcPr>
            <w:tcW w:w="226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70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80" w:type="dxa"/>
            <w:vAlign w:val="bottom"/>
            <w:tcBorders>
              <w:bottom w:val="single" w:sz="8" w:color="CCEEFF"/>
            </w:tcBorders>
            <w:shd w:val="clear" w:color="auto" w:fill="CCEEFF"/>
          </w:tcPr>
          <w:p>
            <w:pPr>
              <w:spacing w:after="0"/>
              <w:rPr>
                <w:sz w:val="7"/>
                <w:szCs w:val="7"/>
                <w:color w:val="auto"/>
              </w:rPr>
            </w:pPr>
          </w:p>
        </w:tc>
        <w:tc>
          <w:tcPr>
            <w:tcW w:w="78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24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80" w:type="dxa"/>
            <w:vAlign w:val="bottom"/>
            <w:tcBorders>
              <w:bottom w:val="single" w:sz="8" w:color="CCEEFF"/>
            </w:tcBorders>
            <w:shd w:val="clear" w:color="auto" w:fill="CCEEFF"/>
          </w:tcPr>
          <w:p>
            <w:pPr>
              <w:spacing w:after="0"/>
              <w:rPr>
                <w:sz w:val="7"/>
                <w:szCs w:val="7"/>
                <w:color w:val="auto"/>
              </w:rPr>
            </w:pPr>
          </w:p>
        </w:tc>
        <w:tc>
          <w:tcPr>
            <w:tcW w:w="86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60" w:type="dxa"/>
            <w:vAlign w:val="bottom"/>
            <w:tcBorders>
              <w:bottom w:val="single" w:sz="8" w:color="CCEEFF"/>
            </w:tcBorders>
            <w:shd w:val="clear" w:color="auto" w:fill="CCEEFF"/>
          </w:tcPr>
          <w:p>
            <w:pPr>
              <w:spacing w:after="0"/>
              <w:rPr>
                <w:sz w:val="7"/>
                <w:szCs w:val="7"/>
                <w:color w:val="auto"/>
              </w:rPr>
            </w:pPr>
          </w:p>
        </w:tc>
        <w:tc>
          <w:tcPr>
            <w:tcW w:w="134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60" w:type="dxa"/>
            <w:vAlign w:val="bottom"/>
            <w:tcBorders>
              <w:bottom w:val="single" w:sz="8" w:color="CCEEFF"/>
            </w:tcBorders>
            <w:shd w:val="clear" w:color="auto" w:fill="CCEEFF"/>
          </w:tcPr>
          <w:p>
            <w:pPr>
              <w:spacing w:after="0"/>
              <w:rPr>
                <w:sz w:val="7"/>
                <w:szCs w:val="7"/>
                <w:color w:val="auto"/>
              </w:rPr>
            </w:pPr>
          </w:p>
        </w:tc>
        <w:tc>
          <w:tcPr>
            <w:tcW w:w="124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260" w:type="dxa"/>
            <w:vAlign w:val="bottom"/>
            <w:tcBorders>
              <w:bottom w:val="single" w:sz="8" w:color="CCEEFF"/>
            </w:tcBorders>
            <w:shd w:val="clear" w:color="auto" w:fill="CCEEFF"/>
          </w:tcPr>
          <w:p>
            <w:pPr>
              <w:spacing w:after="0"/>
              <w:rPr>
                <w:sz w:val="7"/>
                <w:szCs w:val="7"/>
                <w:color w:val="auto"/>
              </w:rPr>
            </w:pPr>
          </w:p>
        </w:tc>
        <w:tc>
          <w:tcPr>
            <w:tcW w:w="96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ind w:left="660" w:hanging="328"/>
        <w:spacing w:after="0" w:line="281" w:lineRule="auto"/>
        <w:tabs>
          <w:tab w:leader="none" w:pos="65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Deman's compensation is denominated in Euros. The amounts shown in U.S. dollars in the table above were converted from Euro at the average exchange rate for fiscal 2020: 1 EUR = 1.1073 USD.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compensation for Mr. Felmer in fiscal 2020 includes severance amounts paid and expense recognized in accordance with accounting guidance for the modification of certain equity awards under the written retirement agreement the Company entered into with Mr. Felmer on October 15, 2020. Incremental expense of $121,289 and $57,438 associated with the modification of vesting conditions for certain outstanding equity awards has been included in this table under columns Time-based and Performance-based RSUs and Option Awards, respectively. Severance payments of $189,583 have been included in the amounts shown in column All Other Compensation in this table.</w:t>
      </w:r>
    </w:p>
    <w:p>
      <w:pPr>
        <w:spacing w:after="0" w:line="2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grant date fair value computed in accordance with accounting guidance for equity grants made or modified in the applicable year for time-based RSUs and performance-based RSUs. The grant date fair value is calculated based on the number of shares of Class A Common Stock underlying the time-based RSUs and fiscal year 2018 performance-based RSUs (at target), times the average of the high and low stock price of Class A Common Stock on the date of grant. The grant date fair value for fiscal year 2019 and 2020 performance-based RSUs is calculated based on the number of shares of Class A Common Stock underlying the performance-based RSUs (at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7" w:name="page78"/>
    <w:bookmarkEnd w:id="77"/>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target), times a fair value per unit derived from a third-party valuation using a Monte Carlo simulation due to the presence of a market condition in the award. The actual value of a RSU will depend on the market value of the Class A Common Stock on the date the stock is sold. The table reflects the grant date fair value at target level of performance-based RSUs (100%).</w:t>
      </w:r>
    </w:p>
    <w:p>
      <w:pPr>
        <w:spacing w:after="0" w:line="14" w:lineRule="exact"/>
        <w:rPr>
          <w:sz w:val="20"/>
          <w:szCs w:val="20"/>
          <w:color w:val="auto"/>
        </w:rPr>
      </w:pPr>
    </w:p>
    <w:p>
      <w:pPr>
        <w:jc w:val="both"/>
        <w:ind w:left="660" w:hanging="328"/>
        <w:spacing w:after="0" w:line="258" w:lineRule="auto"/>
        <w:tabs>
          <w:tab w:leader="none" w:pos="65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grant date fair value computed in accordance with accounting guidance for equity grants made or modified in the applicable year for time-based stock options. The assumptions used to determine the value of the awards, including the use of the Black-Scholes method of valuation by the Company, are discussed in Note 1 of the Notes to Consolidated Financial Statements contained in Item 8 of this Form 10-K, for the fiscal year ended July 31, 2020. The actual value, if any, which an option holder will realize upon the exercise of an option will depend on the excess of the market value of the Class A Common Stock over the exercise price on the date the option is exercised.</w:t>
      </w:r>
    </w:p>
    <w:p>
      <w:pPr>
        <w:spacing w:after="0" w:line="2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annual cash incentive earned during the listed fiscal years, which was paid during the next fiscal year.</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for Messrs. Nauman, Pearce, Shaller, Bolognini, Felmer, and Ms. Nelligan include: matching contributions to the Company’s Matched 401(k) Plan, Funded Retirement Plan and Restoration Plan, the cost of group term life insurance, car allowance, the cost of long-term care insurance, the cost of disability insurance and other perquisites. The amounts in this column for Mr. Deman include: contributions to the Company's French pension plan, the cost of group term life insurance, the cost of long-term care insurance, use of a company-leased vehicle and associated expenses. The perquisites may include relocation assistance, annual allowances for financial and tax planning, and the cost of personal liability insurance. Refer to the table below.</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Retirement</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Group Term</w:t>
            </w:r>
          </w:p>
        </w:tc>
        <w:tc>
          <w:tcPr>
            <w:tcW w:w="100" w:type="dxa"/>
            <w:vAlign w:val="bottom"/>
          </w:tcPr>
          <w:p>
            <w:pPr>
              <w:spacing w:after="0"/>
              <w:rPr>
                <w:sz w:val="17"/>
                <w:szCs w:val="17"/>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Long-term</w:t>
            </w:r>
          </w:p>
        </w:tc>
        <w:tc>
          <w:tcPr>
            <w:tcW w:w="12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Long-term</w:t>
            </w: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Plan</w:t>
            </w:r>
          </w:p>
        </w:tc>
        <w:tc>
          <w:tcPr>
            <w:tcW w:w="12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Company</w:t>
            </w:r>
          </w:p>
        </w:tc>
        <w:tc>
          <w:tcPr>
            <w:tcW w:w="14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Life</w:t>
            </w:r>
          </w:p>
        </w:tc>
        <w:tc>
          <w:tcPr>
            <w:tcW w:w="100" w:type="dxa"/>
            <w:vAlign w:val="bottom"/>
          </w:tcPr>
          <w:p>
            <w:pPr>
              <w:spacing w:after="0"/>
              <w:rPr>
                <w:sz w:val="17"/>
                <w:szCs w:val="17"/>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Care</w:t>
            </w:r>
          </w:p>
        </w:tc>
        <w:tc>
          <w:tcPr>
            <w:tcW w:w="12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Disability</w:t>
            </w: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Total All Other</w:t>
            </w:r>
          </w:p>
        </w:tc>
      </w:tr>
      <w:tr>
        <w:trPr>
          <w:trHeight w:val="203"/>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Fiscal</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Contributions</w:t>
            </w:r>
          </w:p>
        </w:tc>
        <w:tc>
          <w:tcPr>
            <w:tcW w:w="12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Car</w:t>
            </w:r>
          </w:p>
        </w:tc>
        <w:tc>
          <w:tcPr>
            <w:tcW w:w="14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Insurance</w:t>
            </w:r>
          </w:p>
        </w:tc>
        <w:tc>
          <w:tcPr>
            <w:tcW w:w="100" w:type="dxa"/>
            <w:vAlign w:val="bottom"/>
          </w:tcPr>
          <w:p>
            <w:pPr>
              <w:spacing w:after="0"/>
              <w:rPr>
                <w:sz w:val="17"/>
                <w:szCs w:val="17"/>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Insurance</w:t>
            </w:r>
          </w:p>
        </w:tc>
        <w:tc>
          <w:tcPr>
            <w:tcW w:w="12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Insurance</w:t>
            </w: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40" w:type="dxa"/>
            <w:vAlign w:val="bottom"/>
          </w:tcPr>
          <w:p>
            <w:pPr>
              <w:spacing w:after="0"/>
              <w:rPr>
                <w:sz w:val="17"/>
                <w:szCs w:val="17"/>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Compensation</w:t>
            </w:r>
          </w:p>
        </w:tc>
      </w:tr>
      <w:tr>
        <w:trPr>
          <w:trHeight w:val="212"/>
        </w:trPr>
        <w:tc>
          <w:tcPr>
            <w:tcW w:w="1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2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Year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Relocation ($)</w:t>
            </w:r>
          </w:p>
        </w:tc>
        <w:tc>
          <w:tcPr>
            <w:tcW w:w="160" w:type="dxa"/>
            <w:vAlign w:val="bottom"/>
          </w:tcPr>
          <w:p>
            <w:pPr>
              <w:spacing w:after="0"/>
              <w:rPr>
                <w:sz w:val="18"/>
                <w:szCs w:val="18"/>
                <w:color w:val="auto"/>
              </w:rPr>
            </w:pPr>
          </w:p>
        </w:tc>
        <w:tc>
          <w:tcPr>
            <w:tcW w:w="68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33"/>
        </w:trPr>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167,984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18,692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212,049</w:t>
            </w:r>
          </w:p>
        </w:tc>
      </w:tr>
      <w:tr>
        <w:trPr>
          <w:trHeight w:val="257"/>
        </w:trPr>
        <w:tc>
          <w:tcPr>
            <w:tcW w:w="1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J.M. Nauman</w:t>
            </w: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2019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202,230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18,000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1,799</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14,727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246,562</w:t>
            </w:r>
          </w:p>
        </w:tc>
      </w:tr>
      <w:tr>
        <w:trPr>
          <w:trHeight w:val="289"/>
        </w:trPr>
        <w:tc>
          <w:tcPr>
            <w:tcW w:w="1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2018</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159,522</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18,000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1,728</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4,860</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5,212</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13,486</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202,808</w:t>
            </w:r>
          </w:p>
        </w:tc>
      </w:tr>
      <w:tr>
        <w:trPr>
          <w:trHeight w:val="217"/>
        </w:trPr>
        <w:tc>
          <w:tcPr>
            <w:tcW w:w="1140" w:type="dxa"/>
            <w:vAlign w:val="bottom"/>
          </w:tcPr>
          <w:p>
            <w:pPr>
              <w:spacing w:after="0"/>
              <w:rPr>
                <w:sz w:val="18"/>
                <w:szCs w:val="18"/>
                <w:color w:val="auto"/>
              </w:rPr>
            </w:pPr>
          </w:p>
        </w:tc>
        <w:tc>
          <w:tcPr>
            <w:tcW w:w="74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9"/>
              </w:rPr>
              <w:t>2020</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57,909</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18,692</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1,110</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2,893</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3,848</w:t>
            </w:r>
          </w:p>
        </w:tc>
        <w:tc>
          <w:tcPr>
            <w:tcW w:w="100" w:type="dxa"/>
            <w:vAlign w:val="bottom"/>
          </w:tcPr>
          <w:p>
            <w:pPr>
              <w:spacing w:after="0"/>
              <w:rPr>
                <w:sz w:val="18"/>
                <w:szCs w:val="18"/>
                <w:color w:val="auto"/>
              </w:rPr>
            </w:pPr>
          </w:p>
        </w:tc>
        <w:tc>
          <w:tcPr>
            <w:tcW w:w="3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947</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85,399</w:t>
            </w:r>
          </w:p>
        </w:tc>
      </w:tr>
      <w:tr>
        <w:trPr>
          <w:trHeight w:val="256"/>
        </w:trPr>
        <w:tc>
          <w:tcPr>
            <w:tcW w:w="1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A.J. Pearce</w:t>
            </w:r>
          </w:p>
        </w:tc>
        <w:tc>
          <w:tcPr>
            <w:tcW w:w="74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9"/>
              </w:rPr>
              <w:t>2019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69,833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96,023</w:t>
            </w:r>
          </w:p>
        </w:tc>
      </w:tr>
      <w:tr>
        <w:trPr>
          <w:trHeight w:val="257"/>
        </w:trPr>
        <w:tc>
          <w:tcPr>
            <w:tcW w:w="1140" w:type="dxa"/>
            <w:vAlign w:val="bottom"/>
          </w:tcPr>
          <w:p>
            <w:pPr>
              <w:spacing w:after="0"/>
              <w:rPr>
                <w:sz w:val="22"/>
                <w:szCs w:val="22"/>
                <w:color w:val="auto"/>
              </w:rPr>
            </w:pPr>
          </w:p>
        </w:tc>
        <w:tc>
          <w:tcPr>
            <w:tcW w:w="74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9"/>
              </w:rPr>
              <w:t>2018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61,988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10,458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97,767</w:t>
            </w:r>
          </w:p>
        </w:tc>
      </w:tr>
      <w:tr>
        <w:trPr>
          <w:trHeight w:val="33"/>
        </w:trPr>
        <w:tc>
          <w:tcPr>
            <w:tcW w:w="11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1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 Deman</w:t>
            </w:r>
          </w:p>
        </w:tc>
        <w:tc>
          <w:tcPr>
            <w:tcW w:w="740" w:type="dxa"/>
            <w:vAlign w:val="bottom"/>
            <w:tcBorders>
              <w:bottom w:val="single" w:sz="8" w:color="CCEEFF"/>
            </w:tcBorders>
            <w:gridSpan w:val="2"/>
            <w:shd w:val="clear" w:color="auto" w:fill="CCEEFF"/>
          </w:tcPr>
          <w:p>
            <w:pPr>
              <w:jc w:val="center"/>
              <w:ind w:left="59"/>
              <w:spacing w:after="0"/>
              <w:rPr>
                <w:sz w:val="20"/>
                <w:szCs w:val="20"/>
                <w:color w:val="auto"/>
              </w:rPr>
            </w:pPr>
            <w:r>
              <w:rPr>
                <w:rFonts w:ascii="Times New Roman" w:cs="Times New Roman" w:eastAsia="Times New Roman" w:hAnsi="Times New Roman"/>
                <w:sz w:val="16"/>
                <w:szCs w:val="16"/>
                <w:color w:val="auto"/>
                <w:w w:val="99"/>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33,197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22,285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66,510</w:t>
            </w:r>
          </w:p>
        </w:tc>
      </w:tr>
      <w:tr>
        <w:trPr>
          <w:trHeight w:val="217"/>
        </w:trPr>
        <w:tc>
          <w:tcPr>
            <w:tcW w:w="1140" w:type="dxa"/>
            <w:vAlign w:val="bottom"/>
          </w:tcPr>
          <w:p>
            <w:pPr>
              <w:spacing w:after="0"/>
              <w:rPr>
                <w:sz w:val="18"/>
                <w:szCs w:val="18"/>
                <w:color w:val="auto"/>
              </w:rPr>
            </w:pPr>
          </w:p>
        </w:tc>
        <w:tc>
          <w:tcPr>
            <w:tcW w:w="74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9"/>
              </w:rPr>
              <w:t>2020</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41,127</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18,692</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1,003</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2,491</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3,779</w:t>
            </w:r>
          </w:p>
        </w:tc>
        <w:tc>
          <w:tcPr>
            <w:tcW w:w="100" w:type="dxa"/>
            <w:vAlign w:val="bottom"/>
          </w:tcPr>
          <w:p>
            <w:pPr>
              <w:spacing w:after="0"/>
              <w:rPr>
                <w:sz w:val="18"/>
                <w:szCs w:val="18"/>
                <w:color w:val="auto"/>
              </w:rPr>
            </w:pPr>
          </w:p>
        </w:tc>
        <w:tc>
          <w:tcPr>
            <w:tcW w:w="3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4,040</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71,132</w:t>
            </w:r>
          </w:p>
        </w:tc>
      </w:tr>
      <w:tr>
        <w:trPr>
          <w:trHeight w:val="256"/>
        </w:trPr>
        <w:tc>
          <w:tcPr>
            <w:tcW w:w="1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H.R. Nelligan</w:t>
            </w:r>
          </w:p>
        </w:tc>
        <w:tc>
          <w:tcPr>
            <w:tcW w:w="74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9"/>
              </w:rPr>
              <w:t>2019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34,766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11,382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71,199</w:t>
            </w:r>
          </w:p>
        </w:tc>
      </w:tr>
      <w:tr>
        <w:trPr>
          <w:trHeight w:val="257"/>
        </w:trPr>
        <w:tc>
          <w:tcPr>
            <w:tcW w:w="1140" w:type="dxa"/>
            <w:vAlign w:val="bottom"/>
          </w:tcPr>
          <w:p>
            <w:pPr>
              <w:spacing w:after="0"/>
              <w:rPr>
                <w:sz w:val="22"/>
                <w:szCs w:val="22"/>
                <w:color w:val="auto"/>
              </w:rPr>
            </w:pPr>
          </w:p>
        </w:tc>
        <w:tc>
          <w:tcPr>
            <w:tcW w:w="74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9"/>
              </w:rPr>
              <w:t>2018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45,464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14,415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84,631</w:t>
            </w:r>
          </w:p>
        </w:tc>
      </w:tr>
      <w:tr>
        <w:trPr>
          <w:trHeight w:val="33"/>
        </w:trPr>
        <w:tc>
          <w:tcPr>
            <w:tcW w:w="11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18,692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88,036</w:t>
            </w:r>
          </w:p>
        </w:tc>
      </w:tr>
      <w:tr>
        <w:trPr>
          <w:trHeight w:val="257"/>
        </w:trPr>
        <w:tc>
          <w:tcPr>
            <w:tcW w:w="1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R.R. Shaller</w:t>
            </w: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2019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72,465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18,000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14,180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114,333</w:t>
            </w:r>
          </w:p>
        </w:tc>
      </w:tr>
      <w:tr>
        <w:trPr>
          <w:trHeight w:val="289"/>
        </w:trPr>
        <w:tc>
          <w:tcPr>
            <w:tcW w:w="1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2018</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62,092</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18,000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3,427</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5,363</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7,257</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16,189</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113,141</w:t>
            </w:r>
          </w:p>
        </w:tc>
      </w:tr>
      <w:tr>
        <w:trPr>
          <w:trHeight w:val="217"/>
        </w:trPr>
        <w:tc>
          <w:tcPr>
            <w:tcW w:w="1140" w:type="dxa"/>
            <w:vAlign w:val="bottom"/>
          </w:tcPr>
          <w:p>
            <w:pPr>
              <w:spacing w:after="0"/>
              <w:rPr>
                <w:sz w:val="18"/>
                <w:szCs w:val="18"/>
                <w:color w:val="auto"/>
              </w:rPr>
            </w:pPr>
          </w:p>
        </w:tc>
        <w:tc>
          <w:tcPr>
            <w:tcW w:w="74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9"/>
              </w:rPr>
              <w:t>2020</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54,864</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13,154</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817</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2,959</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4,061</w:t>
            </w:r>
          </w:p>
        </w:tc>
        <w:tc>
          <w:tcPr>
            <w:tcW w:w="100" w:type="dxa"/>
            <w:vAlign w:val="bottom"/>
          </w:tcPr>
          <w:p>
            <w:pPr>
              <w:spacing w:after="0"/>
              <w:rPr>
                <w:sz w:val="18"/>
                <w:szCs w:val="18"/>
                <w:color w:val="auto"/>
              </w:rPr>
            </w:pPr>
          </w:p>
        </w:tc>
        <w:tc>
          <w:tcPr>
            <w:tcW w:w="3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9,915</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85,770</w:t>
            </w:r>
          </w:p>
        </w:tc>
      </w:tr>
      <w:tr>
        <w:trPr>
          <w:trHeight w:val="257"/>
        </w:trPr>
        <w:tc>
          <w:tcPr>
            <w:tcW w:w="1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L.T. Bolognini</w:t>
            </w:r>
          </w:p>
        </w:tc>
        <w:tc>
          <w:tcPr>
            <w:tcW w:w="74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9"/>
              </w:rPr>
              <w:t>2019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54,983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12,573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95,724</w:t>
            </w:r>
          </w:p>
        </w:tc>
      </w:tr>
      <w:tr>
        <w:trPr>
          <w:trHeight w:val="256"/>
        </w:trPr>
        <w:tc>
          <w:tcPr>
            <w:tcW w:w="1140" w:type="dxa"/>
            <w:vAlign w:val="bottom"/>
          </w:tcPr>
          <w:p>
            <w:pPr>
              <w:spacing w:after="0"/>
              <w:rPr>
                <w:sz w:val="22"/>
                <w:szCs w:val="22"/>
                <w:color w:val="auto"/>
              </w:rPr>
            </w:pPr>
          </w:p>
        </w:tc>
        <w:tc>
          <w:tcPr>
            <w:tcW w:w="74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w w:val="99"/>
              </w:rPr>
              <w:t>2018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49,748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12,329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90,113</w:t>
            </w:r>
          </w:p>
        </w:tc>
      </w:tr>
      <w:tr>
        <w:trPr>
          <w:trHeight w:val="33"/>
        </w:trPr>
        <w:tc>
          <w:tcPr>
            <w:tcW w:w="11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24,776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238,980</w:t>
            </w:r>
          </w:p>
        </w:tc>
      </w:tr>
      <w:tr>
        <w:trPr>
          <w:trHeight w:val="257"/>
        </w:trPr>
        <w:tc>
          <w:tcPr>
            <w:tcW w:w="1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T.J. Felmer</w:t>
            </w: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2019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86,510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18,000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12,618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125,323</w:t>
            </w:r>
          </w:p>
        </w:tc>
      </w:tr>
      <w:tr>
        <w:trPr>
          <w:trHeight w:val="270"/>
        </w:trPr>
        <w:tc>
          <w:tcPr>
            <w:tcW w:w="1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2018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31,044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12,340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69,355</w:t>
            </w: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8" w:name="page79"/>
    <w:bookmarkEnd w:id="78"/>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Grants of Plan-Based Awards for 2020</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grants of plan-based awards made during fiscal 2020 to the NEOs.</w:t>
      </w:r>
    </w:p>
    <w:p>
      <w:pPr>
        <w:spacing w:after="0" w:line="200" w:lineRule="exact"/>
        <w:rPr>
          <w:sz w:val="20"/>
          <w:szCs w:val="20"/>
          <w:color w:val="auto"/>
        </w:rPr>
      </w:pP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40" w:type="dxa"/>
            <w:vAlign w:val="bottom"/>
            <w:gridSpan w:val="6"/>
          </w:tcPr>
          <w:p>
            <w:pPr>
              <w:ind w:left="100"/>
              <w:spacing w:after="0"/>
              <w:rPr>
                <w:sz w:val="20"/>
                <w:szCs w:val="20"/>
                <w:color w:val="auto"/>
              </w:rPr>
            </w:pPr>
            <w:r>
              <w:rPr>
                <w:rFonts w:ascii="Times New Roman" w:cs="Times New Roman" w:eastAsia="Times New Roman" w:hAnsi="Times New Roman"/>
                <w:sz w:val="12"/>
                <w:szCs w:val="12"/>
                <w:b w:val="1"/>
                <w:bCs w:val="1"/>
                <w:color w:val="auto"/>
              </w:rPr>
              <w:t>Estimated Future Payouts Under Non-</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5"/>
        </w:trPr>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ind w:left="140"/>
              <w:spacing w:after="0" w:line="135" w:lineRule="exact"/>
              <w:rPr>
                <w:sz w:val="20"/>
                <w:szCs w:val="20"/>
                <w:color w:val="auto"/>
              </w:rPr>
            </w:pPr>
            <w:r>
              <w:rPr>
                <w:rFonts w:ascii="Times New Roman" w:cs="Times New Roman" w:eastAsia="Times New Roman" w:hAnsi="Times New Roman"/>
                <w:sz w:val="12"/>
                <w:szCs w:val="12"/>
                <w:b w:val="1"/>
                <w:bCs w:val="1"/>
                <w:color w:val="auto"/>
              </w:rPr>
              <w:t>Equity</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80" w:type="dxa"/>
            <w:vAlign w:val="bottom"/>
            <w:gridSpan w:val="5"/>
          </w:tcPr>
          <w:p>
            <w:pPr>
              <w:jc w:val="right"/>
              <w:ind w:right="262"/>
              <w:spacing w:after="0" w:line="135" w:lineRule="exact"/>
              <w:rPr>
                <w:sz w:val="20"/>
                <w:szCs w:val="20"/>
                <w:color w:val="auto"/>
              </w:rPr>
            </w:pPr>
            <w:r>
              <w:rPr>
                <w:rFonts w:ascii="Times New Roman" w:cs="Times New Roman" w:eastAsia="Times New Roman" w:hAnsi="Times New Roman"/>
                <w:sz w:val="12"/>
                <w:szCs w:val="12"/>
                <w:b w:val="1"/>
                <w:bCs w:val="1"/>
                <w:color w:val="auto"/>
              </w:rPr>
              <w:t>Estimated Future Payouts Under</w:t>
            </w:r>
          </w:p>
        </w:tc>
      </w:tr>
      <w:tr>
        <w:trPr>
          <w:trHeight w:val="166"/>
        </w:trPr>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5"/>
          </w:tcPr>
          <w:p>
            <w:pPr>
              <w:jc w:val="right"/>
              <w:ind w:right="442"/>
              <w:spacing w:after="0"/>
              <w:rPr>
                <w:sz w:val="20"/>
                <w:szCs w:val="20"/>
                <w:color w:val="auto"/>
              </w:rPr>
            </w:pPr>
            <w:r>
              <w:rPr>
                <w:rFonts w:ascii="Times New Roman" w:cs="Times New Roman" w:eastAsia="Times New Roman" w:hAnsi="Times New Roman"/>
                <w:sz w:val="12"/>
                <w:szCs w:val="12"/>
                <w:b w:val="1"/>
                <w:bCs w:val="1"/>
                <w:color w:val="auto"/>
              </w:rPr>
              <w:t>Incentive Plan Awards (1)</w:t>
            </w:r>
          </w:p>
        </w:tc>
        <w:tc>
          <w:tcPr>
            <w:tcW w:w="120" w:type="dxa"/>
            <w:vAlign w:val="bottom"/>
          </w:tcPr>
          <w:p>
            <w:pPr>
              <w:spacing w:after="0"/>
              <w:rPr>
                <w:sz w:val="14"/>
                <w:szCs w:val="14"/>
                <w:color w:val="auto"/>
              </w:rPr>
            </w:pPr>
          </w:p>
        </w:tc>
        <w:tc>
          <w:tcPr>
            <w:tcW w:w="2280" w:type="dxa"/>
            <w:vAlign w:val="bottom"/>
            <w:tcBorders>
              <w:bottom w:val="single" w:sz="8" w:color="auto"/>
            </w:tcBorders>
            <w:gridSpan w:val="5"/>
          </w:tcPr>
          <w:p>
            <w:pPr>
              <w:jc w:val="right"/>
              <w:ind w:right="262"/>
              <w:spacing w:after="0"/>
              <w:rPr>
                <w:sz w:val="20"/>
                <w:szCs w:val="20"/>
                <w:color w:val="auto"/>
              </w:rPr>
            </w:pPr>
            <w:r>
              <w:rPr>
                <w:rFonts w:ascii="Times New Roman" w:cs="Times New Roman" w:eastAsia="Times New Roman" w:hAnsi="Times New Roman"/>
                <w:sz w:val="12"/>
                <w:szCs w:val="12"/>
                <w:b w:val="1"/>
                <w:bCs w:val="1"/>
                <w:color w:val="auto"/>
              </w:rPr>
              <w:t>Equity Incentive Plan Awards (2)</w:t>
            </w:r>
          </w:p>
        </w:tc>
      </w:tr>
      <w:tr>
        <w:trPr>
          <w:trHeight w:val="165"/>
        </w:trPr>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7"/>
              </w:rPr>
              <w:t>Compensation</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5"/>
        </w:trPr>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2"/>
                <w:szCs w:val="12"/>
                <w:b w:val="1"/>
                <w:bCs w:val="1"/>
                <w:color w:val="auto"/>
                <w:w w:val="95"/>
              </w:rPr>
              <w:t>Committee</w:t>
            </w:r>
          </w:p>
        </w:tc>
        <w:tc>
          <w:tcPr>
            <w:tcW w:w="7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2"/>
                <w:szCs w:val="12"/>
                <w:b w:val="1"/>
                <w:bCs w:val="1"/>
                <w:color w:val="auto"/>
              </w:rPr>
              <w:t>Threshold</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6"/>
        </w:trPr>
        <w:tc>
          <w:tcPr>
            <w:tcW w:w="9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7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2"/>
                <w:szCs w:val="12"/>
                <w:b w:val="1"/>
                <w:bCs w:val="1"/>
                <w:color w:val="auto"/>
              </w:rPr>
              <w:t>Grant Date</w:t>
            </w:r>
          </w:p>
        </w:tc>
        <w:tc>
          <w:tcPr>
            <w:tcW w:w="10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Approval Date</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4"/>
                <w:szCs w:val="14"/>
                <w:color w:val="auto"/>
              </w:rPr>
            </w:pPr>
          </w:p>
        </w:tc>
        <w:tc>
          <w:tcPr>
            <w:tcW w:w="6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Target ($)</w:t>
            </w:r>
          </w:p>
        </w:tc>
        <w:tc>
          <w:tcPr>
            <w:tcW w:w="10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Maximum ($)</w:t>
            </w:r>
          </w:p>
        </w:tc>
        <w:tc>
          <w:tcPr>
            <w:tcW w:w="12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Threshold (#)</w:t>
            </w:r>
          </w:p>
        </w:tc>
        <w:tc>
          <w:tcPr>
            <w:tcW w:w="10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6"/>
              </w:rPr>
              <w:t>Target (#)</w:t>
            </w:r>
          </w:p>
        </w:tc>
        <w:tc>
          <w:tcPr>
            <w:tcW w:w="12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Maximum (#)</w:t>
            </w:r>
          </w:p>
        </w:tc>
      </w:tr>
      <w:tr>
        <w:trPr>
          <w:trHeight w:val="169"/>
        </w:trPr>
        <w:tc>
          <w:tcPr>
            <w:tcW w:w="900" w:type="dxa"/>
            <w:vAlign w:val="bottom"/>
          </w:tcPr>
          <w:p>
            <w:pPr>
              <w:spacing w:after="0"/>
              <w:rPr>
                <w:sz w:val="20"/>
                <w:szCs w:val="20"/>
                <w:color w:val="auto"/>
              </w:rPr>
            </w:pPr>
            <w:r>
              <w:rPr>
                <w:rFonts w:ascii="Times New Roman" w:cs="Times New Roman" w:eastAsia="Times New Roman" w:hAnsi="Times New Roman"/>
                <w:sz w:val="12"/>
                <w:szCs w:val="12"/>
                <w:color w:val="auto"/>
              </w:rPr>
              <w:t>J.M. Nauman</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  852,810</w:t>
            </w:r>
          </w:p>
        </w:tc>
        <w:tc>
          <w:tcPr>
            <w:tcW w:w="100" w:type="dxa"/>
            <w:vAlign w:val="bottom"/>
          </w:tcPr>
          <w:p>
            <w:pPr>
              <w:spacing w:after="0"/>
              <w:rPr>
                <w:sz w:val="14"/>
                <w:szCs w:val="14"/>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   2,462,490</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89"/>
        </w:trPr>
        <w:tc>
          <w:tcPr>
            <w:tcW w:w="90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8/1/2019</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4"/>
              </w:rPr>
              <w:t>7/15/2019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4,824</w:t>
            </w:r>
          </w:p>
        </w:tc>
        <w:tc>
          <w:tcPr>
            <w:tcW w:w="100" w:type="dxa"/>
            <w:vAlign w:val="bottom"/>
          </w:tcPr>
          <w:p>
            <w:pPr>
              <w:spacing w:after="0"/>
              <w:rPr>
                <w:sz w:val="16"/>
                <w:szCs w:val="16"/>
                <w:color w:val="auto"/>
              </w:rPr>
            </w:pPr>
          </w:p>
        </w:tc>
        <w:tc>
          <w:tcPr>
            <w:tcW w:w="5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19,294</w:t>
            </w:r>
          </w:p>
        </w:tc>
        <w:tc>
          <w:tcPr>
            <w:tcW w:w="120" w:type="dxa"/>
            <w:vAlign w:val="bottom"/>
          </w:tcPr>
          <w:p>
            <w:pPr>
              <w:spacing w:after="0"/>
              <w:rPr>
                <w:sz w:val="16"/>
                <w:szCs w:val="16"/>
                <w:color w:val="auto"/>
              </w:rPr>
            </w:pPr>
          </w:p>
        </w:tc>
        <w:tc>
          <w:tcPr>
            <w:tcW w:w="78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38,588</w:t>
            </w:r>
          </w:p>
        </w:tc>
      </w:tr>
      <w:tr>
        <w:trPr>
          <w:trHeight w:val="189"/>
        </w:trPr>
        <w:tc>
          <w:tcPr>
            <w:tcW w:w="90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9/20/2019</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4"/>
              </w:rPr>
              <w:t>7/15/2019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9"/>
        </w:trPr>
        <w:tc>
          <w:tcPr>
            <w:tcW w:w="90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9/20/2019</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4"/>
              </w:rPr>
              <w:t>7/15/2019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9"/>
        </w:trPr>
        <w:tc>
          <w:tcPr>
            <w:tcW w:w="900" w:type="dxa"/>
            <w:vAlign w:val="bottom"/>
          </w:tcPr>
          <w:p>
            <w:pPr>
              <w:spacing w:after="0"/>
              <w:rPr>
                <w:sz w:val="20"/>
                <w:szCs w:val="20"/>
                <w:color w:val="auto"/>
              </w:rPr>
            </w:pPr>
            <w:r>
              <w:rPr>
                <w:rFonts w:ascii="Times New Roman" w:cs="Times New Roman" w:eastAsia="Times New Roman" w:hAnsi="Times New Roman"/>
                <w:sz w:val="12"/>
                <w:szCs w:val="12"/>
                <w:color w:val="auto"/>
              </w:rPr>
              <w:t>A.J. Pearce</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275,516</w:t>
            </w:r>
          </w:p>
        </w:tc>
        <w:tc>
          <w:tcPr>
            <w:tcW w:w="100" w:type="dxa"/>
            <w:vAlign w:val="bottom"/>
          </w:tcPr>
          <w:p>
            <w:pPr>
              <w:spacing w:after="0"/>
              <w:rPr>
                <w:sz w:val="16"/>
                <w:szCs w:val="16"/>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795,553</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9"/>
        </w:trPr>
        <w:tc>
          <w:tcPr>
            <w:tcW w:w="90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8/1/2019</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4"/>
              </w:rPr>
              <w:t>7/15/2019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1,415</w:t>
            </w:r>
          </w:p>
        </w:tc>
        <w:tc>
          <w:tcPr>
            <w:tcW w:w="100" w:type="dxa"/>
            <w:vAlign w:val="bottom"/>
          </w:tcPr>
          <w:p>
            <w:pPr>
              <w:spacing w:after="0"/>
              <w:rPr>
                <w:sz w:val="16"/>
                <w:szCs w:val="16"/>
                <w:color w:val="auto"/>
              </w:rPr>
            </w:pPr>
          </w:p>
        </w:tc>
        <w:tc>
          <w:tcPr>
            <w:tcW w:w="5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5,660</w:t>
            </w:r>
          </w:p>
        </w:tc>
        <w:tc>
          <w:tcPr>
            <w:tcW w:w="120" w:type="dxa"/>
            <w:vAlign w:val="bottom"/>
          </w:tcPr>
          <w:p>
            <w:pPr>
              <w:spacing w:after="0"/>
              <w:rPr>
                <w:sz w:val="16"/>
                <w:szCs w:val="16"/>
                <w:color w:val="auto"/>
              </w:rPr>
            </w:pPr>
          </w:p>
        </w:tc>
        <w:tc>
          <w:tcPr>
            <w:tcW w:w="78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11,320</w:t>
            </w:r>
          </w:p>
        </w:tc>
      </w:tr>
      <w:tr>
        <w:trPr>
          <w:trHeight w:val="189"/>
        </w:trPr>
        <w:tc>
          <w:tcPr>
            <w:tcW w:w="90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9/20/2019</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4"/>
              </w:rPr>
              <w:t>7/15/2019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9"/>
        </w:trPr>
        <w:tc>
          <w:tcPr>
            <w:tcW w:w="90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9/20/2019</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4"/>
              </w:rPr>
              <w:t>7/15/2019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9"/>
        </w:trPr>
        <w:tc>
          <w:tcPr>
            <w:tcW w:w="900" w:type="dxa"/>
            <w:vAlign w:val="bottom"/>
          </w:tcPr>
          <w:p>
            <w:pPr>
              <w:spacing w:after="0"/>
              <w:rPr>
                <w:sz w:val="20"/>
                <w:szCs w:val="20"/>
                <w:color w:val="auto"/>
              </w:rPr>
            </w:pPr>
            <w:r>
              <w:rPr>
                <w:rFonts w:ascii="Times New Roman" w:cs="Times New Roman" w:eastAsia="Times New Roman" w:hAnsi="Times New Roman"/>
                <w:sz w:val="12"/>
                <w:szCs w:val="12"/>
                <w:color w:val="auto"/>
              </w:rPr>
              <w:t>P. Deman</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135,577</w:t>
            </w:r>
          </w:p>
        </w:tc>
        <w:tc>
          <w:tcPr>
            <w:tcW w:w="100" w:type="dxa"/>
            <w:vAlign w:val="bottom"/>
          </w:tcPr>
          <w:p>
            <w:pPr>
              <w:spacing w:after="0"/>
              <w:rPr>
                <w:sz w:val="16"/>
                <w:szCs w:val="16"/>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391,477</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9"/>
        </w:trPr>
        <w:tc>
          <w:tcPr>
            <w:tcW w:w="90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9/20/2019</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4"/>
              </w:rPr>
              <w:t>7/15/2019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9"/>
        </w:trPr>
        <w:tc>
          <w:tcPr>
            <w:tcW w:w="90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9/20/2019</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4"/>
              </w:rPr>
              <w:t>7/15/2019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9"/>
        </w:trPr>
        <w:tc>
          <w:tcPr>
            <w:tcW w:w="90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1/3/2020</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11/20/2019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9"/>
        </w:trPr>
        <w:tc>
          <w:tcPr>
            <w:tcW w:w="900" w:type="dxa"/>
            <w:vAlign w:val="bottom"/>
          </w:tcPr>
          <w:p>
            <w:pPr>
              <w:spacing w:after="0"/>
              <w:rPr>
                <w:sz w:val="20"/>
                <w:szCs w:val="20"/>
                <w:color w:val="auto"/>
              </w:rPr>
            </w:pPr>
            <w:r>
              <w:rPr>
                <w:rFonts w:ascii="Times New Roman" w:cs="Times New Roman" w:eastAsia="Times New Roman" w:hAnsi="Times New Roman"/>
                <w:sz w:val="12"/>
                <w:szCs w:val="12"/>
                <w:color w:val="auto"/>
              </w:rPr>
              <w:t>H.R. Nelligan</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167,592</w:t>
            </w:r>
          </w:p>
        </w:tc>
        <w:tc>
          <w:tcPr>
            <w:tcW w:w="100" w:type="dxa"/>
            <w:vAlign w:val="bottom"/>
          </w:tcPr>
          <w:p>
            <w:pPr>
              <w:spacing w:after="0"/>
              <w:rPr>
                <w:sz w:val="16"/>
                <w:szCs w:val="16"/>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483,923</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9"/>
        </w:trPr>
        <w:tc>
          <w:tcPr>
            <w:tcW w:w="90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8/1/2019</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4"/>
              </w:rPr>
              <w:t>7/15/2019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483</w:t>
            </w:r>
          </w:p>
        </w:tc>
        <w:tc>
          <w:tcPr>
            <w:tcW w:w="100" w:type="dxa"/>
            <w:vAlign w:val="bottom"/>
          </w:tcPr>
          <w:p>
            <w:pPr>
              <w:spacing w:after="0"/>
              <w:rPr>
                <w:sz w:val="16"/>
                <w:szCs w:val="16"/>
                <w:color w:val="auto"/>
              </w:rPr>
            </w:pPr>
          </w:p>
        </w:tc>
        <w:tc>
          <w:tcPr>
            <w:tcW w:w="5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1,930</w:t>
            </w:r>
          </w:p>
        </w:tc>
        <w:tc>
          <w:tcPr>
            <w:tcW w:w="120" w:type="dxa"/>
            <w:vAlign w:val="bottom"/>
          </w:tcPr>
          <w:p>
            <w:pPr>
              <w:spacing w:after="0"/>
              <w:rPr>
                <w:sz w:val="16"/>
                <w:szCs w:val="16"/>
                <w:color w:val="auto"/>
              </w:rPr>
            </w:pPr>
          </w:p>
        </w:tc>
        <w:tc>
          <w:tcPr>
            <w:tcW w:w="78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3,860</w:t>
            </w:r>
          </w:p>
        </w:tc>
      </w:tr>
      <w:tr>
        <w:trPr>
          <w:trHeight w:val="189"/>
        </w:trPr>
        <w:tc>
          <w:tcPr>
            <w:tcW w:w="90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9/20/2019</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4"/>
              </w:rPr>
              <w:t>7/15/2019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9"/>
        </w:trPr>
        <w:tc>
          <w:tcPr>
            <w:tcW w:w="90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9/20/2019</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4"/>
              </w:rPr>
              <w:t>7/15/2019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9"/>
        </w:trPr>
        <w:tc>
          <w:tcPr>
            <w:tcW w:w="900" w:type="dxa"/>
            <w:vAlign w:val="bottom"/>
          </w:tcPr>
          <w:p>
            <w:pPr>
              <w:spacing w:after="0"/>
              <w:rPr>
                <w:sz w:val="20"/>
                <w:szCs w:val="20"/>
                <w:color w:val="auto"/>
              </w:rPr>
            </w:pPr>
            <w:r>
              <w:rPr>
                <w:rFonts w:ascii="Times New Roman" w:cs="Times New Roman" w:eastAsia="Times New Roman" w:hAnsi="Times New Roman"/>
                <w:sz w:val="12"/>
                <w:szCs w:val="12"/>
                <w:color w:val="auto"/>
              </w:rPr>
              <w:t>R.R. Shaller</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244,428</w:t>
            </w:r>
          </w:p>
        </w:tc>
        <w:tc>
          <w:tcPr>
            <w:tcW w:w="100" w:type="dxa"/>
            <w:vAlign w:val="bottom"/>
          </w:tcPr>
          <w:p>
            <w:pPr>
              <w:spacing w:after="0"/>
              <w:rPr>
                <w:sz w:val="16"/>
                <w:szCs w:val="16"/>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705,785</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9"/>
        </w:trPr>
        <w:tc>
          <w:tcPr>
            <w:tcW w:w="90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8/1/2019</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4"/>
              </w:rPr>
              <w:t>7/15/2019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1,045</w:t>
            </w:r>
          </w:p>
        </w:tc>
        <w:tc>
          <w:tcPr>
            <w:tcW w:w="100" w:type="dxa"/>
            <w:vAlign w:val="bottom"/>
          </w:tcPr>
          <w:p>
            <w:pPr>
              <w:spacing w:after="0"/>
              <w:rPr>
                <w:sz w:val="16"/>
                <w:szCs w:val="16"/>
                <w:color w:val="auto"/>
              </w:rPr>
            </w:pPr>
          </w:p>
        </w:tc>
        <w:tc>
          <w:tcPr>
            <w:tcW w:w="5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4,181</w:t>
            </w:r>
          </w:p>
        </w:tc>
        <w:tc>
          <w:tcPr>
            <w:tcW w:w="120" w:type="dxa"/>
            <w:vAlign w:val="bottom"/>
          </w:tcPr>
          <w:p>
            <w:pPr>
              <w:spacing w:after="0"/>
              <w:rPr>
                <w:sz w:val="16"/>
                <w:szCs w:val="16"/>
                <w:color w:val="auto"/>
              </w:rPr>
            </w:pPr>
          </w:p>
        </w:tc>
        <w:tc>
          <w:tcPr>
            <w:tcW w:w="78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8,362</w:t>
            </w:r>
          </w:p>
        </w:tc>
      </w:tr>
      <w:tr>
        <w:trPr>
          <w:trHeight w:val="189"/>
        </w:trPr>
        <w:tc>
          <w:tcPr>
            <w:tcW w:w="90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9/20/2019</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4"/>
              </w:rPr>
              <w:t>7/15/2019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9"/>
        </w:trPr>
        <w:tc>
          <w:tcPr>
            <w:tcW w:w="90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9/20/2019</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4"/>
              </w:rPr>
              <w:t>7/15/2019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9"/>
        </w:trPr>
        <w:tc>
          <w:tcPr>
            <w:tcW w:w="90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9/20/2019</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4"/>
              </w:rPr>
              <w:t>7/15/2019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9"/>
        </w:trPr>
        <w:tc>
          <w:tcPr>
            <w:tcW w:w="900" w:type="dxa"/>
            <w:vAlign w:val="bottom"/>
          </w:tcPr>
          <w:p>
            <w:pPr>
              <w:spacing w:after="0"/>
              <w:rPr>
                <w:sz w:val="20"/>
                <w:szCs w:val="20"/>
                <w:color w:val="auto"/>
              </w:rPr>
            </w:pPr>
            <w:r>
              <w:rPr>
                <w:rFonts w:ascii="Times New Roman" w:cs="Times New Roman" w:eastAsia="Times New Roman" w:hAnsi="Times New Roman"/>
                <w:sz w:val="12"/>
                <w:szCs w:val="12"/>
                <w:color w:val="auto"/>
              </w:rPr>
              <w:t>L.T. Bolognini</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159,928</w:t>
            </w:r>
          </w:p>
        </w:tc>
        <w:tc>
          <w:tcPr>
            <w:tcW w:w="100" w:type="dxa"/>
            <w:vAlign w:val="bottom"/>
          </w:tcPr>
          <w:p>
            <w:pPr>
              <w:spacing w:after="0"/>
              <w:rPr>
                <w:sz w:val="16"/>
                <w:szCs w:val="16"/>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461,793</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9"/>
        </w:trPr>
        <w:tc>
          <w:tcPr>
            <w:tcW w:w="90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8/1/2019</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4"/>
              </w:rPr>
              <w:t>7/15/2019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483</w:t>
            </w:r>
          </w:p>
        </w:tc>
        <w:tc>
          <w:tcPr>
            <w:tcW w:w="100" w:type="dxa"/>
            <w:vAlign w:val="bottom"/>
          </w:tcPr>
          <w:p>
            <w:pPr>
              <w:spacing w:after="0"/>
              <w:rPr>
                <w:sz w:val="16"/>
                <w:szCs w:val="16"/>
                <w:color w:val="auto"/>
              </w:rPr>
            </w:pPr>
          </w:p>
        </w:tc>
        <w:tc>
          <w:tcPr>
            <w:tcW w:w="5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1,930</w:t>
            </w:r>
          </w:p>
        </w:tc>
        <w:tc>
          <w:tcPr>
            <w:tcW w:w="120" w:type="dxa"/>
            <w:vAlign w:val="bottom"/>
          </w:tcPr>
          <w:p>
            <w:pPr>
              <w:spacing w:after="0"/>
              <w:rPr>
                <w:sz w:val="16"/>
                <w:szCs w:val="16"/>
                <w:color w:val="auto"/>
              </w:rPr>
            </w:pPr>
          </w:p>
        </w:tc>
        <w:tc>
          <w:tcPr>
            <w:tcW w:w="78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3,860</w:t>
            </w:r>
          </w:p>
        </w:tc>
      </w:tr>
      <w:tr>
        <w:trPr>
          <w:trHeight w:val="189"/>
        </w:trPr>
        <w:tc>
          <w:tcPr>
            <w:tcW w:w="90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9/20/2019</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4"/>
              </w:rPr>
              <w:t>7/15/2019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9"/>
        </w:trPr>
        <w:tc>
          <w:tcPr>
            <w:tcW w:w="90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9/20/2019</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4"/>
              </w:rPr>
              <w:t>7/15/2019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9"/>
        </w:trPr>
        <w:tc>
          <w:tcPr>
            <w:tcW w:w="900" w:type="dxa"/>
            <w:vAlign w:val="bottom"/>
          </w:tcPr>
          <w:p>
            <w:pPr>
              <w:spacing w:after="0"/>
              <w:rPr>
                <w:sz w:val="20"/>
                <w:szCs w:val="20"/>
                <w:color w:val="auto"/>
              </w:rPr>
            </w:pPr>
            <w:r>
              <w:rPr>
                <w:rFonts w:ascii="Times New Roman" w:cs="Times New Roman" w:eastAsia="Times New Roman" w:hAnsi="Times New Roman"/>
                <w:sz w:val="12"/>
                <w:szCs w:val="12"/>
                <w:color w:val="auto"/>
              </w:rPr>
              <w:t>T.J. Felmer</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152,090</w:t>
            </w:r>
          </w:p>
        </w:tc>
        <w:tc>
          <w:tcPr>
            <w:tcW w:w="100" w:type="dxa"/>
            <w:vAlign w:val="bottom"/>
          </w:tcPr>
          <w:p>
            <w:pPr>
              <w:spacing w:after="0"/>
              <w:rPr>
                <w:sz w:val="16"/>
                <w:szCs w:val="16"/>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439,160</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9"/>
        </w:trPr>
        <w:tc>
          <w:tcPr>
            <w:tcW w:w="90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8/1/2019</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4"/>
              </w:rPr>
              <w:t>7/15/2019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724</w:t>
            </w:r>
          </w:p>
        </w:tc>
        <w:tc>
          <w:tcPr>
            <w:tcW w:w="100" w:type="dxa"/>
            <w:vAlign w:val="bottom"/>
          </w:tcPr>
          <w:p>
            <w:pPr>
              <w:spacing w:after="0"/>
              <w:rPr>
                <w:sz w:val="16"/>
                <w:szCs w:val="16"/>
                <w:color w:val="auto"/>
              </w:rPr>
            </w:pPr>
          </w:p>
        </w:tc>
        <w:tc>
          <w:tcPr>
            <w:tcW w:w="5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2,895</w:t>
            </w:r>
          </w:p>
        </w:tc>
        <w:tc>
          <w:tcPr>
            <w:tcW w:w="120" w:type="dxa"/>
            <w:vAlign w:val="bottom"/>
          </w:tcPr>
          <w:p>
            <w:pPr>
              <w:spacing w:after="0"/>
              <w:rPr>
                <w:sz w:val="16"/>
                <w:szCs w:val="16"/>
                <w:color w:val="auto"/>
              </w:rPr>
            </w:pPr>
          </w:p>
        </w:tc>
        <w:tc>
          <w:tcPr>
            <w:tcW w:w="78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5,790</w:t>
            </w:r>
          </w:p>
        </w:tc>
      </w:tr>
      <w:tr>
        <w:trPr>
          <w:trHeight w:val="189"/>
        </w:trPr>
        <w:tc>
          <w:tcPr>
            <w:tcW w:w="90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9/20/2019</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4"/>
              </w:rPr>
              <w:t>7/15/2019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9"/>
        </w:trPr>
        <w:tc>
          <w:tcPr>
            <w:tcW w:w="90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10/15/2019</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4"/>
              </w:rPr>
              <w:t>9/11/2019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9"/>
        </w:trPr>
        <w:tc>
          <w:tcPr>
            <w:tcW w:w="90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10/15/2019</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4"/>
              </w:rPr>
              <w:t>9/11/2019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9"/>
        </w:trPr>
        <w:tc>
          <w:tcPr>
            <w:tcW w:w="90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10/15/2019</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4"/>
              </w:rPr>
              <w:t>9/11/2019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9"/>
        </w:trPr>
        <w:tc>
          <w:tcPr>
            <w:tcW w:w="90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10/15/2019</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4"/>
              </w:rPr>
              <w:t>9/11/2019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-3835400</wp:posOffset>
            </wp:positionV>
            <wp:extent cx="7132320" cy="1289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-3587115</wp:posOffset>
            </wp:positionV>
            <wp:extent cx="7132320" cy="1200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-3347085</wp:posOffset>
            </wp:positionV>
            <wp:extent cx="7132320" cy="1200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-3107055</wp:posOffset>
            </wp:positionV>
            <wp:extent cx="7132320" cy="1200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-2867025</wp:posOffset>
            </wp:positionV>
            <wp:extent cx="7132320" cy="1200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-2626995</wp:posOffset>
            </wp:positionV>
            <wp:extent cx="7132320" cy="1200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-2386965</wp:posOffset>
            </wp:positionV>
            <wp:extent cx="7132320" cy="1200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-2146935</wp:posOffset>
            </wp:positionV>
            <wp:extent cx="7132320" cy="1200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-1906905</wp:posOffset>
            </wp:positionV>
            <wp:extent cx="7132320" cy="1200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-1666875</wp:posOffset>
            </wp:positionV>
            <wp:extent cx="7132320" cy="1200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-1426845</wp:posOffset>
            </wp:positionV>
            <wp:extent cx="7132320" cy="1200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-1186815</wp:posOffset>
            </wp:positionV>
            <wp:extent cx="7132320" cy="1200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-946785</wp:posOffset>
            </wp:positionV>
            <wp:extent cx="7132320" cy="1200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-706755</wp:posOffset>
            </wp:positionV>
            <wp:extent cx="7132320" cy="1200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-466725</wp:posOffset>
            </wp:positionV>
            <wp:extent cx="7132320" cy="1200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-226695</wp:posOffset>
            </wp:positionV>
            <wp:extent cx="7132320" cy="1200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7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All Other</w:t>
            </w:r>
          </w:p>
        </w:tc>
        <w:tc>
          <w:tcPr>
            <w:tcW w:w="26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All Other</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35"/>
        </w:trPr>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Stock</w:t>
            </w:r>
          </w:p>
        </w:tc>
        <w:tc>
          <w:tcPr>
            <w:tcW w:w="26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4"/>
              </w:rPr>
              <w:t>Option</w:t>
            </w:r>
          </w:p>
        </w:tc>
        <w:tc>
          <w:tcPr>
            <w:tcW w:w="300" w:type="dxa"/>
            <w:vAlign w:val="bottom"/>
          </w:tcPr>
          <w:p>
            <w:pPr>
              <w:spacing w:after="0"/>
              <w:rPr>
                <w:sz w:val="11"/>
                <w:szCs w:val="11"/>
                <w:color w:val="auto"/>
              </w:rPr>
            </w:pPr>
          </w:p>
        </w:tc>
        <w:tc>
          <w:tcPr>
            <w:tcW w:w="76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7"/>
              </w:rPr>
              <w:t>Exercise or</w:t>
            </w:r>
          </w:p>
        </w:tc>
        <w:tc>
          <w:tcPr>
            <w:tcW w:w="740" w:type="dxa"/>
            <w:vAlign w:val="bottom"/>
          </w:tcPr>
          <w:p>
            <w:pPr>
              <w:spacing w:after="0"/>
              <w:rPr>
                <w:sz w:val="11"/>
                <w:szCs w:val="11"/>
                <w:color w:val="auto"/>
              </w:rPr>
            </w:pPr>
          </w:p>
        </w:tc>
      </w:tr>
      <w:tr>
        <w:trPr>
          <w:trHeight w:val="135"/>
        </w:trPr>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5"/>
              </w:rPr>
              <w:t>Awards:</w:t>
            </w:r>
          </w:p>
        </w:tc>
        <w:tc>
          <w:tcPr>
            <w:tcW w:w="26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5"/>
              </w:rPr>
              <w:t>Awards:</w:t>
            </w:r>
          </w:p>
        </w:tc>
        <w:tc>
          <w:tcPr>
            <w:tcW w:w="300" w:type="dxa"/>
            <w:vAlign w:val="bottom"/>
          </w:tcPr>
          <w:p>
            <w:pPr>
              <w:spacing w:after="0"/>
              <w:rPr>
                <w:sz w:val="11"/>
                <w:szCs w:val="11"/>
                <w:color w:val="auto"/>
              </w:rPr>
            </w:pPr>
          </w:p>
        </w:tc>
        <w:tc>
          <w:tcPr>
            <w:tcW w:w="76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6"/>
              </w:rPr>
              <w:t>Base Price</w:t>
            </w: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5"/>
              </w:rPr>
              <w:t>Grant Date</w:t>
            </w:r>
          </w:p>
        </w:tc>
      </w:tr>
      <w:tr>
        <w:trPr>
          <w:trHeight w:val="135"/>
        </w:trPr>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6"/>
              </w:rPr>
              <w:t>Number of</w:t>
            </w:r>
          </w:p>
        </w:tc>
        <w:tc>
          <w:tcPr>
            <w:tcW w:w="26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6"/>
              </w:rPr>
              <w:t>Number of</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2"/>
                <w:szCs w:val="12"/>
                <w:b w:val="1"/>
                <w:bCs w:val="1"/>
                <w:color w:val="auto"/>
                <w:w w:val="99"/>
              </w:rPr>
              <w:t>of</w:t>
            </w: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6"/>
              </w:rPr>
              <w:t>Fair Value of</w:t>
            </w:r>
          </w:p>
        </w:tc>
      </w:tr>
      <w:tr>
        <w:trPr>
          <w:trHeight w:val="135"/>
        </w:trPr>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6"/>
              </w:rPr>
              <w:t>Shares of</w:t>
            </w:r>
          </w:p>
        </w:tc>
        <w:tc>
          <w:tcPr>
            <w:tcW w:w="26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9"/>
              </w:rPr>
              <w:t>Securities</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2"/>
                <w:szCs w:val="12"/>
                <w:b w:val="1"/>
                <w:bCs w:val="1"/>
                <w:color w:val="auto"/>
                <w:w w:val="97"/>
              </w:rPr>
              <w:t>Stock or</w:t>
            </w: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Stock and</w:t>
            </w:r>
          </w:p>
        </w:tc>
      </w:tr>
      <w:tr>
        <w:trPr>
          <w:trHeight w:val="135"/>
        </w:trPr>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Stock or</w:t>
            </w:r>
          </w:p>
        </w:tc>
        <w:tc>
          <w:tcPr>
            <w:tcW w:w="26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6"/>
              </w:rPr>
              <w:t>Underlying</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2"/>
                <w:szCs w:val="12"/>
                <w:b w:val="1"/>
                <w:bCs w:val="1"/>
                <w:color w:val="auto"/>
                <w:w w:val="94"/>
              </w:rPr>
              <w:t>Option</w:t>
            </w: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4"/>
              </w:rPr>
              <w:t>Option</w:t>
            </w:r>
          </w:p>
        </w:tc>
      </w:tr>
      <w:tr>
        <w:trPr>
          <w:trHeight w:val="135"/>
        </w:trPr>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4"/>
              </w:rPr>
              <w:t>Units</w:t>
            </w:r>
          </w:p>
        </w:tc>
        <w:tc>
          <w:tcPr>
            <w:tcW w:w="26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8"/>
              </w:rPr>
              <w:t>Options</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2"/>
                <w:szCs w:val="12"/>
                <w:b w:val="1"/>
                <w:bCs w:val="1"/>
                <w:color w:val="auto"/>
                <w:w w:val="94"/>
              </w:rPr>
              <w:t>Awards</w:t>
            </w: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4"/>
              </w:rPr>
              <w:t>Awards</w:t>
            </w:r>
          </w:p>
        </w:tc>
      </w:tr>
      <w:tr>
        <w:trPr>
          <w:trHeight w:val="166"/>
        </w:trPr>
        <w:tc>
          <w:tcPr>
            <w:tcW w:w="7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 (3)</w:t>
            </w:r>
          </w:p>
        </w:tc>
        <w:tc>
          <w:tcPr>
            <w:tcW w:w="1080" w:type="dxa"/>
            <w:vAlign w:val="bottom"/>
            <w:gridSpan w:val="2"/>
          </w:tcPr>
          <w:p>
            <w:pPr>
              <w:jc w:val="center"/>
              <w:ind w:left="202"/>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center"/>
              <w:ind w:right="22"/>
              <w:spacing w:after="0"/>
              <w:rPr>
                <w:sz w:val="20"/>
                <w:szCs w:val="20"/>
                <w:color w:val="auto"/>
              </w:rPr>
            </w:pPr>
            <w:r>
              <w:rPr>
                <w:rFonts w:ascii="Times New Roman" w:cs="Times New Roman" w:eastAsia="Times New Roman" w:hAnsi="Times New Roman"/>
                <w:sz w:val="12"/>
                <w:szCs w:val="12"/>
                <w:b w:val="1"/>
                <w:bCs w:val="1"/>
                <w:color w:val="auto"/>
                <w:w w:val="96"/>
              </w:rPr>
              <w:t>($) (4)</w:t>
            </w: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r>
      <w:tr>
        <w:trPr>
          <w:trHeight w:val="358"/>
        </w:trPr>
        <w:tc>
          <w:tcPr>
            <w:tcW w:w="7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75.00</w:t>
            </w:r>
          </w:p>
        </w:tc>
        <w:tc>
          <w:tcPr>
            <w:tcW w:w="120" w:type="dxa"/>
            <w:vAlign w:val="bottom"/>
          </w:tcPr>
          <w:p>
            <w:pPr>
              <w:spacing w:after="0"/>
              <w:rPr>
                <w:sz w:val="24"/>
                <w:szCs w:val="24"/>
                <w:color w:val="auto"/>
              </w:rPr>
            </w:pPr>
          </w:p>
        </w:tc>
        <w:tc>
          <w:tcPr>
            <w:tcW w:w="74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  1,447,050</w:t>
            </w:r>
          </w:p>
        </w:tc>
      </w:tr>
      <w:tr>
        <w:trPr>
          <w:trHeight w:val="189"/>
        </w:trPr>
        <w:tc>
          <w:tcPr>
            <w:tcW w:w="74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18,502</w:t>
            </w: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54.05</w:t>
            </w:r>
          </w:p>
        </w:tc>
        <w:tc>
          <w:tcPr>
            <w:tcW w:w="120" w:type="dxa"/>
            <w:vAlign w:val="bottom"/>
          </w:tcPr>
          <w:p>
            <w:pPr>
              <w:spacing w:after="0"/>
              <w:rPr>
                <w:sz w:val="16"/>
                <w:szCs w:val="16"/>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1,000,033</w:t>
            </w:r>
          </w:p>
        </w:tc>
      </w:tr>
      <w:tr>
        <w:trPr>
          <w:trHeight w:val="189"/>
        </w:trPr>
        <w:tc>
          <w:tcPr>
            <w:tcW w:w="740" w:type="dxa"/>
            <w:vAlign w:val="bottom"/>
          </w:tcPr>
          <w:p>
            <w:pPr>
              <w:spacing w:after="0"/>
              <w:rPr>
                <w:sz w:val="16"/>
                <w:szCs w:val="16"/>
                <w:color w:val="auto"/>
              </w:rPr>
            </w:pPr>
          </w:p>
        </w:tc>
        <w:tc>
          <w:tcPr>
            <w:tcW w:w="1080" w:type="dxa"/>
            <w:vAlign w:val="bottom"/>
            <w:gridSpan w:val="2"/>
          </w:tcPr>
          <w:p>
            <w:pPr>
              <w:jc w:val="right"/>
              <w:ind w:right="2"/>
              <w:spacing w:after="0"/>
              <w:rPr>
                <w:sz w:val="20"/>
                <w:szCs w:val="20"/>
                <w:color w:val="auto"/>
              </w:rPr>
            </w:pPr>
            <w:r>
              <w:rPr>
                <w:rFonts w:ascii="Times New Roman" w:cs="Times New Roman" w:eastAsia="Times New Roman" w:hAnsi="Times New Roman"/>
                <w:sz w:val="12"/>
                <w:szCs w:val="12"/>
                <w:color w:val="auto"/>
              </w:rPr>
              <w:t>92,936</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54.05</w:t>
            </w:r>
          </w:p>
        </w:tc>
        <w:tc>
          <w:tcPr>
            <w:tcW w:w="120" w:type="dxa"/>
            <w:vAlign w:val="bottom"/>
          </w:tcPr>
          <w:p>
            <w:pPr>
              <w:spacing w:after="0"/>
              <w:rPr>
                <w:sz w:val="16"/>
                <w:szCs w:val="16"/>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1,000,001</w:t>
            </w:r>
          </w:p>
        </w:tc>
      </w:tr>
      <w:tr>
        <w:trPr>
          <w:trHeight w:val="378"/>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75.00</w:t>
            </w:r>
          </w:p>
        </w:tc>
        <w:tc>
          <w:tcPr>
            <w:tcW w:w="120" w:type="dxa"/>
            <w:vAlign w:val="bottom"/>
          </w:tcPr>
          <w:p>
            <w:pPr>
              <w:spacing w:after="0"/>
              <w:rPr>
                <w:sz w:val="24"/>
                <w:szCs w:val="24"/>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424,500</w:t>
            </w:r>
          </w:p>
        </w:tc>
      </w:tr>
      <w:tr>
        <w:trPr>
          <w:trHeight w:val="189"/>
        </w:trPr>
        <w:tc>
          <w:tcPr>
            <w:tcW w:w="74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5,428</w:t>
            </w: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54.05</w:t>
            </w:r>
          </w:p>
        </w:tc>
        <w:tc>
          <w:tcPr>
            <w:tcW w:w="120" w:type="dxa"/>
            <w:vAlign w:val="bottom"/>
          </w:tcPr>
          <w:p>
            <w:pPr>
              <w:spacing w:after="0"/>
              <w:rPr>
                <w:sz w:val="16"/>
                <w:szCs w:val="16"/>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293,383</w:t>
            </w:r>
          </w:p>
        </w:tc>
      </w:tr>
      <w:tr>
        <w:trPr>
          <w:trHeight w:val="189"/>
        </w:trPr>
        <w:tc>
          <w:tcPr>
            <w:tcW w:w="740" w:type="dxa"/>
            <w:vAlign w:val="bottom"/>
          </w:tcPr>
          <w:p>
            <w:pPr>
              <w:spacing w:after="0"/>
              <w:rPr>
                <w:sz w:val="16"/>
                <w:szCs w:val="16"/>
                <w:color w:val="auto"/>
              </w:rPr>
            </w:pPr>
          </w:p>
        </w:tc>
        <w:tc>
          <w:tcPr>
            <w:tcW w:w="1080" w:type="dxa"/>
            <w:vAlign w:val="bottom"/>
            <w:gridSpan w:val="2"/>
          </w:tcPr>
          <w:p>
            <w:pPr>
              <w:jc w:val="right"/>
              <w:ind w:right="2"/>
              <w:spacing w:after="0"/>
              <w:rPr>
                <w:sz w:val="20"/>
                <w:szCs w:val="20"/>
                <w:color w:val="auto"/>
              </w:rPr>
            </w:pPr>
            <w:r>
              <w:rPr>
                <w:rFonts w:ascii="Times New Roman" w:cs="Times New Roman" w:eastAsia="Times New Roman" w:hAnsi="Times New Roman"/>
                <w:sz w:val="12"/>
                <w:szCs w:val="12"/>
                <w:color w:val="auto"/>
              </w:rPr>
              <w:t>27,262</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54.05</w:t>
            </w:r>
          </w:p>
        </w:tc>
        <w:tc>
          <w:tcPr>
            <w:tcW w:w="120" w:type="dxa"/>
            <w:vAlign w:val="bottom"/>
          </w:tcPr>
          <w:p>
            <w:pPr>
              <w:spacing w:after="0"/>
              <w:rPr>
                <w:sz w:val="16"/>
                <w:szCs w:val="16"/>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293,342</w:t>
            </w:r>
          </w:p>
        </w:tc>
      </w:tr>
      <w:tr>
        <w:trPr>
          <w:trHeight w:val="378"/>
        </w:trPr>
        <w:tc>
          <w:tcPr>
            <w:tcW w:w="74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602</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54.05</w:t>
            </w:r>
          </w:p>
        </w:tc>
        <w:tc>
          <w:tcPr>
            <w:tcW w:w="120" w:type="dxa"/>
            <w:vAlign w:val="bottom"/>
          </w:tcPr>
          <w:p>
            <w:pPr>
              <w:spacing w:after="0"/>
              <w:rPr>
                <w:sz w:val="24"/>
                <w:szCs w:val="24"/>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32,538</w:t>
            </w:r>
          </w:p>
        </w:tc>
      </w:tr>
      <w:tr>
        <w:trPr>
          <w:trHeight w:val="189"/>
        </w:trPr>
        <w:tc>
          <w:tcPr>
            <w:tcW w:w="740" w:type="dxa"/>
            <w:vAlign w:val="bottom"/>
          </w:tcPr>
          <w:p>
            <w:pPr>
              <w:spacing w:after="0"/>
              <w:rPr>
                <w:sz w:val="16"/>
                <w:szCs w:val="16"/>
                <w:color w:val="auto"/>
              </w:rPr>
            </w:pPr>
          </w:p>
        </w:tc>
        <w:tc>
          <w:tcPr>
            <w:tcW w:w="1080" w:type="dxa"/>
            <w:vAlign w:val="bottom"/>
            <w:gridSpan w:val="2"/>
          </w:tcPr>
          <w:p>
            <w:pPr>
              <w:jc w:val="right"/>
              <w:ind w:right="2"/>
              <w:spacing w:after="0"/>
              <w:rPr>
                <w:sz w:val="20"/>
                <w:szCs w:val="20"/>
                <w:color w:val="auto"/>
              </w:rPr>
            </w:pPr>
            <w:r>
              <w:rPr>
                <w:rFonts w:ascii="Times New Roman" w:cs="Times New Roman" w:eastAsia="Times New Roman" w:hAnsi="Times New Roman"/>
                <w:sz w:val="12"/>
                <w:szCs w:val="12"/>
                <w:color w:val="auto"/>
              </w:rPr>
              <w:t>3,122</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54.05</w:t>
            </w:r>
          </w:p>
        </w:tc>
        <w:tc>
          <w:tcPr>
            <w:tcW w:w="120" w:type="dxa"/>
            <w:vAlign w:val="bottom"/>
          </w:tcPr>
          <w:p>
            <w:pPr>
              <w:spacing w:after="0"/>
              <w:rPr>
                <w:sz w:val="16"/>
                <w:szCs w:val="16"/>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32,501</w:t>
            </w:r>
          </w:p>
        </w:tc>
      </w:tr>
      <w:tr>
        <w:trPr>
          <w:trHeight w:val="189"/>
        </w:trPr>
        <w:tc>
          <w:tcPr>
            <w:tcW w:w="74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1,307</w:t>
            </w:r>
          </w:p>
        </w:tc>
        <w:tc>
          <w:tcPr>
            <w:tcW w:w="26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w w:val="85"/>
              </w:rPr>
              <w:t>(5)</w:t>
            </w: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57.42</w:t>
            </w:r>
          </w:p>
        </w:tc>
        <w:tc>
          <w:tcPr>
            <w:tcW w:w="120" w:type="dxa"/>
            <w:vAlign w:val="bottom"/>
          </w:tcPr>
          <w:p>
            <w:pPr>
              <w:spacing w:after="0"/>
              <w:rPr>
                <w:sz w:val="16"/>
                <w:szCs w:val="16"/>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75,048</w:t>
            </w:r>
          </w:p>
        </w:tc>
      </w:tr>
      <w:tr>
        <w:trPr>
          <w:trHeight w:val="378"/>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75.00</w:t>
            </w:r>
          </w:p>
        </w:tc>
        <w:tc>
          <w:tcPr>
            <w:tcW w:w="120" w:type="dxa"/>
            <w:vAlign w:val="bottom"/>
          </w:tcPr>
          <w:p>
            <w:pPr>
              <w:spacing w:after="0"/>
              <w:rPr>
                <w:sz w:val="24"/>
                <w:szCs w:val="24"/>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144,750</w:t>
            </w:r>
          </w:p>
        </w:tc>
      </w:tr>
      <w:tr>
        <w:trPr>
          <w:trHeight w:val="189"/>
        </w:trPr>
        <w:tc>
          <w:tcPr>
            <w:tcW w:w="74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1,851</w:t>
            </w: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54.05</w:t>
            </w:r>
          </w:p>
        </w:tc>
        <w:tc>
          <w:tcPr>
            <w:tcW w:w="120" w:type="dxa"/>
            <w:vAlign w:val="bottom"/>
          </w:tcPr>
          <w:p>
            <w:pPr>
              <w:spacing w:after="0"/>
              <w:rPr>
                <w:sz w:val="16"/>
                <w:szCs w:val="16"/>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100,047</w:t>
            </w:r>
          </w:p>
        </w:tc>
      </w:tr>
      <w:tr>
        <w:trPr>
          <w:trHeight w:val="189"/>
        </w:trPr>
        <w:tc>
          <w:tcPr>
            <w:tcW w:w="740" w:type="dxa"/>
            <w:vAlign w:val="bottom"/>
          </w:tcPr>
          <w:p>
            <w:pPr>
              <w:spacing w:after="0"/>
              <w:rPr>
                <w:sz w:val="16"/>
                <w:szCs w:val="16"/>
                <w:color w:val="auto"/>
              </w:rPr>
            </w:pPr>
          </w:p>
        </w:tc>
        <w:tc>
          <w:tcPr>
            <w:tcW w:w="1080" w:type="dxa"/>
            <w:vAlign w:val="bottom"/>
            <w:gridSpan w:val="2"/>
          </w:tcPr>
          <w:p>
            <w:pPr>
              <w:jc w:val="right"/>
              <w:ind w:right="2"/>
              <w:spacing w:after="0"/>
              <w:rPr>
                <w:sz w:val="20"/>
                <w:szCs w:val="20"/>
                <w:color w:val="auto"/>
              </w:rPr>
            </w:pPr>
            <w:r>
              <w:rPr>
                <w:rFonts w:ascii="Times New Roman" w:cs="Times New Roman" w:eastAsia="Times New Roman" w:hAnsi="Times New Roman"/>
                <w:sz w:val="12"/>
                <w:szCs w:val="12"/>
                <w:color w:val="auto"/>
              </w:rPr>
              <w:t>9,294</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54.05</w:t>
            </w:r>
          </w:p>
        </w:tc>
        <w:tc>
          <w:tcPr>
            <w:tcW w:w="120" w:type="dxa"/>
            <w:vAlign w:val="bottom"/>
          </w:tcPr>
          <w:p>
            <w:pPr>
              <w:spacing w:after="0"/>
              <w:rPr>
                <w:sz w:val="16"/>
                <w:szCs w:val="16"/>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100,004</w:t>
            </w:r>
          </w:p>
        </w:tc>
      </w:tr>
      <w:tr>
        <w:trPr>
          <w:trHeight w:val="378"/>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75.00</w:t>
            </w:r>
          </w:p>
        </w:tc>
        <w:tc>
          <w:tcPr>
            <w:tcW w:w="120" w:type="dxa"/>
            <w:vAlign w:val="bottom"/>
          </w:tcPr>
          <w:p>
            <w:pPr>
              <w:spacing w:after="0"/>
              <w:rPr>
                <w:sz w:val="24"/>
                <w:szCs w:val="24"/>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313,575</w:t>
            </w:r>
          </w:p>
        </w:tc>
      </w:tr>
      <w:tr>
        <w:trPr>
          <w:trHeight w:val="189"/>
        </w:trPr>
        <w:tc>
          <w:tcPr>
            <w:tcW w:w="74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9,251</w:t>
            </w:r>
          </w:p>
        </w:tc>
        <w:tc>
          <w:tcPr>
            <w:tcW w:w="26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w w:val="85"/>
              </w:rPr>
              <w:t>(5)</w:t>
            </w: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54.05</w:t>
            </w:r>
          </w:p>
        </w:tc>
        <w:tc>
          <w:tcPr>
            <w:tcW w:w="120" w:type="dxa"/>
            <w:vAlign w:val="bottom"/>
          </w:tcPr>
          <w:p>
            <w:pPr>
              <w:spacing w:after="0"/>
              <w:rPr>
                <w:sz w:val="16"/>
                <w:szCs w:val="16"/>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500,017</w:t>
            </w:r>
          </w:p>
        </w:tc>
      </w:tr>
      <w:tr>
        <w:trPr>
          <w:trHeight w:val="189"/>
        </w:trPr>
        <w:tc>
          <w:tcPr>
            <w:tcW w:w="74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4,009</w:t>
            </w: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54.05</w:t>
            </w:r>
          </w:p>
        </w:tc>
        <w:tc>
          <w:tcPr>
            <w:tcW w:w="120" w:type="dxa"/>
            <w:vAlign w:val="bottom"/>
          </w:tcPr>
          <w:p>
            <w:pPr>
              <w:spacing w:after="0"/>
              <w:rPr>
                <w:sz w:val="16"/>
                <w:szCs w:val="16"/>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216,686</w:t>
            </w:r>
          </w:p>
        </w:tc>
      </w:tr>
      <w:tr>
        <w:trPr>
          <w:trHeight w:val="189"/>
        </w:trPr>
        <w:tc>
          <w:tcPr>
            <w:tcW w:w="740" w:type="dxa"/>
            <w:vAlign w:val="bottom"/>
          </w:tcPr>
          <w:p>
            <w:pPr>
              <w:spacing w:after="0"/>
              <w:rPr>
                <w:sz w:val="16"/>
                <w:szCs w:val="16"/>
                <w:color w:val="auto"/>
              </w:rPr>
            </w:pPr>
          </w:p>
        </w:tc>
        <w:tc>
          <w:tcPr>
            <w:tcW w:w="1080" w:type="dxa"/>
            <w:vAlign w:val="bottom"/>
            <w:gridSpan w:val="2"/>
          </w:tcPr>
          <w:p>
            <w:pPr>
              <w:jc w:val="right"/>
              <w:ind w:right="2"/>
              <w:spacing w:after="0"/>
              <w:rPr>
                <w:sz w:val="20"/>
                <w:szCs w:val="20"/>
                <w:color w:val="auto"/>
              </w:rPr>
            </w:pPr>
            <w:r>
              <w:rPr>
                <w:rFonts w:ascii="Times New Roman" w:cs="Times New Roman" w:eastAsia="Times New Roman" w:hAnsi="Times New Roman"/>
                <w:sz w:val="12"/>
                <w:szCs w:val="12"/>
                <w:color w:val="auto"/>
              </w:rPr>
              <w:t>20,137</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54.05</w:t>
            </w:r>
          </w:p>
        </w:tc>
        <w:tc>
          <w:tcPr>
            <w:tcW w:w="120" w:type="dxa"/>
            <w:vAlign w:val="bottom"/>
          </w:tcPr>
          <w:p>
            <w:pPr>
              <w:spacing w:after="0"/>
              <w:rPr>
                <w:sz w:val="16"/>
                <w:szCs w:val="16"/>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216,676</w:t>
            </w:r>
          </w:p>
        </w:tc>
      </w:tr>
      <w:tr>
        <w:trPr>
          <w:trHeight w:val="378"/>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75.00</w:t>
            </w:r>
          </w:p>
        </w:tc>
        <w:tc>
          <w:tcPr>
            <w:tcW w:w="120" w:type="dxa"/>
            <w:vAlign w:val="bottom"/>
          </w:tcPr>
          <w:p>
            <w:pPr>
              <w:spacing w:after="0"/>
              <w:rPr>
                <w:sz w:val="24"/>
                <w:szCs w:val="24"/>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156,825</w:t>
            </w:r>
          </w:p>
        </w:tc>
      </w:tr>
      <w:tr>
        <w:trPr>
          <w:trHeight w:val="189"/>
        </w:trPr>
        <w:tc>
          <w:tcPr>
            <w:tcW w:w="74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2,005</w:t>
            </w: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54.05</w:t>
            </w:r>
          </w:p>
        </w:tc>
        <w:tc>
          <w:tcPr>
            <w:tcW w:w="120" w:type="dxa"/>
            <w:vAlign w:val="bottom"/>
          </w:tcPr>
          <w:p>
            <w:pPr>
              <w:spacing w:after="0"/>
              <w:rPr>
                <w:sz w:val="16"/>
                <w:szCs w:val="16"/>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108,370</w:t>
            </w:r>
          </w:p>
        </w:tc>
      </w:tr>
      <w:tr>
        <w:trPr>
          <w:trHeight w:val="189"/>
        </w:trPr>
        <w:tc>
          <w:tcPr>
            <w:tcW w:w="740" w:type="dxa"/>
            <w:vAlign w:val="bottom"/>
          </w:tcPr>
          <w:p>
            <w:pPr>
              <w:spacing w:after="0"/>
              <w:rPr>
                <w:sz w:val="16"/>
                <w:szCs w:val="16"/>
                <w:color w:val="auto"/>
              </w:rPr>
            </w:pPr>
          </w:p>
        </w:tc>
        <w:tc>
          <w:tcPr>
            <w:tcW w:w="1080" w:type="dxa"/>
            <w:vAlign w:val="bottom"/>
            <w:gridSpan w:val="2"/>
          </w:tcPr>
          <w:p>
            <w:pPr>
              <w:jc w:val="right"/>
              <w:ind w:right="2"/>
              <w:spacing w:after="0"/>
              <w:rPr>
                <w:sz w:val="20"/>
                <w:szCs w:val="20"/>
                <w:color w:val="auto"/>
              </w:rPr>
            </w:pPr>
            <w:r>
              <w:rPr>
                <w:rFonts w:ascii="Times New Roman" w:cs="Times New Roman" w:eastAsia="Times New Roman" w:hAnsi="Times New Roman"/>
                <w:sz w:val="12"/>
                <w:szCs w:val="12"/>
                <w:color w:val="auto"/>
              </w:rPr>
              <w:t>10,069</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54.05</w:t>
            </w:r>
          </w:p>
        </w:tc>
        <w:tc>
          <w:tcPr>
            <w:tcW w:w="120" w:type="dxa"/>
            <w:vAlign w:val="bottom"/>
          </w:tcPr>
          <w:p>
            <w:pPr>
              <w:spacing w:after="0"/>
              <w:rPr>
                <w:sz w:val="16"/>
                <w:szCs w:val="16"/>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108,344</w:t>
            </w:r>
          </w:p>
        </w:tc>
      </w:tr>
      <w:tr>
        <w:trPr>
          <w:trHeight w:val="378"/>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75.00</w:t>
            </w:r>
          </w:p>
        </w:tc>
        <w:tc>
          <w:tcPr>
            <w:tcW w:w="120" w:type="dxa"/>
            <w:vAlign w:val="bottom"/>
          </w:tcPr>
          <w:p>
            <w:pPr>
              <w:spacing w:after="0"/>
              <w:rPr>
                <w:sz w:val="24"/>
                <w:szCs w:val="24"/>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217,125</w:t>
            </w:r>
          </w:p>
        </w:tc>
      </w:tr>
      <w:tr>
        <w:trPr>
          <w:trHeight w:val="189"/>
        </w:trPr>
        <w:tc>
          <w:tcPr>
            <w:tcW w:w="74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1,851</w:t>
            </w: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54.05</w:t>
            </w:r>
          </w:p>
        </w:tc>
        <w:tc>
          <w:tcPr>
            <w:tcW w:w="120" w:type="dxa"/>
            <w:vAlign w:val="bottom"/>
          </w:tcPr>
          <w:p>
            <w:pPr>
              <w:spacing w:after="0"/>
              <w:rPr>
                <w:sz w:val="16"/>
                <w:szCs w:val="16"/>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100,047</w:t>
            </w:r>
          </w:p>
        </w:tc>
      </w:tr>
      <w:tr>
        <w:trPr>
          <w:trHeight w:val="189"/>
        </w:trPr>
        <w:tc>
          <w:tcPr>
            <w:tcW w:w="74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1,658</w:t>
            </w:r>
          </w:p>
        </w:tc>
        <w:tc>
          <w:tcPr>
            <w:tcW w:w="26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w w:val="85"/>
              </w:rPr>
              <w:t>(6)</w:t>
            </w: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36.85</w:t>
            </w:r>
          </w:p>
        </w:tc>
        <w:tc>
          <w:tcPr>
            <w:tcW w:w="120" w:type="dxa"/>
            <w:vAlign w:val="bottom"/>
          </w:tcPr>
          <w:p>
            <w:pPr>
              <w:spacing w:after="0"/>
              <w:rPr>
                <w:sz w:val="16"/>
                <w:szCs w:val="16"/>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28,862</w:t>
            </w:r>
          </w:p>
        </w:tc>
      </w:tr>
      <w:tr>
        <w:trPr>
          <w:trHeight w:val="189"/>
        </w:trPr>
        <w:tc>
          <w:tcPr>
            <w:tcW w:w="74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2,779</w:t>
            </w:r>
          </w:p>
        </w:tc>
        <w:tc>
          <w:tcPr>
            <w:tcW w:w="26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w w:val="85"/>
              </w:rPr>
              <w:t>(6)</w:t>
            </w: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43.98</w:t>
            </w:r>
          </w:p>
        </w:tc>
        <w:tc>
          <w:tcPr>
            <w:tcW w:w="120" w:type="dxa"/>
            <w:vAlign w:val="bottom"/>
          </w:tcPr>
          <w:p>
            <w:pPr>
              <w:spacing w:after="0"/>
              <w:rPr>
                <w:sz w:val="16"/>
                <w:szCs w:val="16"/>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28,576</w:t>
            </w:r>
          </w:p>
        </w:tc>
      </w:tr>
      <w:tr>
        <w:trPr>
          <w:trHeight w:val="189"/>
        </w:trPr>
        <w:tc>
          <w:tcPr>
            <w:tcW w:w="740" w:type="dxa"/>
            <w:vAlign w:val="bottom"/>
          </w:tcPr>
          <w:p>
            <w:pPr>
              <w:spacing w:after="0"/>
              <w:rPr>
                <w:sz w:val="16"/>
                <w:szCs w:val="16"/>
                <w:color w:val="auto"/>
              </w:rPr>
            </w:pPr>
          </w:p>
        </w:tc>
        <w:tc>
          <w:tcPr>
            <w:tcW w:w="1080" w:type="dxa"/>
            <w:vAlign w:val="bottom"/>
            <w:gridSpan w:val="2"/>
          </w:tcPr>
          <w:p>
            <w:pPr>
              <w:jc w:val="right"/>
              <w:ind w:right="2"/>
              <w:spacing w:after="0"/>
              <w:rPr>
                <w:sz w:val="20"/>
                <w:szCs w:val="20"/>
                <w:color w:val="auto"/>
              </w:rPr>
            </w:pPr>
            <w:r>
              <w:rPr>
                <w:rFonts w:ascii="Times New Roman" w:cs="Times New Roman" w:eastAsia="Times New Roman" w:hAnsi="Times New Roman"/>
                <w:sz w:val="12"/>
                <w:szCs w:val="12"/>
                <w:color w:val="auto"/>
              </w:rPr>
              <w:t>7,098</w:t>
            </w:r>
          </w:p>
        </w:tc>
        <w:tc>
          <w:tcPr>
            <w:tcW w:w="30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w w:val="99"/>
              </w:rPr>
              <w:t>(6)</w:t>
            </w:r>
          </w:p>
        </w:tc>
        <w:tc>
          <w:tcPr>
            <w:tcW w:w="100" w:type="dxa"/>
            <w:vAlign w:val="bottom"/>
          </w:tcPr>
          <w:p>
            <w:pPr>
              <w:spacing w:after="0"/>
              <w:rPr>
                <w:sz w:val="16"/>
                <w:szCs w:val="16"/>
                <w:color w:val="auto"/>
              </w:rPr>
            </w:pPr>
          </w:p>
        </w:tc>
        <w:tc>
          <w:tcPr>
            <w:tcW w:w="5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36.85</w:t>
            </w:r>
          </w:p>
        </w:tc>
        <w:tc>
          <w:tcPr>
            <w:tcW w:w="120" w:type="dxa"/>
            <w:vAlign w:val="bottom"/>
          </w:tcPr>
          <w:p>
            <w:pPr>
              <w:spacing w:after="0"/>
              <w:rPr>
                <w:sz w:val="16"/>
                <w:szCs w:val="16"/>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64,568</w:t>
            </w:r>
          </w:p>
        </w:tc>
      </w:tr>
      <w:tr>
        <w:trPr>
          <w:trHeight w:val="189"/>
        </w:trPr>
        <w:tc>
          <w:tcPr>
            <w:tcW w:w="740" w:type="dxa"/>
            <w:vAlign w:val="bottom"/>
          </w:tcPr>
          <w:p>
            <w:pPr>
              <w:spacing w:after="0"/>
              <w:rPr>
                <w:sz w:val="16"/>
                <w:szCs w:val="16"/>
                <w:color w:val="auto"/>
              </w:rPr>
            </w:pPr>
          </w:p>
        </w:tc>
        <w:tc>
          <w:tcPr>
            <w:tcW w:w="1080" w:type="dxa"/>
            <w:vAlign w:val="bottom"/>
            <w:gridSpan w:val="2"/>
          </w:tcPr>
          <w:p>
            <w:pPr>
              <w:jc w:val="right"/>
              <w:ind w:right="2"/>
              <w:spacing w:after="0"/>
              <w:rPr>
                <w:sz w:val="20"/>
                <w:szCs w:val="20"/>
                <w:color w:val="auto"/>
              </w:rPr>
            </w:pPr>
            <w:r>
              <w:rPr>
                <w:rFonts w:ascii="Times New Roman" w:cs="Times New Roman" w:eastAsia="Times New Roman" w:hAnsi="Times New Roman"/>
                <w:sz w:val="12"/>
                <w:szCs w:val="12"/>
                <w:color w:val="auto"/>
              </w:rPr>
              <w:t>12,416</w:t>
            </w:r>
          </w:p>
        </w:tc>
        <w:tc>
          <w:tcPr>
            <w:tcW w:w="30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w w:val="99"/>
              </w:rPr>
              <w:t>(6)</w:t>
            </w:r>
          </w:p>
        </w:tc>
        <w:tc>
          <w:tcPr>
            <w:tcW w:w="100" w:type="dxa"/>
            <w:vAlign w:val="bottom"/>
          </w:tcPr>
          <w:p>
            <w:pPr>
              <w:spacing w:after="0"/>
              <w:rPr>
                <w:sz w:val="16"/>
                <w:szCs w:val="16"/>
                <w:color w:val="auto"/>
              </w:rPr>
            </w:pPr>
          </w:p>
        </w:tc>
        <w:tc>
          <w:tcPr>
            <w:tcW w:w="5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43.98</w:t>
            </w:r>
          </w:p>
        </w:tc>
        <w:tc>
          <w:tcPr>
            <w:tcW w:w="120" w:type="dxa"/>
            <w:vAlign w:val="bottom"/>
          </w:tcPr>
          <w:p>
            <w:pPr>
              <w:spacing w:after="0"/>
              <w:rPr>
                <w:sz w:val="16"/>
                <w:szCs w:val="16"/>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56,721</w:t>
            </w:r>
          </w:p>
        </w:tc>
      </w:tr>
    </w:tbl>
    <w:p>
      <w:pPr>
        <w:spacing w:after="0" w:line="164" w:lineRule="exact"/>
        <w:rPr>
          <w:sz w:val="20"/>
          <w:szCs w:val="20"/>
          <w:color w:val="auto"/>
        </w:rPr>
      </w:pPr>
    </w:p>
    <w:p>
      <w:pPr>
        <w:sectPr>
          <w:pgSz w:w="11900" w:h="16838" w:orient="portrait"/>
          <w:cols w:equalWidth="0" w:num="2">
            <w:col w:w="7520" w:space="100"/>
            <w:col w:w="3620"/>
          </w:cols>
          <w:pgMar w:left="320" w:top="118" w:right="339" w:bottom="1440" w:gutter="0" w:footer="0" w:header="0"/>
          <w:type w:val="continuous"/>
        </w:sectPr>
      </w:pPr>
    </w:p>
    <w:p>
      <w:pPr>
        <w:jc w:val="both"/>
        <w:ind w:left="660" w:right="20" w:hanging="328"/>
        <w:spacing w:after="0" w:line="257" w:lineRule="auto"/>
        <w:tabs>
          <w:tab w:leader="none" w:pos="65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its May 2019 meeting, the Management Development and Compensation Committee approved the values of the annual cash incentive award under the Company's annual cash incentive plan. The structure of the plan is described in the Compensation Discussion and Analysis above and was set prior to the beginning of the fiscal year.</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represents performance-based restricted stock units awarded on August 1, 2019, as part of the annual fiscal 2020 equity grant. Payout opportunities will range from 0% to 200% of the target award. Target payout is set at 100% of award value, with threshold and maximum payouts set at 25% and 200% of target award value, respectively.</w:t>
      </w:r>
    </w:p>
    <w:p>
      <w:pPr>
        <w:spacing w:after="0" w:line="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time-based RSU awards vest equally over three years.</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or base price for awards granted on August 1, 2019, is based on a third-party valuation involving the use of a Monte Carlo simulation. The remaining awards' exercise price or base price is the average of the high and</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79" w:name="page80"/>
    <w:bookmarkEnd w:id="79"/>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low prices of the Company’s Class A Common Stock as reported by the New York Stock Exchange on the date of the grant.</w:t>
      </w:r>
    </w:p>
    <w:p>
      <w:pPr>
        <w:spacing w:after="0" w:line="27" w:lineRule="exact"/>
        <w:rPr>
          <w:sz w:val="20"/>
          <w:szCs w:val="20"/>
          <w:color w:val="auto"/>
        </w:rPr>
      </w:pPr>
    </w:p>
    <w:p>
      <w:pPr>
        <w:ind w:left="660" w:hanging="328"/>
        <w:spacing w:after="0" w:line="250" w:lineRule="auto"/>
        <w:tabs>
          <w:tab w:leader="none" w:pos="65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Time-based RSUs granted to Messrs. Deman and Shaller during fiscal 2020 for retention purposes vest in installments of 10%, 20%, 30%, and 40% on the first, second, third, and fourth anniversaries of the grant date.</w:t>
      </w:r>
    </w:p>
    <w:p>
      <w:pPr>
        <w:jc w:val="both"/>
        <w:ind w:left="660" w:hanging="328"/>
        <w:spacing w:after="0" w:line="255" w:lineRule="auto"/>
        <w:tabs>
          <w:tab w:leader="none" w:pos="65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written retirement agreement the Company entered into with Mr. Felmer on October 15, 2020 provided for the modification of vesting conditions for certain of Mr. Felmer's outstanding equity awards. Under the agreement, unvested stock options and restricted stock units granted on September 22, 2017 and September 25, 2018 would vest 100% and 50%, respectively, effective on the retirement date.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0" w:name="page81"/>
    <w:bookmarkEnd w:id="80"/>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Outstanding Equity Awards at July 31, 2020</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20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3"/>
          </w:tcPr>
          <w:p>
            <w:pPr>
              <w:jc w:val="right"/>
              <w:ind w:right="637"/>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4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42"/>
        </w:trPr>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5"/>
              </w:rPr>
              <w:t>Equity Incentive</w:t>
            </w:r>
          </w:p>
        </w:tc>
        <w:tc>
          <w:tcPr>
            <w:tcW w:w="420" w:type="dxa"/>
            <w:vAlign w:val="bottom"/>
          </w:tcPr>
          <w:p>
            <w:pPr>
              <w:spacing w:after="0"/>
              <w:rPr>
                <w:sz w:val="12"/>
                <w:szCs w:val="12"/>
                <w:color w:val="auto"/>
              </w:rPr>
            </w:pPr>
          </w:p>
        </w:tc>
        <w:tc>
          <w:tcPr>
            <w:tcW w:w="122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7"/>
              </w:rPr>
              <w:t>Equity Incentive Plan</w:t>
            </w:r>
          </w:p>
        </w:tc>
      </w:tr>
      <w:tr>
        <w:trPr>
          <w:trHeight w:val="135"/>
        </w:trPr>
        <w:tc>
          <w:tcPr>
            <w:tcW w:w="1200" w:type="dxa"/>
            <w:vAlign w:val="bottom"/>
          </w:tcPr>
          <w:p>
            <w:pPr>
              <w:spacing w:after="0"/>
              <w:rPr>
                <w:sz w:val="11"/>
                <w:szCs w:val="11"/>
                <w:color w:val="auto"/>
              </w:rPr>
            </w:pPr>
          </w:p>
        </w:tc>
        <w:tc>
          <w:tcPr>
            <w:tcW w:w="12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10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Number of</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Plan Awards:</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5"/>
              </w:rPr>
              <w:t>Awards: Market or</w:t>
            </w:r>
          </w:p>
        </w:tc>
      </w:tr>
      <w:tr>
        <w:trPr>
          <w:trHeight w:val="135"/>
        </w:trPr>
        <w:tc>
          <w:tcPr>
            <w:tcW w:w="1200" w:type="dxa"/>
            <w:vAlign w:val="bottom"/>
          </w:tcPr>
          <w:p>
            <w:pPr>
              <w:spacing w:after="0"/>
              <w:rPr>
                <w:sz w:val="11"/>
                <w:szCs w:val="11"/>
                <w:color w:val="auto"/>
              </w:rPr>
            </w:pPr>
          </w:p>
        </w:tc>
        <w:tc>
          <w:tcPr>
            <w:tcW w:w="12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10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Number of</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Payout Value of</w:t>
            </w:r>
          </w:p>
        </w:tc>
      </w:tr>
      <w:tr>
        <w:trPr>
          <w:trHeight w:val="135"/>
        </w:trPr>
        <w:tc>
          <w:tcPr>
            <w:tcW w:w="1200" w:type="dxa"/>
            <w:vAlign w:val="bottom"/>
          </w:tcPr>
          <w:p>
            <w:pPr>
              <w:spacing w:after="0"/>
              <w:rPr>
                <w:sz w:val="11"/>
                <w:szCs w:val="11"/>
                <w:color w:val="auto"/>
              </w:rPr>
            </w:pPr>
          </w:p>
        </w:tc>
        <w:tc>
          <w:tcPr>
            <w:tcW w:w="12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10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Number of</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Market</w:t>
            </w:r>
          </w:p>
        </w:tc>
        <w:tc>
          <w:tcPr>
            <w:tcW w:w="10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Unearned Shares,</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Unearned Shares,</w:t>
            </w:r>
          </w:p>
        </w:tc>
      </w:tr>
      <w:tr>
        <w:trPr>
          <w:trHeight w:val="135"/>
        </w:trPr>
        <w:tc>
          <w:tcPr>
            <w:tcW w:w="1200" w:type="dxa"/>
            <w:vAlign w:val="bottom"/>
          </w:tcPr>
          <w:p>
            <w:pPr>
              <w:spacing w:after="0"/>
              <w:rPr>
                <w:sz w:val="11"/>
                <w:szCs w:val="11"/>
                <w:color w:val="auto"/>
              </w:rPr>
            </w:pPr>
          </w:p>
        </w:tc>
        <w:tc>
          <w:tcPr>
            <w:tcW w:w="12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10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Unexercised</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2"/>
              </w:rPr>
              <w:t>Option</w:t>
            </w: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Units of Stock</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Value of Units of</w:t>
            </w:r>
          </w:p>
        </w:tc>
        <w:tc>
          <w:tcPr>
            <w:tcW w:w="10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Units, or Other</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Units Or Other</w:t>
            </w:r>
          </w:p>
        </w:tc>
      </w:tr>
      <w:tr>
        <w:trPr>
          <w:trHeight w:val="135"/>
        </w:trPr>
        <w:tc>
          <w:tcPr>
            <w:tcW w:w="1200" w:type="dxa"/>
            <w:vAlign w:val="bottom"/>
          </w:tcPr>
          <w:p>
            <w:pPr>
              <w:spacing w:after="0"/>
              <w:rPr>
                <w:sz w:val="11"/>
                <w:szCs w:val="11"/>
                <w:color w:val="auto"/>
              </w:rPr>
            </w:pPr>
          </w:p>
        </w:tc>
        <w:tc>
          <w:tcPr>
            <w:tcW w:w="12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Options</w:t>
            </w:r>
          </w:p>
        </w:tc>
        <w:tc>
          <w:tcPr>
            <w:tcW w:w="10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Options</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3"/>
              </w:rPr>
              <w:t>Exercise</w:t>
            </w: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That Have Not</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Stock That</w:t>
            </w:r>
          </w:p>
        </w:tc>
        <w:tc>
          <w:tcPr>
            <w:tcW w:w="10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Rights That Have</w:t>
            </w:r>
          </w:p>
        </w:tc>
        <w:tc>
          <w:tcPr>
            <w:tcW w:w="420" w:type="dxa"/>
            <w:vAlign w:val="bottom"/>
          </w:tcPr>
          <w:p>
            <w:pPr>
              <w:spacing w:after="0"/>
              <w:rPr>
                <w:sz w:val="11"/>
                <w:szCs w:val="11"/>
                <w:color w:val="auto"/>
              </w:rPr>
            </w:pPr>
          </w:p>
        </w:tc>
        <w:tc>
          <w:tcPr>
            <w:tcW w:w="12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Rights That Have Not</w:t>
            </w:r>
          </w:p>
        </w:tc>
      </w:tr>
      <w:tr>
        <w:trPr>
          <w:trHeight w:val="135"/>
        </w:trPr>
        <w:tc>
          <w:tcPr>
            <w:tcW w:w="1200" w:type="dxa"/>
            <w:vAlign w:val="bottom"/>
          </w:tcPr>
          <w:p>
            <w:pPr>
              <w:spacing w:after="0"/>
              <w:rPr>
                <w:sz w:val="11"/>
                <w:szCs w:val="11"/>
                <w:color w:val="auto"/>
              </w:rPr>
            </w:pPr>
          </w:p>
        </w:tc>
        <w:tc>
          <w:tcPr>
            <w:tcW w:w="12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Exercisable</w:t>
            </w:r>
          </w:p>
        </w:tc>
        <w:tc>
          <w:tcPr>
            <w:tcW w:w="10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Unexercisable</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Price</w:t>
            </w:r>
          </w:p>
        </w:tc>
        <w:tc>
          <w:tcPr>
            <w:tcW w:w="10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2"/>
              </w:rPr>
              <w:t>Option</w:t>
            </w:r>
          </w:p>
        </w:tc>
        <w:tc>
          <w:tcPr>
            <w:tcW w:w="9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Vested</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Have Not Vested</w:t>
            </w:r>
          </w:p>
        </w:tc>
        <w:tc>
          <w:tcPr>
            <w:tcW w:w="10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1"/>
              </w:rPr>
              <w:t>Not Vested</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5"/>
              </w:rPr>
              <w:t>Vested</w:t>
            </w:r>
          </w:p>
        </w:tc>
      </w:tr>
      <w:tr>
        <w:trPr>
          <w:trHeight w:val="176"/>
        </w:trPr>
        <w:tc>
          <w:tcPr>
            <w:tcW w:w="12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5"/>
                <w:szCs w:val="15"/>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Expiration Date</w:t>
            </w: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2"/>
              </w:rPr>
              <w:t>($)</w:t>
            </w:r>
          </w:p>
        </w:tc>
      </w:tr>
      <w:tr>
        <w:trPr>
          <w:trHeight w:val="189"/>
        </w:trPr>
        <w:tc>
          <w:tcPr>
            <w:tcW w:w="1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J.M. Nauman</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100,000</w:t>
            </w:r>
          </w:p>
        </w:tc>
        <w:tc>
          <w:tcPr>
            <w:tcW w:w="12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19.96</w:t>
            </w:r>
          </w:p>
        </w:tc>
        <w:tc>
          <w:tcPr>
            <w:tcW w:w="12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9/25/2025</w:t>
            </w:r>
          </w:p>
        </w:tc>
        <w:tc>
          <w:tcPr>
            <w:tcW w:w="12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r>
      <w:tr>
        <w:trPr>
          <w:trHeight w:val="181"/>
        </w:trPr>
        <w:tc>
          <w:tcPr>
            <w:tcW w:w="1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100,017</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35.14</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9/23/2026</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97"/>
        </w:trPr>
        <w:tc>
          <w:tcPr>
            <w:tcW w:w="1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64,528</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32,264</w:t>
            </w:r>
          </w:p>
        </w:tc>
        <w:tc>
          <w:tcPr>
            <w:tcW w:w="4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2"/>
              </w:rPr>
              <w:t>(1)</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36.85</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9/22/2027</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81"/>
        </w:trPr>
        <w:tc>
          <w:tcPr>
            <w:tcW w:w="1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29,461</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58,922</w:t>
            </w:r>
          </w:p>
        </w:tc>
        <w:tc>
          <w:tcPr>
            <w:tcW w:w="40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2"/>
              </w:rPr>
              <w:t>(2)</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43.98</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9/25/2028</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97"/>
        </w:trPr>
        <w:tc>
          <w:tcPr>
            <w:tcW w:w="1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92,936</w:t>
            </w:r>
          </w:p>
        </w:tc>
        <w:tc>
          <w:tcPr>
            <w:tcW w:w="4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2"/>
              </w:rPr>
              <w:t>(3)</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54.05</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9/20/2029</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81"/>
        </w:trPr>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7,538</w:t>
            </w:r>
          </w:p>
        </w:tc>
        <w:tc>
          <w:tcPr>
            <w:tcW w:w="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346,522</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97"/>
        </w:trPr>
        <w:tc>
          <w:tcPr>
            <w:tcW w:w="1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13,188</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606,252</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81"/>
        </w:trPr>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18,502</w:t>
            </w:r>
          </w:p>
        </w:tc>
        <w:tc>
          <w:tcPr>
            <w:tcW w:w="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850,537</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97"/>
        </w:trPr>
        <w:tc>
          <w:tcPr>
            <w:tcW w:w="1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25,162</w:t>
            </w:r>
          </w:p>
        </w:tc>
        <w:tc>
          <w:tcPr>
            <w:tcW w:w="4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1,156,697</w:t>
            </w:r>
          </w:p>
        </w:tc>
      </w:tr>
      <w:tr>
        <w:trPr>
          <w:trHeight w:val="181"/>
        </w:trPr>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23,077</w:t>
            </w:r>
          </w:p>
        </w:tc>
        <w:tc>
          <w:tcPr>
            <w:tcW w:w="4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Pr>
          <w:p>
            <w:pPr>
              <w:spacing w:after="0"/>
              <w:rPr>
                <w:sz w:val="15"/>
                <w:szCs w:val="15"/>
                <w:color w:val="auto"/>
              </w:rPr>
            </w:pPr>
          </w:p>
        </w:tc>
        <w:tc>
          <w:tcPr>
            <w:tcW w:w="11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1,060,850</w:t>
            </w:r>
          </w:p>
        </w:tc>
      </w:tr>
      <w:tr>
        <w:trPr>
          <w:trHeight w:val="197"/>
        </w:trPr>
        <w:tc>
          <w:tcPr>
            <w:tcW w:w="1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19,294</w:t>
            </w:r>
          </w:p>
        </w:tc>
        <w:tc>
          <w:tcPr>
            <w:tcW w:w="4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886,945</w:t>
            </w:r>
          </w:p>
        </w:tc>
      </w:tr>
      <w:tr>
        <w:trPr>
          <w:trHeight w:val="257"/>
        </w:trPr>
        <w:tc>
          <w:tcPr>
            <w:tcW w:w="1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189"/>
        </w:trPr>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A.J. Pearce</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51,375</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19.96</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9/25/2025</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81"/>
        </w:trPr>
        <w:tc>
          <w:tcPr>
            <w:tcW w:w="1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37,721</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35.14</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9/23/2026</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97"/>
        </w:trPr>
        <w:tc>
          <w:tcPr>
            <w:tcW w:w="1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22,714</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11,357</w:t>
            </w:r>
          </w:p>
        </w:tc>
        <w:tc>
          <w:tcPr>
            <w:tcW w:w="4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2"/>
              </w:rPr>
              <w:t>(1)</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36.85</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9/22/2027</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81"/>
        </w:trPr>
        <w:tc>
          <w:tcPr>
            <w:tcW w:w="1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9,934</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19,866</w:t>
            </w:r>
          </w:p>
        </w:tc>
        <w:tc>
          <w:tcPr>
            <w:tcW w:w="40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2"/>
              </w:rPr>
              <w:t>(2)</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43.98</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9/25/2028</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97"/>
        </w:trPr>
        <w:tc>
          <w:tcPr>
            <w:tcW w:w="1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27,262</w:t>
            </w:r>
          </w:p>
        </w:tc>
        <w:tc>
          <w:tcPr>
            <w:tcW w:w="4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2"/>
              </w:rPr>
              <w:t>(3)</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54.05</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9/20/2029</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81"/>
        </w:trPr>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2,653</w:t>
            </w:r>
          </w:p>
        </w:tc>
        <w:tc>
          <w:tcPr>
            <w:tcW w:w="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121,958</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97"/>
        </w:trPr>
        <w:tc>
          <w:tcPr>
            <w:tcW w:w="1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4,446</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204,383</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81"/>
        </w:trPr>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5,428</w:t>
            </w:r>
          </w:p>
        </w:tc>
        <w:tc>
          <w:tcPr>
            <w:tcW w:w="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249,525</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97"/>
        </w:trPr>
        <w:tc>
          <w:tcPr>
            <w:tcW w:w="1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8,857</w:t>
            </w:r>
          </w:p>
        </w:tc>
        <w:tc>
          <w:tcPr>
            <w:tcW w:w="4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407,156</w:t>
            </w:r>
          </w:p>
        </w:tc>
      </w:tr>
      <w:tr>
        <w:trPr>
          <w:trHeight w:val="181"/>
        </w:trPr>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7,781</w:t>
            </w:r>
          </w:p>
        </w:tc>
        <w:tc>
          <w:tcPr>
            <w:tcW w:w="4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Pr>
          <w:p>
            <w:pPr>
              <w:spacing w:after="0"/>
              <w:rPr>
                <w:sz w:val="15"/>
                <w:szCs w:val="15"/>
                <w:color w:val="auto"/>
              </w:rPr>
            </w:pPr>
          </w:p>
        </w:tc>
        <w:tc>
          <w:tcPr>
            <w:tcW w:w="11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357,693</w:t>
            </w:r>
          </w:p>
        </w:tc>
      </w:tr>
      <w:tr>
        <w:trPr>
          <w:trHeight w:val="197"/>
        </w:trPr>
        <w:tc>
          <w:tcPr>
            <w:tcW w:w="1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5,660</w:t>
            </w:r>
          </w:p>
        </w:tc>
        <w:tc>
          <w:tcPr>
            <w:tcW w:w="4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260,190</w:t>
            </w:r>
          </w:p>
        </w:tc>
      </w:tr>
      <w:tr>
        <w:trPr>
          <w:trHeight w:val="257"/>
        </w:trPr>
        <w:tc>
          <w:tcPr>
            <w:tcW w:w="1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189"/>
        </w:trPr>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 Deman</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1,473</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35.14</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9/23/2026</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81"/>
        </w:trPr>
        <w:tc>
          <w:tcPr>
            <w:tcW w:w="1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1,508</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1,508</w:t>
            </w:r>
          </w:p>
        </w:tc>
        <w:tc>
          <w:tcPr>
            <w:tcW w:w="40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2"/>
              </w:rPr>
              <w:t>(1)</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36.85</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9/22/2027</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97"/>
        </w:trPr>
        <w:tc>
          <w:tcPr>
            <w:tcW w:w="1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1,150</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2,299</w:t>
            </w:r>
          </w:p>
        </w:tc>
        <w:tc>
          <w:tcPr>
            <w:tcW w:w="4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2"/>
              </w:rPr>
              <w:t>(2)</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43.98</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9/25/2028</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81"/>
        </w:trPr>
        <w:tc>
          <w:tcPr>
            <w:tcW w:w="1200" w:type="dxa"/>
            <w:vAlign w:val="bottom"/>
          </w:tcPr>
          <w:p>
            <w:pPr>
              <w:spacing w:after="0"/>
              <w:rPr>
                <w:sz w:val="15"/>
                <w:szCs w:val="15"/>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3,122</w:t>
            </w:r>
          </w:p>
        </w:tc>
        <w:tc>
          <w:tcPr>
            <w:tcW w:w="40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2"/>
              </w:rPr>
              <w:t>(3)</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54.05</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9/20/2029</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97"/>
        </w:trPr>
        <w:tc>
          <w:tcPr>
            <w:tcW w:w="1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13,515</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81"/>
        </w:trPr>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492</w:t>
            </w:r>
          </w:p>
        </w:tc>
        <w:tc>
          <w:tcPr>
            <w:tcW w:w="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22,617</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97"/>
        </w:trPr>
        <w:tc>
          <w:tcPr>
            <w:tcW w:w="1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602</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27,674</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81"/>
        </w:trPr>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1,307</w:t>
            </w:r>
          </w:p>
        </w:tc>
        <w:tc>
          <w:tcPr>
            <w:tcW w:w="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w:t>
            </w: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60,083</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65"/>
        </w:trPr>
        <w:tc>
          <w:tcPr>
            <w:tcW w:w="12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181"/>
        </w:trPr>
        <w:tc>
          <w:tcPr>
            <w:tcW w:w="1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H.R. Nelligan</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12,860</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35.14</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9/23/2026</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97"/>
        </w:trPr>
        <w:tc>
          <w:tcPr>
            <w:tcW w:w="1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7,744</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3,871</w:t>
            </w:r>
          </w:p>
        </w:tc>
        <w:tc>
          <w:tcPr>
            <w:tcW w:w="4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2"/>
              </w:rPr>
              <w:t>(1)</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36.85</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9/22/2027</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81"/>
        </w:trPr>
        <w:tc>
          <w:tcPr>
            <w:tcW w:w="1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3,387</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6,772</w:t>
            </w:r>
          </w:p>
        </w:tc>
        <w:tc>
          <w:tcPr>
            <w:tcW w:w="40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2"/>
              </w:rPr>
              <w:t>(2)</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43.98</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9/25/2028</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97"/>
        </w:trPr>
        <w:tc>
          <w:tcPr>
            <w:tcW w:w="1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9,294</w:t>
            </w:r>
          </w:p>
        </w:tc>
        <w:tc>
          <w:tcPr>
            <w:tcW w:w="4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2"/>
              </w:rPr>
              <w:t>(3)</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54.05</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9/20/2029</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81"/>
        </w:trPr>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904</w:t>
            </w:r>
          </w:p>
        </w:tc>
        <w:tc>
          <w:tcPr>
            <w:tcW w:w="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41,557</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97"/>
        </w:trPr>
        <w:tc>
          <w:tcPr>
            <w:tcW w:w="1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7,170</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(11)</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329,605</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81"/>
        </w:trPr>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1,516</w:t>
            </w:r>
          </w:p>
        </w:tc>
        <w:tc>
          <w:tcPr>
            <w:tcW w:w="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69,691</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97"/>
        </w:trPr>
        <w:tc>
          <w:tcPr>
            <w:tcW w:w="1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1,851</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85,090</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1" w:name="page82"/>
    <w:bookmarkEnd w:id="81"/>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3,020</w:t>
            </w:r>
          </w:p>
        </w:tc>
        <w:tc>
          <w:tcPr>
            <w:tcW w:w="3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(7)</w:t>
            </w:r>
          </w:p>
        </w:tc>
        <w:tc>
          <w:tcPr>
            <w:tcW w:w="520" w:type="dxa"/>
            <w:vAlign w:val="bottom"/>
          </w:tcPr>
          <w:p>
            <w:pPr>
              <w:jc w:val="right"/>
              <w:ind w:right="25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138,829</w:t>
            </w:r>
          </w:p>
        </w:tc>
      </w:tr>
      <w:tr>
        <w:trPr>
          <w:trHeight w:val="197"/>
        </w:trPr>
        <w:tc>
          <w:tcPr>
            <w:tcW w:w="9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2,653</w:t>
            </w:r>
          </w:p>
        </w:tc>
        <w:tc>
          <w:tcPr>
            <w:tcW w:w="3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(8)</w:t>
            </w:r>
          </w:p>
        </w:tc>
        <w:tc>
          <w:tcPr>
            <w:tcW w:w="5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121,958</w:t>
            </w:r>
          </w:p>
        </w:tc>
      </w:tr>
      <w:tr>
        <w:trPr>
          <w:trHeight w:val="181"/>
        </w:trPr>
        <w:tc>
          <w:tcPr>
            <w:tcW w:w="9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1,930</w:t>
            </w:r>
          </w:p>
        </w:tc>
        <w:tc>
          <w:tcPr>
            <w:tcW w:w="3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(9)</w:t>
            </w:r>
          </w:p>
        </w:tc>
        <w:tc>
          <w:tcPr>
            <w:tcW w:w="520" w:type="dxa"/>
            <w:vAlign w:val="bottom"/>
          </w:tcPr>
          <w:p>
            <w:pPr>
              <w:spacing w:after="0"/>
              <w:rPr>
                <w:sz w:val="15"/>
                <w:szCs w:val="15"/>
                <w:color w:val="auto"/>
              </w:rPr>
            </w:pPr>
          </w:p>
        </w:tc>
        <w:tc>
          <w:tcPr>
            <w:tcW w:w="8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88,722</w:t>
            </w:r>
          </w:p>
        </w:tc>
      </w:tr>
      <w:tr>
        <w:trPr>
          <w:trHeight w:val="265"/>
        </w:trPr>
        <w:tc>
          <w:tcPr>
            <w:tcW w:w="95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R.R. Shaller</w:t>
            </w:r>
          </w:p>
        </w:tc>
        <w:tc>
          <w:tcPr>
            <w:tcW w:w="1380" w:type="dxa"/>
            <w:vAlign w:val="bottom"/>
          </w:tcPr>
          <w:p>
            <w:pPr>
              <w:jc w:val="right"/>
              <w:ind w:right="357"/>
              <w:spacing w:after="0"/>
              <w:rPr>
                <w:sz w:val="20"/>
                <w:szCs w:val="20"/>
                <w:color w:val="auto"/>
              </w:rPr>
            </w:pPr>
            <w:r>
              <w:rPr>
                <w:rFonts w:ascii="Times New Roman" w:cs="Times New Roman" w:eastAsia="Times New Roman" w:hAnsi="Times New Roman"/>
                <w:sz w:val="13"/>
                <w:szCs w:val="13"/>
                <w:color w:val="auto"/>
              </w:rPr>
              <w:t>23,576</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3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257"/>
              <w:spacing w:after="0"/>
              <w:rPr>
                <w:sz w:val="20"/>
                <w:szCs w:val="20"/>
                <w:color w:val="auto"/>
              </w:rPr>
            </w:pPr>
            <w:r>
              <w:rPr>
                <w:rFonts w:ascii="Times New Roman" w:cs="Times New Roman" w:eastAsia="Times New Roman" w:hAnsi="Times New Roman"/>
                <w:sz w:val="13"/>
                <w:szCs w:val="13"/>
                <w:color w:val="auto"/>
              </w:rPr>
              <w:t>35.14</w:t>
            </w:r>
          </w:p>
        </w:tc>
        <w:tc>
          <w:tcPr>
            <w:tcW w:w="6380" w:type="dxa"/>
            <w:vAlign w:val="bottom"/>
          </w:tcPr>
          <w:p>
            <w:pPr>
              <w:jc w:val="right"/>
              <w:ind w:right="5497"/>
              <w:spacing w:after="0"/>
              <w:rPr>
                <w:sz w:val="20"/>
                <w:szCs w:val="20"/>
                <w:color w:val="auto"/>
              </w:rPr>
            </w:pPr>
            <w:r>
              <w:rPr>
                <w:rFonts w:ascii="Times New Roman" w:cs="Times New Roman" w:eastAsia="Times New Roman" w:hAnsi="Times New Roman"/>
                <w:sz w:val="13"/>
                <w:szCs w:val="13"/>
                <w:color w:val="auto"/>
              </w:rPr>
              <w:t>9/23/2026</w:t>
            </w:r>
          </w:p>
        </w:tc>
      </w:tr>
      <w:tr>
        <w:trPr>
          <w:trHeight w:val="197"/>
        </w:trPr>
        <w:tc>
          <w:tcPr>
            <w:tcW w:w="126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357"/>
              <w:spacing w:after="0"/>
              <w:rPr>
                <w:sz w:val="20"/>
                <w:szCs w:val="20"/>
                <w:color w:val="auto"/>
              </w:rPr>
            </w:pPr>
            <w:r>
              <w:rPr>
                <w:rFonts w:ascii="Times New Roman" w:cs="Times New Roman" w:eastAsia="Times New Roman" w:hAnsi="Times New Roman"/>
                <w:sz w:val="13"/>
                <w:szCs w:val="13"/>
                <w:color w:val="auto"/>
              </w:rPr>
              <w:t>14,197</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7,098</w:t>
            </w:r>
          </w:p>
        </w:tc>
        <w:tc>
          <w:tcPr>
            <w:tcW w:w="3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rPr>
              <w:t>36.85</w:t>
            </w:r>
          </w:p>
        </w:tc>
        <w:tc>
          <w:tcPr>
            <w:tcW w:w="6380" w:type="dxa"/>
            <w:vAlign w:val="bottom"/>
            <w:shd w:val="clear" w:color="auto" w:fill="CCEEFF"/>
          </w:tcPr>
          <w:p>
            <w:pPr>
              <w:jc w:val="right"/>
              <w:ind w:right="5497"/>
              <w:spacing w:after="0"/>
              <w:rPr>
                <w:sz w:val="20"/>
                <w:szCs w:val="20"/>
                <w:color w:val="auto"/>
              </w:rPr>
            </w:pPr>
            <w:r>
              <w:rPr>
                <w:rFonts w:ascii="Times New Roman" w:cs="Times New Roman" w:eastAsia="Times New Roman" w:hAnsi="Times New Roman"/>
                <w:sz w:val="13"/>
                <w:szCs w:val="13"/>
                <w:color w:val="auto"/>
              </w:rPr>
              <w:t>9/22/2027</w:t>
            </w:r>
          </w:p>
        </w:tc>
      </w:tr>
      <w:tr>
        <w:trPr>
          <w:trHeight w:val="181"/>
        </w:trPr>
        <w:tc>
          <w:tcPr>
            <w:tcW w:w="1260" w:type="dxa"/>
            <w:vAlign w:val="bottom"/>
          </w:tcPr>
          <w:p>
            <w:pPr>
              <w:spacing w:after="0"/>
              <w:rPr>
                <w:sz w:val="15"/>
                <w:szCs w:val="15"/>
                <w:color w:val="auto"/>
              </w:rPr>
            </w:pPr>
          </w:p>
        </w:tc>
        <w:tc>
          <w:tcPr>
            <w:tcW w:w="1380" w:type="dxa"/>
            <w:vAlign w:val="bottom"/>
          </w:tcPr>
          <w:p>
            <w:pPr>
              <w:jc w:val="right"/>
              <w:ind w:right="357"/>
              <w:spacing w:after="0"/>
              <w:rPr>
                <w:sz w:val="20"/>
                <w:szCs w:val="20"/>
                <w:color w:val="auto"/>
              </w:rPr>
            </w:pPr>
            <w:r>
              <w:rPr>
                <w:rFonts w:ascii="Times New Roman" w:cs="Times New Roman" w:eastAsia="Times New Roman" w:hAnsi="Times New Roman"/>
                <w:sz w:val="13"/>
                <w:szCs w:val="13"/>
                <w:color w:val="auto"/>
              </w:rPr>
              <w:t>7,338</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14,674</w:t>
            </w:r>
          </w:p>
        </w:tc>
        <w:tc>
          <w:tcPr>
            <w:tcW w:w="3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(2)</w:t>
            </w:r>
          </w:p>
        </w:tc>
        <w:tc>
          <w:tcPr>
            <w:tcW w:w="320" w:type="dxa"/>
            <w:vAlign w:val="bottom"/>
          </w:tcPr>
          <w:p>
            <w:pPr>
              <w:spacing w:after="0"/>
              <w:rPr>
                <w:sz w:val="15"/>
                <w:szCs w:val="15"/>
                <w:color w:val="auto"/>
              </w:rPr>
            </w:pPr>
          </w:p>
        </w:tc>
        <w:tc>
          <w:tcPr>
            <w:tcW w:w="760" w:type="dxa"/>
            <w:vAlign w:val="bottom"/>
          </w:tcPr>
          <w:p>
            <w:pPr>
              <w:jc w:val="right"/>
              <w:ind w:right="257"/>
              <w:spacing w:after="0"/>
              <w:rPr>
                <w:sz w:val="20"/>
                <w:szCs w:val="20"/>
                <w:color w:val="auto"/>
              </w:rPr>
            </w:pPr>
            <w:r>
              <w:rPr>
                <w:rFonts w:ascii="Times New Roman" w:cs="Times New Roman" w:eastAsia="Times New Roman" w:hAnsi="Times New Roman"/>
                <w:sz w:val="13"/>
                <w:szCs w:val="13"/>
                <w:color w:val="auto"/>
              </w:rPr>
              <w:t>43.98</w:t>
            </w:r>
          </w:p>
        </w:tc>
        <w:tc>
          <w:tcPr>
            <w:tcW w:w="6380" w:type="dxa"/>
            <w:vAlign w:val="bottom"/>
          </w:tcPr>
          <w:p>
            <w:pPr>
              <w:jc w:val="right"/>
              <w:ind w:right="5497"/>
              <w:spacing w:after="0"/>
              <w:rPr>
                <w:sz w:val="20"/>
                <w:szCs w:val="20"/>
                <w:color w:val="auto"/>
              </w:rPr>
            </w:pPr>
            <w:r>
              <w:rPr>
                <w:rFonts w:ascii="Times New Roman" w:cs="Times New Roman" w:eastAsia="Times New Roman" w:hAnsi="Times New Roman"/>
                <w:sz w:val="13"/>
                <w:szCs w:val="13"/>
                <w:color w:val="auto"/>
              </w:rPr>
              <w:t>9/25/2028</w:t>
            </w:r>
          </w:p>
        </w:tc>
      </w:tr>
      <w:tr>
        <w:trPr>
          <w:trHeight w:val="197"/>
        </w:trPr>
        <w:tc>
          <w:tcPr>
            <w:tcW w:w="126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35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20,137</w:t>
            </w:r>
          </w:p>
        </w:tc>
        <w:tc>
          <w:tcPr>
            <w:tcW w:w="3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(3)</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rPr>
              <w:t>54.05</w:t>
            </w:r>
          </w:p>
        </w:tc>
        <w:tc>
          <w:tcPr>
            <w:tcW w:w="6380" w:type="dxa"/>
            <w:vAlign w:val="bottom"/>
            <w:shd w:val="clear" w:color="auto" w:fill="CCEEFF"/>
          </w:tcPr>
          <w:p>
            <w:pPr>
              <w:jc w:val="right"/>
              <w:ind w:right="5497"/>
              <w:spacing w:after="0"/>
              <w:rPr>
                <w:sz w:val="20"/>
                <w:szCs w:val="20"/>
                <w:color w:val="auto"/>
              </w:rPr>
            </w:pPr>
            <w:r>
              <w:rPr>
                <w:rFonts w:ascii="Times New Roman" w:cs="Times New Roman" w:eastAsia="Times New Roman" w:hAnsi="Times New Roman"/>
                <w:sz w:val="13"/>
                <w:szCs w:val="13"/>
                <w:color w:val="auto"/>
              </w:rPr>
              <w:t>9/20/2029</w:t>
            </w: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1,658</w:t>
            </w:r>
          </w:p>
        </w:tc>
        <w:tc>
          <w:tcPr>
            <w:tcW w:w="3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(4)</w:t>
            </w:r>
          </w:p>
        </w:tc>
        <w:tc>
          <w:tcPr>
            <w:tcW w:w="500" w:type="dxa"/>
            <w:vAlign w:val="bottom"/>
          </w:tcPr>
          <w:p>
            <w:pPr>
              <w:jc w:val="right"/>
              <w:ind w:right="277"/>
              <w:spacing w:after="0"/>
              <w:rPr>
                <w:sz w:val="20"/>
                <w:szCs w:val="20"/>
                <w:color w:val="auto"/>
              </w:rPr>
            </w:pPr>
            <w:r>
              <w:rPr>
                <w:rFonts w:ascii="Times New Roman" w:cs="Times New Roman" w:eastAsia="Times New Roman" w:hAnsi="Times New Roman"/>
                <w:sz w:val="13"/>
                <w:szCs w:val="13"/>
                <w:color w:val="auto"/>
              </w:rPr>
              <w:t>$</w:t>
            </w:r>
          </w:p>
        </w:tc>
        <w:tc>
          <w:tcPr>
            <w:tcW w:w="3640" w:type="dxa"/>
            <w:vAlign w:val="bottom"/>
          </w:tcPr>
          <w:p>
            <w:pPr>
              <w:jc w:val="right"/>
              <w:ind w:right="2837"/>
              <w:spacing w:after="0"/>
              <w:rPr>
                <w:sz w:val="20"/>
                <w:szCs w:val="20"/>
                <w:color w:val="auto"/>
              </w:rPr>
            </w:pPr>
            <w:r>
              <w:rPr>
                <w:rFonts w:ascii="Times New Roman" w:cs="Times New Roman" w:eastAsia="Times New Roman" w:hAnsi="Times New Roman"/>
                <w:sz w:val="13"/>
                <w:szCs w:val="13"/>
                <w:color w:val="auto"/>
              </w:rPr>
              <w:t>76,218</w:t>
            </w:r>
          </w:p>
        </w:tc>
      </w:tr>
      <w:tr>
        <w:trPr>
          <w:trHeight w:val="197"/>
        </w:trPr>
        <w:tc>
          <w:tcPr>
            <w:tcW w:w="6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3,284</w:t>
            </w: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(5)</w:t>
            </w:r>
          </w:p>
        </w:tc>
        <w:tc>
          <w:tcPr>
            <w:tcW w:w="500" w:type="dxa"/>
            <w:vAlign w:val="bottom"/>
            <w:shd w:val="clear" w:color="auto" w:fill="CCEEFF"/>
          </w:tcPr>
          <w:p>
            <w:pPr>
              <w:spacing w:after="0"/>
              <w:rPr>
                <w:sz w:val="17"/>
                <w:szCs w:val="17"/>
                <w:color w:val="auto"/>
              </w:rPr>
            </w:pPr>
          </w:p>
        </w:tc>
        <w:tc>
          <w:tcPr>
            <w:tcW w:w="3640" w:type="dxa"/>
            <w:vAlign w:val="bottom"/>
            <w:shd w:val="clear" w:color="auto" w:fill="CCEEFF"/>
          </w:tcPr>
          <w:p>
            <w:pPr>
              <w:jc w:val="right"/>
              <w:ind w:right="2837"/>
              <w:spacing w:after="0"/>
              <w:rPr>
                <w:sz w:val="20"/>
                <w:szCs w:val="20"/>
                <w:color w:val="auto"/>
              </w:rPr>
            </w:pPr>
            <w:r>
              <w:rPr>
                <w:rFonts w:ascii="Times New Roman" w:cs="Times New Roman" w:eastAsia="Times New Roman" w:hAnsi="Times New Roman"/>
                <w:sz w:val="13"/>
                <w:szCs w:val="13"/>
                <w:color w:val="auto"/>
              </w:rPr>
              <w:t>150,965</w:t>
            </w:r>
          </w:p>
        </w:tc>
      </w:tr>
      <w:tr>
        <w:trPr>
          <w:trHeight w:val="181"/>
        </w:trPr>
        <w:tc>
          <w:tcPr>
            <w:tcW w:w="6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4,009</w:t>
            </w:r>
          </w:p>
        </w:tc>
        <w:tc>
          <w:tcPr>
            <w:tcW w:w="3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(6)</w:t>
            </w:r>
          </w:p>
        </w:tc>
        <w:tc>
          <w:tcPr>
            <w:tcW w:w="500" w:type="dxa"/>
            <w:vAlign w:val="bottom"/>
          </w:tcPr>
          <w:p>
            <w:pPr>
              <w:spacing w:after="0"/>
              <w:rPr>
                <w:sz w:val="15"/>
                <w:szCs w:val="15"/>
                <w:color w:val="auto"/>
              </w:rPr>
            </w:pPr>
          </w:p>
        </w:tc>
        <w:tc>
          <w:tcPr>
            <w:tcW w:w="3640" w:type="dxa"/>
            <w:vAlign w:val="bottom"/>
          </w:tcPr>
          <w:p>
            <w:pPr>
              <w:jc w:val="right"/>
              <w:ind w:right="2837"/>
              <w:spacing w:after="0"/>
              <w:rPr>
                <w:sz w:val="20"/>
                <w:szCs w:val="20"/>
                <w:color w:val="auto"/>
              </w:rPr>
            </w:pPr>
            <w:r>
              <w:rPr>
                <w:rFonts w:ascii="Times New Roman" w:cs="Times New Roman" w:eastAsia="Times New Roman" w:hAnsi="Times New Roman"/>
                <w:sz w:val="13"/>
                <w:szCs w:val="13"/>
                <w:color w:val="auto"/>
              </w:rPr>
              <w:t>184,294</w:t>
            </w:r>
          </w:p>
        </w:tc>
      </w:tr>
      <w:tr>
        <w:trPr>
          <w:trHeight w:val="197"/>
        </w:trPr>
        <w:tc>
          <w:tcPr>
            <w:tcW w:w="6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9,251</w:t>
            </w: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(12)</w:t>
            </w:r>
          </w:p>
        </w:tc>
        <w:tc>
          <w:tcPr>
            <w:tcW w:w="500" w:type="dxa"/>
            <w:vAlign w:val="bottom"/>
            <w:shd w:val="clear" w:color="auto" w:fill="CCEEFF"/>
          </w:tcPr>
          <w:p>
            <w:pPr>
              <w:spacing w:after="0"/>
              <w:rPr>
                <w:sz w:val="17"/>
                <w:szCs w:val="17"/>
                <w:color w:val="auto"/>
              </w:rPr>
            </w:pPr>
          </w:p>
        </w:tc>
        <w:tc>
          <w:tcPr>
            <w:tcW w:w="3640" w:type="dxa"/>
            <w:vAlign w:val="bottom"/>
            <w:shd w:val="clear" w:color="auto" w:fill="CCEEFF"/>
          </w:tcPr>
          <w:p>
            <w:pPr>
              <w:jc w:val="right"/>
              <w:ind w:right="2837"/>
              <w:spacing w:after="0"/>
              <w:rPr>
                <w:sz w:val="20"/>
                <w:szCs w:val="20"/>
                <w:color w:val="auto"/>
              </w:rPr>
            </w:pPr>
            <w:r>
              <w:rPr>
                <w:rFonts w:ascii="Times New Roman" w:cs="Times New Roman" w:eastAsia="Times New Roman" w:hAnsi="Times New Roman"/>
                <w:sz w:val="13"/>
                <w:szCs w:val="13"/>
                <w:color w:val="auto"/>
              </w:rPr>
              <w:t>425,268</w:t>
            </w: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5,536</w:t>
            </w:r>
          </w:p>
        </w:tc>
        <w:tc>
          <w:tcPr>
            <w:tcW w:w="3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(7)</w:t>
            </w:r>
          </w:p>
        </w:tc>
        <w:tc>
          <w:tcPr>
            <w:tcW w:w="520" w:type="dxa"/>
            <w:vAlign w:val="bottom"/>
          </w:tcPr>
          <w:p>
            <w:pPr>
              <w:jc w:val="right"/>
              <w:ind w:right="25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254,490</w:t>
            </w:r>
          </w:p>
        </w:tc>
      </w:tr>
      <w:tr>
        <w:trPr>
          <w:trHeight w:val="197"/>
        </w:trPr>
        <w:tc>
          <w:tcPr>
            <w:tcW w:w="9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5,748</w:t>
            </w:r>
          </w:p>
        </w:tc>
        <w:tc>
          <w:tcPr>
            <w:tcW w:w="3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(8)</w:t>
            </w:r>
          </w:p>
        </w:tc>
        <w:tc>
          <w:tcPr>
            <w:tcW w:w="5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264,236</w:t>
            </w:r>
          </w:p>
        </w:tc>
      </w:tr>
      <w:tr>
        <w:trPr>
          <w:trHeight w:val="181"/>
        </w:trPr>
        <w:tc>
          <w:tcPr>
            <w:tcW w:w="9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4,181</w:t>
            </w:r>
          </w:p>
        </w:tc>
        <w:tc>
          <w:tcPr>
            <w:tcW w:w="3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(9)</w:t>
            </w:r>
          </w:p>
        </w:tc>
        <w:tc>
          <w:tcPr>
            <w:tcW w:w="520" w:type="dxa"/>
            <w:vAlign w:val="bottom"/>
          </w:tcPr>
          <w:p>
            <w:pPr>
              <w:spacing w:after="0"/>
              <w:rPr>
                <w:sz w:val="15"/>
                <w:szCs w:val="15"/>
                <w:color w:val="auto"/>
              </w:rPr>
            </w:pPr>
          </w:p>
        </w:tc>
        <w:tc>
          <w:tcPr>
            <w:tcW w:w="8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192,201</w:t>
            </w:r>
          </w:p>
        </w:tc>
      </w:tr>
      <w:tr>
        <w:trPr>
          <w:trHeight w:val="264"/>
        </w:trPr>
        <w:tc>
          <w:tcPr>
            <w:tcW w:w="95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L.T. Bolognini</w:t>
            </w:r>
          </w:p>
        </w:tc>
        <w:tc>
          <w:tcPr>
            <w:tcW w:w="1320" w:type="dxa"/>
            <w:vAlign w:val="bottom"/>
          </w:tcPr>
          <w:p>
            <w:pPr>
              <w:jc w:val="right"/>
              <w:ind w:right="357"/>
              <w:spacing w:after="0"/>
              <w:rPr>
                <w:sz w:val="20"/>
                <w:szCs w:val="20"/>
                <w:color w:val="auto"/>
              </w:rPr>
            </w:pPr>
            <w:r>
              <w:rPr>
                <w:rFonts w:ascii="Times New Roman" w:cs="Times New Roman" w:eastAsia="Times New Roman" w:hAnsi="Times New Roman"/>
                <w:sz w:val="13"/>
                <w:szCs w:val="13"/>
                <w:color w:val="auto"/>
              </w:rPr>
              <w:t>12,583</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w:t>
            </w:r>
          </w:p>
        </w:tc>
        <w:tc>
          <w:tcPr>
            <w:tcW w:w="3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257"/>
              <w:spacing w:after="0"/>
              <w:rPr>
                <w:sz w:val="20"/>
                <w:szCs w:val="20"/>
                <w:color w:val="auto"/>
              </w:rPr>
            </w:pPr>
            <w:r>
              <w:rPr>
                <w:rFonts w:ascii="Times New Roman" w:cs="Times New Roman" w:eastAsia="Times New Roman" w:hAnsi="Times New Roman"/>
                <w:sz w:val="13"/>
                <w:szCs w:val="13"/>
                <w:color w:val="auto"/>
              </w:rPr>
              <w:t>36.85</w:t>
            </w:r>
          </w:p>
        </w:tc>
        <w:tc>
          <w:tcPr>
            <w:tcW w:w="6380" w:type="dxa"/>
            <w:vAlign w:val="bottom"/>
          </w:tcPr>
          <w:p>
            <w:pPr>
              <w:jc w:val="right"/>
              <w:ind w:right="5497"/>
              <w:spacing w:after="0"/>
              <w:rPr>
                <w:sz w:val="20"/>
                <w:szCs w:val="20"/>
                <w:color w:val="auto"/>
              </w:rPr>
            </w:pPr>
            <w:r>
              <w:rPr>
                <w:rFonts w:ascii="Times New Roman" w:cs="Times New Roman" w:eastAsia="Times New Roman" w:hAnsi="Times New Roman"/>
                <w:sz w:val="13"/>
                <w:szCs w:val="13"/>
                <w:color w:val="auto"/>
              </w:rPr>
              <w:t>9/22/2027</w:t>
            </w:r>
          </w:p>
        </w:tc>
      </w:tr>
      <w:tr>
        <w:trPr>
          <w:trHeight w:val="197"/>
        </w:trPr>
        <w:tc>
          <w:tcPr>
            <w:tcW w:w="132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357"/>
              <w:spacing w:after="0"/>
              <w:rPr>
                <w:sz w:val="20"/>
                <w:szCs w:val="20"/>
                <w:color w:val="auto"/>
              </w:rPr>
            </w:pPr>
            <w:r>
              <w:rPr>
                <w:rFonts w:ascii="Times New Roman" w:cs="Times New Roman" w:eastAsia="Times New Roman" w:hAnsi="Times New Roman"/>
                <w:sz w:val="13"/>
                <w:szCs w:val="13"/>
                <w:color w:val="auto"/>
              </w:rPr>
              <w:t>3,669</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7,337</w:t>
            </w:r>
          </w:p>
        </w:tc>
        <w:tc>
          <w:tcPr>
            <w:tcW w:w="3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(2)</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rPr>
              <w:t>43.98</w:t>
            </w:r>
          </w:p>
        </w:tc>
        <w:tc>
          <w:tcPr>
            <w:tcW w:w="6380" w:type="dxa"/>
            <w:vAlign w:val="bottom"/>
            <w:shd w:val="clear" w:color="auto" w:fill="CCEEFF"/>
          </w:tcPr>
          <w:p>
            <w:pPr>
              <w:jc w:val="right"/>
              <w:ind w:right="5497"/>
              <w:spacing w:after="0"/>
              <w:rPr>
                <w:sz w:val="20"/>
                <w:szCs w:val="20"/>
                <w:color w:val="auto"/>
              </w:rPr>
            </w:pPr>
            <w:r>
              <w:rPr>
                <w:rFonts w:ascii="Times New Roman" w:cs="Times New Roman" w:eastAsia="Times New Roman" w:hAnsi="Times New Roman"/>
                <w:sz w:val="13"/>
                <w:szCs w:val="13"/>
                <w:color w:val="auto"/>
              </w:rPr>
              <w:t>9/25/2028</w:t>
            </w:r>
          </w:p>
        </w:tc>
      </w:tr>
      <w:tr>
        <w:trPr>
          <w:trHeight w:val="173"/>
        </w:trPr>
        <w:tc>
          <w:tcPr>
            <w:tcW w:w="1320" w:type="dxa"/>
            <w:vAlign w:val="bottom"/>
          </w:tcPr>
          <w:p>
            <w:pPr>
              <w:spacing w:after="0"/>
              <w:rPr>
                <w:sz w:val="15"/>
                <w:szCs w:val="15"/>
                <w:color w:val="auto"/>
              </w:rPr>
            </w:pPr>
          </w:p>
        </w:tc>
        <w:tc>
          <w:tcPr>
            <w:tcW w:w="1320" w:type="dxa"/>
            <w:vAlign w:val="bottom"/>
          </w:tcPr>
          <w:p>
            <w:pPr>
              <w:jc w:val="right"/>
              <w:ind w:right="35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10,069</w:t>
            </w:r>
          </w:p>
        </w:tc>
        <w:tc>
          <w:tcPr>
            <w:tcW w:w="3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(3)</w:t>
            </w:r>
          </w:p>
        </w:tc>
        <w:tc>
          <w:tcPr>
            <w:tcW w:w="320" w:type="dxa"/>
            <w:vAlign w:val="bottom"/>
          </w:tcPr>
          <w:p>
            <w:pPr>
              <w:spacing w:after="0"/>
              <w:rPr>
                <w:sz w:val="15"/>
                <w:szCs w:val="15"/>
                <w:color w:val="auto"/>
              </w:rPr>
            </w:pPr>
          </w:p>
        </w:tc>
        <w:tc>
          <w:tcPr>
            <w:tcW w:w="760" w:type="dxa"/>
            <w:vAlign w:val="bottom"/>
          </w:tcPr>
          <w:p>
            <w:pPr>
              <w:jc w:val="right"/>
              <w:ind w:right="257"/>
              <w:spacing w:after="0"/>
              <w:rPr>
                <w:sz w:val="20"/>
                <w:szCs w:val="20"/>
                <w:color w:val="auto"/>
              </w:rPr>
            </w:pPr>
            <w:r>
              <w:rPr>
                <w:rFonts w:ascii="Times New Roman" w:cs="Times New Roman" w:eastAsia="Times New Roman" w:hAnsi="Times New Roman"/>
                <w:sz w:val="13"/>
                <w:szCs w:val="13"/>
                <w:color w:val="auto"/>
              </w:rPr>
              <w:t>54.05</w:t>
            </w:r>
          </w:p>
        </w:tc>
        <w:tc>
          <w:tcPr>
            <w:tcW w:w="6380" w:type="dxa"/>
            <w:vAlign w:val="bottom"/>
          </w:tcPr>
          <w:p>
            <w:pPr>
              <w:jc w:val="right"/>
              <w:ind w:right="5497"/>
              <w:spacing w:after="0"/>
              <w:rPr>
                <w:sz w:val="20"/>
                <w:szCs w:val="20"/>
                <w:color w:val="auto"/>
              </w:rPr>
            </w:pPr>
            <w:r>
              <w:rPr>
                <w:rFonts w:ascii="Times New Roman" w:cs="Times New Roman" w:eastAsia="Times New Roman" w:hAnsi="Times New Roman"/>
                <w:sz w:val="13"/>
                <w:szCs w:val="13"/>
                <w:color w:val="auto"/>
              </w:rPr>
              <w:t>9/20/2029</w:t>
            </w: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1,642</w:t>
            </w:r>
          </w:p>
        </w:tc>
        <w:tc>
          <w:tcPr>
            <w:tcW w:w="3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(5)</w:t>
            </w:r>
          </w:p>
        </w:tc>
        <w:tc>
          <w:tcPr>
            <w:tcW w:w="560" w:type="dxa"/>
            <w:vAlign w:val="bottom"/>
            <w:shd w:val="clear" w:color="auto" w:fill="CCEEFF"/>
          </w:tcPr>
          <w:p>
            <w:pPr>
              <w:jc w:val="right"/>
              <w:ind w:right="297"/>
              <w:spacing w:after="0"/>
              <w:rPr>
                <w:sz w:val="20"/>
                <w:szCs w:val="20"/>
                <w:color w:val="auto"/>
              </w:rPr>
            </w:pPr>
            <w:r>
              <w:rPr>
                <w:rFonts w:ascii="Times New Roman" w:cs="Times New Roman" w:eastAsia="Times New Roman" w:hAnsi="Times New Roman"/>
                <w:sz w:val="13"/>
                <w:szCs w:val="13"/>
                <w:color w:val="auto"/>
              </w:rPr>
              <w:t>$</w:t>
            </w:r>
          </w:p>
        </w:tc>
        <w:tc>
          <w:tcPr>
            <w:tcW w:w="3620" w:type="dxa"/>
            <w:vAlign w:val="bottom"/>
            <w:shd w:val="clear" w:color="auto" w:fill="CCEEFF"/>
          </w:tcPr>
          <w:p>
            <w:pPr>
              <w:jc w:val="right"/>
              <w:ind w:right="2837"/>
              <w:spacing w:after="0"/>
              <w:rPr>
                <w:sz w:val="20"/>
                <w:szCs w:val="20"/>
                <w:color w:val="auto"/>
              </w:rPr>
            </w:pPr>
            <w:r>
              <w:rPr>
                <w:rFonts w:ascii="Times New Roman" w:cs="Times New Roman" w:eastAsia="Times New Roman" w:hAnsi="Times New Roman"/>
                <w:sz w:val="13"/>
                <w:szCs w:val="13"/>
                <w:color w:val="auto"/>
              </w:rPr>
              <w:t>75,483</w:t>
            </w:r>
          </w:p>
        </w:tc>
      </w:tr>
      <w:tr>
        <w:trPr>
          <w:trHeight w:val="173"/>
        </w:trPr>
        <w:tc>
          <w:tcPr>
            <w:tcW w:w="6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2,005</w:t>
            </w:r>
          </w:p>
        </w:tc>
        <w:tc>
          <w:tcPr>
            <w:tcW w:w="3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(6)</w:t>
            </w:r>
          </w:p>
        </w:tc>
        <w:tc>
          <w:tcPr>
            <w:tcW w:w="560" w:type="dxa"/>
            <w:vAlign w:val="bottom"/>
          </w:tcPr>
          <w:p>
            <w:pPr>
              <w:spacing w:after="0"/>
              <w:rPr>
                <w:sz w:val="15"/>
                <w:szCs w:val="15"/>
                <w:color w:val="auto"/>
              </w:rPr>
            </w:pPr>
          </w:p>
        </w:tc>
        <w:tc>
          <w:tcPr>
            <w:tcW w:w="3620" w:type="dxa"/>
            <w:vAlign w:val="bottom"/>
          </w:tcPr>
          <w:p>
            <w:pPr>
              <w:jc w:val="right"/>
              <w:ind w:right="2837"/>
              <w:spacing w:after="0"/>
              <w:rPr>
                <w:sz w:val="20"/>
                <w:szCs w:val="20"/>
                <w:color w:val="auto"/>
              </w:rPr>
            </w:pPr>
            <w:r>
              <w:rPr>
                <w:rFonts w:ascii="Times New Roman" w:cs="Times New Roman" w:eastAsia="Times New Roman" w:hAnsi="Times New Roman"/>
                <w:sz w:val="13"/>
                <w:szCs w:val="13"/>
                <w:color w:val="auto"/>
              </w:rPr>
              <w:t>92,170</w:t>
            </w: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3,271</w:t>
            </w:r>
          </w:p>
        </w:tc>
        <w:tc>
          <w:tcPr>
            <w:tcW w:w="3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(7)</w:t>
            </w:r>
          </w:p>
        </w:tc>
        <w:tc>
          <w:tcPr>
            <w:tcW w:w="52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150,368</w:t>
            </w:r>
          </w:p>
        </w:tc>
      </w:tr>
      <w:tr>
        <w:trPr>
          <w:trHeight w:val="173"/>
        </w:trPr>
        <w:tc>
          <w:tcPr>
            <w:tcW w:w="9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1,916</w:t>
            </w:r>
          </w:p>
        </w:tc>
        <w:tc>
          <w:tcPr>
            <w:tcW w:w="3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(8)</w:t>
            </w:r>
          </w:p>
        </w:tc>
        <w:tc>
          <w:tcPr>
            <w:tcW w:w="520" w:type="dxa"/>
            <w:vAlign w:val="bottom"/>
          </w:tcPr>
          <w:p>
            <w:pPr>
              <w:spacing w:after="0"/>
              <w:rPr>
                <w:sz w:val="15"/>
                <w:szCs w:val="15"/>
                <w:color w:val="auto"/>
              </w:rPr>
            </w:pPr>
          </w:p>
        </w:tc>
        <w:tc>
          <w:tcPr>
            <w:tcW w:w="8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88,079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1200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T.J. Felmer (13)</w:t>
      </w:r>
    </w:p>
    <w:p>
      <w:pPr>
        <w:spacing w:after="0" w:line="107" w:lineRule="exact"/>
        <w:rPr>
          <w:sz w:val="20"/>
          <w:szCs w:val="20"/>
          <w:color w:val="auto"/>
        </w:rPr>
      </w:pPr>
    </w:p>
    <w:p>
      <w:pPr>
        <w:ind w:left="640" w:hanging="308"/>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options vest on September 22, 2020.</w:t>
      </w:r>
    </w:p>
    <w:p>
      <w:pPr>
        <w:spacing w:after="0" w:line="2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One-half of the options vest on September 25, 2020 and the remaining options vest on September 25, 2021.</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of the options vest on September 20, 2020, one-third of the options vest on September 20, 2021, and one-third of the options vest on September 20, 2022.</w:t>
      </w:r>
    </w:p>
    <w:p>
      <w:pPr>
        <w:ind w:left="660" w:hanging="328"/>
        <w:spacing w:after="0" w:line="250" w:lineRule="auto"/>
        <w:tabs>
          <w:tab w:leader="none" w:pos="65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represents time-based restricted stock units awarded on September 22, 2017, as part of the annual fiscal 2018 equity grant. The remaining units vest on September 22, 2020.</w:t>
      </w:r>
    </w:p>
    <w:p>
      <w:pPr>
        <w:ind w:left="660" w:right="20" w:hanging="328"/>
        <w:spacing w:after="0" w:line="250" w:lineRule="auto"/>
        <w:tabs>
          <w:tab w:leader="none" w:pos="65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represents time-based restricted stock units awarded on September 25, 2018, as part of the annual fiscal 2019 equity grant. One-half of the units vest on September 25, 2020, and the remaining units vest on September 25, 2021.</w:t>
      </w:r>
    </w:p>
    <w:p>
      <w:pPr>
        <w:jc w:val="both"/>
        <w:ind w:left="660" w:right="20" w:hanging="328"/>
        <w:spacing w:after="0" w:line="250" w:lineRule="auto"/>
        <w:tabs>
          <w:tab w:leader="none" w:pos="65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represents time-based restricted stock units awarded on September 20, 2019, as part of the annual fiscal 2020 equity grant. One-third of the units vest on September 20, 2020, one-third of the units vest on September 20, 2021, and one-third of the units vest on September 20, 2022.</w:t>
      </w:r>
    </w:p>
    <w:p>
      <w:pPr>
        <w:jc w:val="both"/>
        <w:ind w:left="660" w:hanging="328"/>
        <w:spacing w:after="0" w:line="250" w:lineRule="auto"/>
        <w:tabs>
          <w:tab w:leader="none" w:pos="65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represents performance-based RSUs awarded on August 1, 2017, as part of the annual fiscal 2018 equity grant. These performance-based RSUs have a three-year performance period with the number of shares issued at vesting determined by the Company's achievement of organic revenue and operating income growth goals over the three-year performance period. Payout opportunities will range from 0% to 200% of the target award. The amounts listed above are based on the target value of each award (100%).</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represents performance-based RSUs awarded on August 1, 2018, as part of the annual fiscal 2019 equity grant. These performance-based RSUs have a three-year performance period with the number of shares issued at vesting determined by the Company's TSR relative to the S&amp;P 600 SmallCap Industrials Index. Payout opportunities will range from 0% to 200% of the target award. The amounts listed above are based on the target value of each award (100%).</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5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represents performance-based RSUs awarded on August 1, 2019, as part of the annual fiscal 2020 equity grant. These performance-based RSUs have a three-year performance period with the number of shares issued at vesting determined by the Company's TSR relative to the S&amp;P 600 SmallCap Industrials Index. Payout opportunities will range from 0% to 200% of the target award. The amounts listed above are based on the target value of each award (100%).</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2" w:name="page83"/>
    <w:bookmarkEnd w:id="82"/>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hanging="328"/>
        <w:spacing w:after="0" w:line="261" w:lineRule="auto"/>
        <w:tabs>
          <w:tab w:leader="none" w:pos="64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January 3, 2020, Mr. Deman was awarded 1,307 shares of time-based restricted stock units for retention purposes. The restricted stock units vest in increments of 10%, 20%, 30%, and 40% upon the first, second, third and fourth anniversaries of the grant date.</w:t>
      </w:r>
    </w:p>
    <w:p>
      <w:pPr>
        <w:ind w:left="660" w:hanging="328"/>
        <w:spacing w:after="0" w:line="250" w:lineRule="auto"/>
        <w:tabs>
          <w:tab w:leader="none" w:pos="64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September 20, 2018, Ms. Nelligan was awarded 8,963 shares of time-based restricted stock units for retention purposes. The restricted stock units vest in increments of 20%, 30%, and 50% upon the first, second and third anniversaries of the grant date.</w:t>
      </w:r>
    </w:p>
    <w:p>
      <w:pPr>
        <w:ind w:left="660" w:hanging="328"/>
        <w:spacing w:after="0" w:line="250" w:lineRule="auto"/>
        <w:tabs>
          <w:tab w:leader="none" w:pos="64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September 20, 2019, Mr. Shaller was awarded 9,251 shares of time-based restricted stock units for retention purposes. The restricted stock units vest in increments of 10%, 20%, 30%, and 40% upon the first, second, third and fourth anniversaries of the grant date.</w:t>
      </w:r>
    </w:p>
    <w:p>
      <w:pPr>
        <w:ind w:left="640" w:hanging="308"/>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Felmer had no outstanding option awards or stock awards outstanding as of July 31, 2020.</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 Exercises and Stock Vested for Fiscal 2020</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option exercises and the vesting of restricted stock during fiscal 2020 to the NEOs.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80" w:type="dxa"/>
            <w:vAlign w:val="bottom"/>
          </w:tcPr>
          <w:p>
            <w:pPr>
              <w:spacing w:after="0"/>
              <w:rPr>
                <w:sz w:val="16"/>
                <w:szCs w:val="16"/>
                <w:color w:val="auto"/>
              </w:rPr>
            </w:pPr>
          </w:p>
        </w:tc>
        <w:tc>
          <w:tcPr>
            <w:tcW w:w="3160" w:type="dxa"/>
            <w:vAlign w:val="bottom"/>
            <w:tcBorders>
              <w:bottom w:val="single" w:sz="8" w:color="auto"/>
            </w:tcBorders>
            <w:gridSpan w:val="4"/>
          </w:tcPr>
          <w:p>
            <w:pPr>
              <w:jc w:val="right"/>
              <w:ind w:right="1014"/>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00" w:type="dxa"/>
            <w:vAlign w:val="bottom"/>
          </w:tcPr>
          <w:p>
            <w:pPr>
              <w:spacing w:after="0"/>
              <w:rPr>
                <w:sz w:val="16"/>
                <w:szCs w:val="16"/>
                <w:color w:val="auto"/>
              </w:rPr>
            </w:pPr>
          </w:p>
        </w:tc>
        <w:tc>
          <w:tcPr>
            <w:tcW w:w="2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180" w:type="dxa"/>
            <w:vAlign w:val="bottom"/>
          </w:tcPr>
          <w:p>
            <w:pPr>
              <w:spacing w:after="0"/>
              <w:rPr>
                <w:sz w:val="12"/>
                <w:szCs w:val="12"/>
                <w:color w:val="auto"/>
              </w:rPr>
            </w:pPr>
          </w:p>
        </w:tc>
        <w:tc>
          <w:tcPr>
            <w:tcW w:w="13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Value Realized</w:t>
            </w:r>
          </w:p>
        </w:tc>
        <w:tc>
          <w:tcPr>
            <w:tcW w:w="1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380" w:type="dxa"/>
            <w:vAlign w:val="bottom"/>
          </w:tcPr>
          <w:p>
            <w:pPr>
              <w:spacing w:after="0"/>
              <w:rPr>
                <w:sz w:val="12"/>
                <w:szCs w:val="12"/>
                <w:color w:val="auto"/>
              </w:rPr>
            </w:pPr>
          </w:p>
        </w:tc>
        <w:tc>
          <w:tcPr>
            <w:tcW w:w="128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w w:val="97"/>
              </w:rPr>
              <w:t>Value Realized</w:t>
            </w:r>
          </w:p>
        </w:tc>
        <w:tc>
          <w:tcPr>
            <w:tcW w:w="0" w:type="dxa"/>
            <w:vAlign w:val="bottom"/>
          </w:tcPr>
          <w:p>
            <w:pPr>
              <w:spacing w:after="0"/>
              <w:rPr>
                <w:sz w:val="1"/>
                <w:szCs w:val="1"/>
                <w:color w:val="auto"/>
              </w:rPr>
            </w:pPr>
          </w:p>
        </w:tc>
      </w:tr>
      <w:tr>
        <w:trPr>
          <w:trHeight w:val="148"/>
        </w:trPr>
        <w:tc>
          <w:tcPr>
            <w:tcW w:w="4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Acquired on</w:t>
            </w:r>
          </w:p>
        </w:tc>
        <w:tc>
          <w:tcPr>
            <w:tcW w:w="18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480" w:type="dxa"/>
            <w:vAlign w:val="bottom"/>
            <w:vMerge w:val="continue"/>
          </w:tcPr>
          <w:p>
            <w:pPr>
              <w:spacing w:after="0"/>
              <w:rPr>
                <w:sz w:val="16"/>
                <w:szCs w:val="16"/>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Exercise (#)</w:t>
            </w:r>
          </w:p>
        </w:tc>
        <w:tc>
          <w:tcPr>
            <w:tcW w:w="180" w:type="dxa"/>
            <w:vAlign w:val="bottom"/>
          </w:tcPr>
          <w:p>
            <w:pPr>
              <w:spacing w:after="0"/>
              <w:rPr>
                <w:sz w:val="16"/>
                <w:szCs w:val="16"/>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on Exercise ($)</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Acquired on Vesting (#)</w:t>
            </w:r>
          </w:p>
        </w:tc>
        <w:tc>
          <w:tcPr>
            <w:tcW w:w="380" w:type="dxa"/>
            <w:vAlign w:val="bottom"/>
          </w:tcPr>
          <w:p>
            <w:pPr>
              <w:spacing w:after="0"/>
              <w:rPr>
                <w:sz w:val="16"/>
                <w:szCs w:val="16"/>
                <w:color w:val="auto"/>
              </w:rPr>
            </w:pPr>
          </w:p>
        </w:tc>
        <w:tc>
          <w:tcPr>
            <w:tcW w:w="128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on Vesting ($)</w:t>
            </w:r>
          </w:p>
        </w:tc>
        <w:tc>
          <w:tcPr>
            <w:tcW w:w="0" w:type="dxa"/>
            <w:vAlign w:val="bottom"/>
          </w:tcPr>
          <w:p>
            <w:pPr>
              <w:spacing w:after="0"/>
              <w:rPr>
                <w:sz w:val="1"/>
                <w:szCs w:val="1"/>
                <w:color w:val="auto"/>
              </w:rPr>
            </w:pPr>
          </w:p>
        </w:tc>
      </w:tr>
      <w:tr>
        <w:trPr>
          <w:trHeight w:val="248"/>
        </w:trPr>
        <w:tc>
          <w:tcPr>
            <w:tcW w:w="4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J.M. Nauman</w:t>
            </w:r>
          </w:p>
        </w:tc>
        <w:tc>
          <w:tcPr>
            <w:tcW w:w="1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2,744,493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4,032,170</w:t>
            </w:r>
          </w:p>
        </w:tc>
        <w:tc>
          <w:tcPr>
            <w:tcW w:w="0" w:type="dxa"/>
            <w:vAlign w:val="bottom"/>
          </w:tcPr>
          <w:p>
            <w:pPr>
              <w:spacing w:after="0"/>
              <w:rPr>
                <w:sz w:val="1"/>
                <w:szCs w:val="1"/>
                <w:color w:val="auto"/>
              </w:rPr>
            </w:pPr>
          </w:p>
        </w:tc>
      </w:tr>
      <w:tr>
        <w:trPr>
          <w:trHeight w:val="243"/>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A.J. Pearce</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1,445,813</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1,093,444</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 Deman</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66,087</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45,581</w:t>
            </w:r>
          </w:p>
        </w:tc>
        <w:tc>
          <w:tcPr>
            <w:tcW w:w="0" w:type="dxa"/>
            <w:vAlign w:val="bottom"/>
          </w:tcPr>
          <w:p>
            <w:pPr>
              <w:spacing w:after="0"/>
              <w:rPr>
                <w:sz w:val="1"/>
                <w:szCs w:val="1"/>
                <w:color w:val="auto"/>
              </w:rPr>
            </w:pPr>
          </w:p>
        </w:tc>
      </w:tr>
      <w:tr>
        <w:trPr>
          <w:trHeight w:val="243"/>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H.R. Nelligan</w:t>
            </w: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469,703</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R.R. Shaller</w:t>
            </w:r>
          </w:p>
        </w:tc>
        <w:tc>
          <w:tcPr>
            <w:tcW w:w="1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894,838</w:t>
            </w:r>
          </w:p>
        </w:tc>
        <w:tc>
          <w:tcPr>
            <w:tcW w:w="0" w:type="dxa"/>
            <w:vAlign w:val="bottom"/>
          </w:tcPr>
          <w:p>
            <w:pPr>
              <w:spacing w:after="0"/>
              <w:rPr>
                <w:sz w:val="1"/>
                <w:szCs w:val="1"/>
                <w:color w:val="auto"/>
              </w:rPr>
            </w:pPr>
          </w:p>
        </w:tc>
      </w:tr>
      <w:tr>
        <w:trPr>
          <w:trHeight w:val="243"/>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L.T. Bolognini</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68,763</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449,491</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T.J. Felmer</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240,322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6,214,208</w:t>
            </w:r>
          </w:p>
        </w:tc>
        <w:tc>
          <w:tcPr>
            <w:tcW w:w="10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22,179</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1,159,082</w:t>
            </w:r>
          </w:p>
        </w:tc>
        <w:tc>
          <w:tcPr>
            <w:tcW w:w="0" w:type="dxa"/>
            <w:vAlign w:val="bottom"/>
          </w:tcPr>
          <w:p>
            <w:pPr>
              <w:spacing w:after="0"/>
              <w:rPr>
                <w:sz w:val="1"/>
                <w:szCs w:val="1"/>
                <w:color w:val="auto"/>
              </w:rPr>
            </w:pPr>
          </w:p>
        </w:tc>
      </w:tr>
      <w:tr>
        <w:trPr>
          <w:trHeight w:val="27"/>
        </w:trPr>
        <w:tc>
          <w:tcPr>
            <w:tcW w:w="448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Pension Benefits at July 31, 2020</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Mr. Deman is a participant in the Brady Corporation Belgium Pension Plan, which is a closed insured defined benefit pension plan that provides benefits for certain employees residing in Belgium hired prior to October 31, 2005. The benefits earned under the plan are payable at normal retirement age in the form of a single lump sum.</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At retirement, the lump sum is equal to the sum of 4.875% of the most recent five-year average annual base salary up to the Social Security ceiling plus 22.75% of the most recent five-year average annual base salary in excess of the Social Security ceiling, multiplied by the years of pensionable service. Years of pensionable service include all years and complete months of service from the date of hire through October 31, 2005, up to a maximum of 40 years. Normal retirement age for participants is age 65. </w:t>
      </w:r>
      <w:r>
        <w:rPr>
          <w:rFonts w:ascii="Times New Roman" w:cs="Times New Roman" w:eastAsia="Times New Roman" w:hAnsi="Times New Roman"/>
          <w:sz w:val="18"/>
          <w:szCs w:val="18"/>
          <w:color w:val="262626"/>
        </w:rPr>
        <w:t>Participants who are age 60-64 may elect to retire early and receive a 5% reduction in benefits per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62626"/>
        </w:rPr>
        <w:t>year of early retirement.</w:t>
      </w:r>
    </w:p>
    <w:p>
      <w:pPr>
        <w:spacing w:after="0" w:line="129" w:lineRule="exact"/>
        <w:rPr>
          <w:sz w:val="20"/>
          <w:szCs w:val="20"/>
          <w:color w:val="auto"/>
        </w:rPr>
      </w:pPr>
    </w:p>
    <w:p>
      <w:pPr>
        <w:jc w:val="both"/>
        <w:ind w:firstLine="324"/>
        <w:spacing w:after="0" w:line="278" w:lineRule="auto"/>
        <w:rPr>
          <w:sz w:val="20"/>
          <w:szCs w:val="20"/>
          <w:color w:val="auto"/>
        </w:rPr>
      </w:pPr>
      <w:r>
        <w:rPr>
          <w:rFonts w:ascii="Times New Roman" w:cs="Times New Roman" w:eastAsia="Times New Roman" w:hAnsi="Times New Roman"/>
          <w:sz w:val="18"/>
          <w:szCs w:val="18"/>
          <w:color w:val="auto"/>
        </w:rPr>
        <w:t>The following table summarizes the actuarial present value of the pension benefit accumulated by Mr. Deman under the Brady Corporation Belgium Pension Plan as of July 31, 2020.</w:t>
      </w:r>
    </w:p>
    <w:tbl>
      <w:tblPr>
        <w:tblLayout w:type="fixed"/>
        <w:tblInd w:w="0" w:type="dxa"/>
        <w:tblCellMar>
          <w:top w:w="0" w:type="dxa"/>
          <w:left w:w="0" w:type="dxa"/>
          <w:bottom w:w="0" w:type="dxa"/>
          <w:right w:w="0" w:type="dxa"/>
        </w:tblCellMar>
      </w:tblPr>
      <w:tr>
        <w:trPr>
          <w:trHeight w:val="149"/>
        </w:trPr>
        <w:tc>
          <w:tcPr>
            <w:tcW w:w="208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Number of Years</w:t>
            </w:r>
          </w:p>
        </w:tc>
        <w:tc>
          <w:tcPr>
            <w:tcW w:w="140" w:type="dxa"/>
            <w:vAlign w:val="bottom"/>
          </w:tcPr>
          <w:p>
            <w:pPr>
              <w:spacing w:after="0"/>
              <w:rPr>
                <w:sz w:val="12"/>
                <w:szCs w:val="12"/>
                <w:color w:val="auto"/>
              </w:rPr>
            </w:pPr>
          </w:p>
        </w:tc>
        <w:tc>
          <w:tcPr>
            <w:tcW w:w="16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Present Value of</w:t>
            </w:r>
          </w:p>
        </w:tc>
        <w:tc>
          <w:tcPr>
            <w:tcW w:w="140" w:type="dxa"/>
            <w:vAlign w:val="bottom"/>
          </w:tcPr>
          <w:p>
            <w:pPr>
              <w:spacing w:after="0"/>
              <w:rPr>
                <w:sz w:val="12"/>
                <w:szCs w:val="12"/>
                <w:color w:val="auto"/>
              </w:rPr>
            </w:pPr>
          </w:p>
        </w:tc>
        <w:tc>
          <w:tcPr>
            <w:tcW w:w="154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Payments During Last</w:t>
            </w:r>
          </w:p>
        </w:tc>
        <w:tc>
          <w:tcPr>
            <w:tcW w:w="0" w:type="dxa"/>
            <w:vAlign w:val="bottom"/>
          </w:tcPr>
          <w:p>
            <w:pPr>
              <w:spacing w:after="0"/>
              <w:rPr>
                <w:sz w:val="1"/>
                <w:szCs w:val="1"/>
                <w:color w:val="auto"/>
              </w:rPr>
            </w:pPr>
          </w:p>
        </w:tc>
      </w:tr>
      <w:tr>
        <w:trPr>
          <w:trHeight w:val="148"/>
        </w:trPr>
        <w:tc>
          <w:tcPr>
            <w:tcW w:w="2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4040" w:type="dxa"/>
            <w:vAlign w:val="bottom"/>
            <w:vMerge w:val="restart"/>
          </w:tcPr>
          <w:p>
            <w:pPr>
              <w:ind w:left="1680"/>
              <w:spacing w:after="0"/>
              <w:rPr>
                <w:sz w:val="20"/>
                <w:szCs w:val="20"/>
                <w:color w:val="auto"/>
              </w:rPr>
            </w:pPr>
            <w:r>
              <w:rPr>
                <w:rFonts w:ascii="Times New Roman" w:cs="Times New Roman" w:eastAsia="Times New Roman" w:hAnsi="Times New Roman"/>
                <w:sz w:val="14"/>
                <w:szCs w:val="14"/>
                <w:b w:val="1"/>
                <w:bCs w:val="1"/>
                <w:color w:val="auto"/>
              </w:rPr>
              <w:t>Plan Name</w:t>
            </w:r>
          </w:p>
        </w:tc>
        <w:tc>
          <w:tcPr>
            <w:tcW w:w="120" w:type="dxa"/>
            <w:vAlign w:val="bottom"/>
            <w:vMerge w:val="restart"/>
          </w:tcPr>
          <w:p>
            <w:pPr>
              <w:spacing w:after="0"/>
              <w:rPr>
                <w:sz w:val="12"/>
                <w:szCs w:val="12"/>
                <w:color w:val="auto"/>
              </w:rPr>
            </w:pPr>
          </w:p>
        </w:tc>
        <w:tc>
          <w:tcPr>
            <w:tcW w:w="15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Credited Service</w:t>
            </w:r>
          </w:p>
        </w:tc>
        <w:tc>
          <w:tcPr>
            <w:tcW w:w="140" w:type="dxa"/>
            <w:vAlign w:val="bottom"/>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 Benefit</w:t>
            </w:r>
          </w:p>
        </w:tc>
        <w:tc>
          <w:tcPr>
            <w:tcW w:w="140" w:type="dxa"/>
            <w:vAlign w:val="bottom"/>
          </w:tcPr>
          <w:p>
            <w:pPr>
              <w:spacing w:after="0"/>
              <w:rPr>
                <w:sz w:val="12"/>
                <w:szCs w:val="12"/>
                <w:color w:val="auto"/>
              </w:rPr>
            </w:pPr>
          </w:p>
        </w:tc>
        <w:tc>
          <w:tcPr>
            <w:tcW w:w="1540" w:type="dxa"/>
            <w:vAlign w:val="bottom"/>
          </w:tcPr>
          <w:p>
            <w:pPr>
              <w:jc w:val="center"/>
              <w:ind w:right="104"/>
              <w:spacing w:after="0" w:line="149" w:lineRule="exact"/>
              <w:rPr>
                <w:sz w:val="20"/>
                <w:szCs w:val="20"/>
                <w:color w:val="auto"/>
              </w:rPr>
            </w:pPr>
            <w:r>
              <w:rPr>
                <w:rFonts w:ascii="Times New Roman" w:cs="Times New Roman" w:eastAsia="Times New Roman" w:hAnsi="Times New Roman"/>
                <w:sz w:val="14"/>
                <w:szCs w:val="14"/>
                <w:b w:val="1"/>
                <w:bCs w:val="1"/>
                <w:color w:val="auto"/>
                <w:w w:val="99"/>
              </w:rPr>
              <w:t>Fiscal Year</w:t>
            </w:r>
          </w:p>
        </w:tc>
        <w:tc>
          <w:tcPr>
            <w:tcW w:w="0" w:type="dxa"/>
            <w:vAlign w:val="bottom"/>
          </w:tcPr>
          <w:p>
            <w:pPr>
              <w:spacing w:after="0"/>
              <w:rPr>
                <w:sz w:val="1"/>
                <w:szCs w:val="1"/>
                <w:color w:val="auto"/>
              </w:rPr>
            </w:pPr>
          </w:p>
        </w:tc>
      </w:tr>
      <w:tr>
        <w:trPr>
          <w:trHeight w:val="195"/>
        </w:trPr>
        <w:tc>
          <w:tcPr>
            <w:tcW w:w="2080" w:type="dxa"/>
            <w:vAlign w:val="bottom"/>
            <w:tcBorders>
              <w:bottom w:val="single" w:sz="8" w:color="CCEEFF"/>
            </w:tcBorders>
            <w:vMerge w:val="continue"/>
          </w:tcPr>
          <w:p>
            <w:pPr>
              <w:spacing w:after="0"/>
              <w:rPr>
                <w:sz w:val="16"/>
                <w:szCs w:val="16"/>
                <w:color w:val="auto"/>
              </w:rPr>
            </w:pPr>
          </w:p>
        </w:tc>
        <w:tc>
          <w:tcPr>
            <w:tcW w:w="4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($)(1)(2)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41"/>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 Deman</w:t>
            </w:r>
          </w:p>
        </w:tc>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Brady Corporation Belgium Pension Plan</w:t>
            </w:r>
          </w:p>
        </w:tc>
        <w:tc>
          <w:tcPr>
            <w:tcW w:w="14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52,429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80" w:type="dxa"/>
            <w:vAlign w:val="bottom"/>
            <w:shd w:val="clear" w:color="auto" w:fill="CCEEFF"/>
          </w:tcPr>
          <w:p>
            <w:pPr>
              <w:spacing w:after="0"/>
              <w:rPr>
                <w:sz w:val="2"/>
                <w:szCs w:val="2"/>
                <w:color w:val="auto"/>
              </w:rPr>
            </w:pPr>
          </w:p>
        </w:tc>
        <w:tc>
          <w:tcPr>
            <w:tcW w:w="4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firstLine="332"/>
        <w:spacing w:after="0" w:line="261" w:lineRule="auto"/>
        <w:tabs>
          <w:tab w:leader="none" w:pos="58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accumulated benefit in this table for Mr. Deman will be paid to him in Euros. The amount shown in U.S. dollars was converted from Euro at the exchange rate as of July 31, 2020: 1 EUR= 1.1846 USD.</w:t>
      </w:r>
    </w:p>
    <w:p>
      <w:pPr>
        <w:jc w:val="both"/>
        <w:ind w:firstLine="332"/>
        <w:spacing w:after="0" w:line="253" w:lineRule="auto"/>
        <w:tabs>
          <w:tab w:leader="none" w:pos="59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value of accumulated pension benefit was calculated using the following assumptions: A calculation date of July 31, 2020, a 1.5% discount rate, retirement occurring at normal retirement age of 65, and Belgium MR-5/FR-5 Mortality Tables. The valuation method used to determine the present value of the accumulated benefit is the same as the method used for financial reporting purposes as of July 31, 2020. The value of the pension benefit Mr. Deman will ultimately receive will differ to the extent facts and circumstances vary from what this calculation assumes.</w:t>
      </w:r>
    </w:p>
    <w:p>
      <w:pPr>
        <w:spacing w:after="0" w:line="21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aggregate change in the present value of Mr. Deman's accumulated pension benefit under the Brady Corporation Belgium Defined Benefit Pension Plan during fiscal 2020 was negligible and therefore was not included in the Summary Compensation Table.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3" w:name="page84"/>
    <w:bookmarkEnd w:id="83"/>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Non-Qualified Deferred Compensation for Fiscal 2020</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activity within the Executive Deferred Compensation Plan and the Brady Restoration Plan during fiscal 2020 for the NEOs.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140" w:type="dxa"/>
            <w:vAlign w:val="bottom"/>
          </w:tcPr>
          <w:p>
            <w:pPr>
              <w:spacing w:after="0"/>
              <w:rPr>
                <w:sz w:val="13"/>
                <w:szCs w:val="13"/>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220" w:type="dxa"/>
            <w:vAlign w:val="bottom"/>
          </w:tcPr>
          <w:p>
            <w:pPr>
              <w:spacing w:after="0"/>
              <w:rPr>
                <w:sz w:val="13"/>
                <w:szCs w:val="13"/>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180" w:type="dxa"/>
            <w:vAlign w:val="bottom"/>
          </w:tcPr>
          <w:p>
            <w:pPr>
              <w:jc w:val="center"/>
              <w:ind w:left="204"/>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80" w:type="dxa"/>
            <w:vAlign w:val="bottom"/>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15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Contribution in Fiscal</w:t>
            </w:r>
          </w:p>
        </w:tc>
        <w:tc>
          <w:tcPr>
            <w:tcW w:w="14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Contributions in</w:t>
            </w:r>
          </w:p>
        </w:tc>
        <w:tc>
          <w:tcPr>
            <w:tcW w:w="22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Earnings in</w:t>
            </w:r>
          </w:p>
        </w:tc>
        <w:tc>
          <w:tcPr>
            <w:tcW w:w="1180" w:type="dxa"/>
            <w:vAlign w:val="bottom"/>
          </w:tcPr>
          <w:p>
            <w:pPr>
              <w:jc w:val="center"/>
              <w:ind w:left="224"/>
              <w:spacing w:after="0" w:line="149" w:lineRule="exact"/>
              <w:rPr>
                <w:sz w:val="20"/>
                <w:szCs w:val="20"/>
                <w:color w:val="auto"/>
              </w:rPr>
            </w:pPr>
            <w:r>
              <w:rPr>
                <w:rFonts w:ascii="Times New Roman" w:cs="Times New Roman" w:eastAsia="Times New Roman" w:hAnsi="Times New Roman"/>
                <w:sz w:val="14"/>
                <w:szCs w:val="14"/>
                <w:b w:val="1"/>
                <w:bCs w:val="1"/>
                <w:color w:val="auto"/>
              </w:rPr>
              <w:t>Withdrawals/</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tcPr>
          <w:p>
            <w:pPr>
              <w:jc w:val="center"/>
              <w:ind w:right="197"/>
              <w:spacing w:after="0" w:line="149"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8"/>
        </w:trPr>
        <w:tc>
          <w:tcPr>
            <w:tcW w:w="3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80" w:type="dxa"/>
            <w:vAlign w:val="bottom"/>
          </w:tcPr>
          <w:p>
            <w:pPr>
              <w:spacing w:after="0"/>
              <w:rPr>
                <w:sz w:val="12"/>
                <w:szCs w:val="12"/>
                <w:color w:val="auto"/>
              </w:rPr>
            </w:pPr>
          </w:p>
        </w:tc>
        <w:tc>
          <w:tcPr>
            <w:tcW w:w="1180" w:type="dxa"/>
            <w:vAlign w:val="bottom"/>
          </w:tcPr>
          <w:p>
            <w:pPr>
              <w:jc w:val="right"/>
              <w:ind w:right="495"/>
              <w:spacing w:after="0" w:line="149"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Fiscal 2020</w:t>
            </w:r>
          </w:p>
        </w:tc>
        <w:tc>
          <w:tcPr>
            <w:tcW w:w="22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Fiscal 2020</w:t>
            </w:r>
          </w:p>
        </w:tc>
        <w:tc>
          <w:tcPr>
            <w:tcW w:w="1180" w:type="dxa"/>
            <w:vAlign w:val="bottom"/>
          </w:tcPr>
          <w:p>
            <w:pPr>
              <w:jc w:val="center"/>
              <w:ind w:left="204"/>
              <w:spacing w:after="0" w:line="149" w:lineRule="exact"/>
              <w:rPr>
                <w:sz w:val="20"/>
                <w:szCs w:val="20"/>
                <w:color w:val="auto"/>
              </w:rPr>
            </w:pPr>
            <w:r>
              <w:rPr>
                <w:rFonts w:ascii="Times New Roman" w:cs="Times New Roman" w:eastAsia="Times New Roman" w:hAnsi="Times New Roman"/>
                <w:sz w:val="14"/>
                <w:szCs w:val="14"/>
                <w:b w:val="1"/>
                <w:bCs w:val="1"/>
                <w:color w:val="auto"/>
              </w:rPr>
              <w:t>Distributions</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tcPr>
          <w:p>
            <w:pPr>
              <w:jc w:val="center"/>
              <w:ind w:right="237"/>
              <w:spacing w:after="0" w:line="149" w:lineRule="exact"/>
              <w:rPr>
                <w:sz w:val="20"/>
                <w:szCs w:val="20"/>
                <w:color w:val="auto"/>
              </w:rPr>
            </w:pPr>
            <w:r>
              <w:rPr>
                <w:rFonts w:ascii="Times New Roman" w:cs="Times New Roman" w:eastAsia="Times New Roman" w:hAnsi="Times New Roman"/>
                <w:sz w:val="14"/>
                <w:szCs w:val="14"/>
                <w:b w:val="1"/>
                <w:bCs w:val="1"/>
                <w:color w:val="auto"/>
              </w:rPr>
              <w:t>July 31, 2020</w:t>
            </w:r>
          </w:p>
        </w:tc>
        <w:tc>
          <w:tcPr>
            <w:tcW w:w="0" w:type="dxa"/>
            <w:vAlign w:val="bottom"/>
          </w:tcPr>
          <w:p>
            <w:pPr>
              <w:spacing w:after="0"/>
              <w:rPr>
                <w:sz w:val="1"/>
                <w:szCs w:val="1"/>
                <w:color w:val="auto"/>
              </w:rPr>
            </w:pPr>
          </w:p>
        </w:tc>
      </w:tr>
      <w:tr>
        <w:trPr>
          <w:trHeight w:val="195"/>
        </w:trPr>
        <w:tc>
          <w:tcPr>
            <w:tcW w:w="308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ind w:left="204"/>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48"/>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J.M. Nauman</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847,275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145,384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128,539</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8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2,718,252</w:t>
            </w:r>
          </w:p>
        </w:tc>
        <w:tc>
          <w:tcPr>
            <w:tcW w:w="0" w:type="dxa"/>
            <w:vAlign w:val="bottom"/>
          </w:tcPr>
          <w:p>
            <w:pPr>
              <w:spacing w:after="0"/>
              <w:rPr>
                <w:sz w:val="1"/>
                <w:szCs w:val="1"/>
                <w:color w:val="auto"/>
              </w:rPr>
            </w:pPr>
          </w:p>
        </w:tc>
      </w:tr>
      <w:tr>
        <w:trPr>
          <w:trHeight w:val="243"/>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A.J. Pearce</w:t>
            </w:r>
          </w:p>
        </w:tc>
        <w:tc>
          <w:tcPr>
            <w:tcW w:w="2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234,408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35,589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(33,169)</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1,383,953</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 Deman</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H.R. Nelligan</w:t>
            </w:r>
          </w:p>
        </w:tc>
        <w:tc>
          <w:tcPr>
            <w:tcW w:w="2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282,680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7,207</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428,490</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R.R. Shaller</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17,493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34,986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224,279</w:t>
            </w:r>
          </w:p>
        </w:tc>
        <w:tc>
          <w:tcPr>
            <w:tcW w:w="0" w:type="dxa"/>
            <w:vAlign w:val="bottom"/>
          </w:tcPr>
          <w:p>
            <w:pPr>
              <w:spacing w:after="0"/>
              <w:rPr>
                <w:sz w:val="1"/>
                <w:szCs w:val="1"/>
                <w:color w:val="auto"/>
              </w:rPr>
            </w:pPr>
          </w:p>
        </w:tc>
      </w:tr>
      <w:tr>
        <w:trPr>
          <w:trHeight w:val="243"/>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L.T. Bolognini</w:t>
            </w:r>
          </w:p>
        </w:tc>
        <w:tc>
          <w:tcPr>
            <w:tcW w:w="2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59,453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32,720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27,337</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337,812</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T.J. Felmer</w:t>
            </w: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4,745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716,082</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5,757,249</w:t>
            </w:r>
          </w:p>
        </w:tc>
        <w:tc>
          <w:tcPr>
            <w:tcW w:w="0" w:type="dxa"/>
            <w:vAlign w:val="bottom"/>
          </w:tcPr>
          <w:p>
            <w:pPr>
              <w:spacing w:after="0"/>
              <w:rPr>
                <w:sz w:val="1"/>
                <w:szCs w:val="1"/>
                <w:color w:val="auto"/>
              </w:rPr>
            </w:pPr>
          </w:p>
        </w:tc>
      </w:tr>
      <w:tr>
        <w:trPr>
          <w:trHeight w:val="27"/>
        </w:trPr>
        <w:tc>
          <w:tcPr>
            <w:tcW w:w="30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executive contribution amounts included in this table are derived from the Salary and Non-Equity Incentive Plan Compensation columns of the Summary Compensation Table. The registrant contribution amounts included in this table are reported in the All Other Compensation columns of the Summary Compensation Table, and amounts reported in the aggregate balance at July 31, 2020, previously were reported as compensation to the NEO in the Summary Compensation Table for previous years. See discussion of the Company's non-qualified deferred compensation plan in the Compensation Discussion and Analysis.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Payments Upon Termination or Change in Control</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described in the Employment and Change of Control Agreements section of the Compensation Discussion and Analysis above, the Company has entered into separate severance agreements, employment agreements, and change of control agreements with certain NEOs.</w:t>
      </w:r>
    </w:p>
    <w:p>
      <w:pPr>
        <w:spacing w:after="0" w:line="10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terms of severance arrangements with Messrs. Nauman and Shaller are triggered if (i) the executive’s employment with the Company is involuntarily terminated by the Company without cause or (ii) the executive’s employment with the Company is voluntarily terminated by the executive subsequent to (a) a material reduction in the total of the executive’s annual base salary and target annual cash incentive without the prior written agreement of the executive, (b) a significant diminution in the authority, duties or responsibilities of the executive without the executive’s prior written agreement, or</w:t>
      </w:r>
    </w:p>
    <w:p>
      <w:pPr>
        <w:spacing w:after="0" w:line="3" w:lineRule="exact"/>
        <w:rPr>
          <w:sz w:val="20"/>
          <w:szCs w:val="20"/>
          <w:color w:val="auto"/>
        </w:rPr>
      </w:pPr>
    </w:p>
    <w:p>
      <w:pPr>
        <w:ind w:firstLine="8"/>
        <w:spacing w:after="0" w:line="260" w:lineRule="auto"/>
        <w:tabs>
          <w:tab w:leader="none" w:pos="24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relocation of the executive’s position to a principal work location more than 50 miles from Milwaukee, Wisconsin or from the executive’s principal place of residence, without the executive’s prior written agreement. The other NEOs are not covered by severance arrangements.</w:t>
      </w:r>
    </w:p>
    <w:p>
      <w:pPr>
        <w:spacing w:after="0" w:line="1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terms of the non-compete clause under the employment agreement with Mr. Deman are triggered if his employment agreement is terminated and the Company chooses to enforce the terms of the 12-month non-compete clause. The Company reserves the right to waive the non-compete clause under the agreement, at which point no non-compete compensation would be owed to Mr. Deman. Should Mr. Deman's employment contract be terminated, he would receive a statutory severance payment equal to 6 months of the average monthly compensation, inclusive of base salary and bonus, paid to him during the last 12 months of his employment.</w:t>
      </w:r>
    </w:p>
    <w:p>
      <w:pPr>
        <w:spacing w:after="0" w:line="1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terms of the change of control agreement are triggered if, within a 24-month period beginning with the date a change of control occurs, (i) the executive’s employment with the Company is involuntarily terminated other than by reason of death, disability or cause or (ii) the executive’s employment with the Company is voluntarily terminated by the executive subsequent to (a) any reduction in the total of the executive’s annual base salary, exclusive of fringe benefits, and the executive’s target annual cash incentive in comparison with the executive’s annual base salary and target annual cash incentive immediately prior to the date the change of control occurs, (b) a significant diminution in the responsibilities or authority of the executive in comparison with the executive’s responsibility and authority immediately prior to the date the change of control occurs, or (c) the imposition of a requirement by the Company that the executive relocate to a principal work location more than 50 miles from the executive’s principal work location immediately prior to the date the change of control occurs.</w:t>
      </w:r>
    </w:p>
    <w:p>
      <w:pPr>
        <w:spacing w:after="0" w:line="1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Following termination due to a change in control, executives shall be paid a multiplier of their annual base salary in effect immediately prior to the date the change of control occurs, plus a multiplier of their average annual cash incentive payment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4" w:name="page85"/>
    <w:bookmarkEnd w:id="84"/>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received over a three-year period prior to the date the change of control occurs. For Mr. Nauman, a multiplier of the target annual cash incentive amount in effect immediately prior to the date the change of control applies instead of the average annual cash incentive payment received over the prior three-year period. If the payments upon termination due to change of control result in any excise tax incurred by Messrs. Nauman, Pearce, Shaller, and Ms. Nelligan as a result of Section 280(g) of the Internal Revenue Code, the officer will be solely responsible for such excise tax. The Company will also reimburse a maximum of $25,000 of legal fees incurred by the executives in order to enforce the change of control agreement, in which the executive prevails.</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information and tables set forth the amount of payments to each NEO in the event of termination of employment as a result of a change of control. See the section entitled "Retirement of Thomas J. Felmer" above in the Compensation Discussion and Analysis section for a description of the severance benefits paid to Mr. Felmer upon his retirement. No other employment agreements providing specified payments upon termination have been entered into between the Company and any of the NEOs in fiscal year 2020.</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Assumptions and General Principles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assumptions and general principles apply with respect to the tables that follow in this section.</w:t>
      </w:r>
    </w:p>
    <w:p>
      <w:pPr>
        <w:spacing w:after="0" w:line="171" w:lineRule="exact"/>
        <w:rPr>
          <w:sz w:val="20"/>
          <w:szCs w:val="20"/>
          <w:color w:val="auto"/>
        </w:rPr>
      </w:pPr>
    </w:p>
    <w:p>
      <w:pPr>
        <w:jc w:val="both"/>
        <w:ind w:left="660" w:hanging="328"/>
        <w:spacing w:after="0" w:line="257"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detailed in the tables assume that each NEO terminated employment on July 31, 2020. Accordingly, the tables reflect amounts earned as of July 31, 2020, and include estimates of amounts that would be paid to the NEO upon the termination or occurrence of a change in control. The actual amounts that would be paid to an NEO can only be determined at the time of termination.</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tables below include amounts the Company is obligated to pay the NEO as a result of the severance agreement and executed change in control agreement. The tables do not include benefits that are paid generally to all salaried employees or a broad group of salaried employees. Therefore, the NEOs would receive benefits in addition to those set forth in the tables.</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NEO is entitled to receive base salary earned during their term of employment regardless of the manner in which the named executive officer’s employment is terminated. As such, this amount is not disclosed in the tables.</w:t>
      </w:r>
    </w:p>
    <w:p>
      <w:pPr>
        <w:spacing w:after="0" w:line="1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J. Michael Nauman</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details the amount payable assuming that the terms of the change of control agreement were triggered on July 31, 2020, and the NEO was required to legally enforce the terms of the agreement.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Annual Cash</w:t>
            </w:r>
          </w:p>
        </w:tc>
        <w:tc>
          <w:tcPr>
            <w:tcW w:w="220" w:type="dxa"/>
            <w:vAlign w:val="bottom"/>
          </w:tcPr>
          <w:p>
            <w:pPr>
              <w:spacing w:after="0"/>
              <w:rPr>
                <w:sz w:val="13"/>
                <w:szCs w:val="13"/>
                <w:color w:val="auto"/>
              </w:rPr>
            </w:pPr>
          </w:p>
        </w:tc>
        <w:tc>
          <w:tcPr>
            <w:tcW w:w="16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280" w:type="dxa"/>
            <w:vAlign w:val="bottom"/>
          </w:tcPr>
          <w:p>
            <w:pPr>
              <w:spacing w:after="0"/>
              <w:rPr>
                <w:sz w:val="13"/>
                <w:szCs w:val="13"/>
                <w:color w:val="auto"/>
              </w:rPr>
            </w:pPr>
          </w:p>
        </w:tc>
        <w:tc>
          <w:tcPr>
            <w:tcW w:w="15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Stock Option</w:t>
            </w:r>
          </w:p>
        </w:tc>
        <w:tc>
          <w:tcPr>
            <w:tcW w:w="260" w:type="dxa"/>
            <w:vAlign w:val="bottom"/>
          </w:tcPr>
          <w:p>
            <w:pPr>
              <w:spacing w:after="0"/>
              <w:rPr>
                <w:sz w:val="13"/>
                <w:szCs w:val="13"/>
                <w:color w:val="auto"/>
              </w:rPr>
            </w:pPr>
          </w:p>
        </w:tc>
        <w:tc>
          <w:tcPr>
            <w:tcW w:w="16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Legal Fee</w:t>
            </w:r>
          </w:p>
        </w:tc>
        <w:tc>
          <w:tcPr>
            <w:tcW w:w="3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20" w:type="dxa"/>
            <w:vAlign w:val="bottom"/>
          </w:tcPr>
          <w:p>
            <w:pPr>
              <w:spacing w:after="0"/>
              <w:rPr>
                <w:sz w:val="12"/>
                <w:szCs w:val="12"/>
                <w:color w:val="auto"/>
              </w:rPr>
            </w:pPr>
          </w:p>
        </w:tc>
        <w:tc>
          <w:tcPr>
            <w:tcW w:w="16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Base Salary ($) (1)</w:t>
            </w:r>
          </w:p>
        </w:tc>
        <w:tc>
          <w:tcPr>
            <w:tcW w:w="24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Unit Acceleration</w:t>
            </w:r>
          </w:p>
        </w:tc>
        <w:tc>
          <w:tcPr>
            <w:tcW w:w="280" w:type="dxa"/>
            <w:vAlign w:val="bottom"/>
          </w:tcPr>
          <w:p>
            <w:pPr>
              <w:spacing w:after="0"/>
              <w:rPr>
                <w:sz w:val="12"/>
                <w:szCs w:val="12"/>
                <w:color w:val="auto"/>
              </w:rPr>
            </w:pPr>
          </w:p>
        </w:tc>
        <w:tc>
          <w:tcPr>
            <w:tcW w:w="15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Acceleration</w:t>
            </w:r>
          </w:p>
        </w:tc>
        <w:tc>
          <w:tcPr>
            <w:tcW w:w="260" w:type="dxa"/>
            <w:vAlign w:val="bottom"/>
          </w:tcPr>
          <w:p>
            <w:pPr>
              <w:spacing w:after="0"/>
              <w:rPr>
                <w:sz w:val="12"/>
                <w:szCs w:val="12"/>
                <w:color w:val="auto"/>
              </w:rPr>
            </w:pPr>
          </w:p>
        </w:tc>
        <w:tc>
          <w:tcPr>
            <w:tcW w:w="16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Reimbursement</w:t>
            </w:r>
          </w:p>
        </w:tc>
        <w:tc>
          <w:tcPr>
            <w:tcW w:w="360" w:type="dxa"/>
            <w:vAlign w:val="bottom"/>
          </w:tcPr>
          <w:p>
            <w:pPr>
              <w:spacing w:after="0"/>
              <w:rPr>
                <w:sz w:val="12"/>
                <w:szCs w:val="12"/>
                <w:color w:val="auto"/>
              </w:rPr>
            </w:pPr>
          </w:p>
        </w:tc>
        <w:tc>
          <w:tcPr>
            <w:tcW w:w="1400" w:type="dxa"/>
            <w:vAlign w:val="bottom"/>
            <w:vMerge w:val="restart"/>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95"/>
        </w:trPr>
        <w:tc>
          <w:tcPr>
            <w:tcW w:w="22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Incentive ($) (2)</w:t>
            </w:r>
          </w:p>
        </w:tc>
        <w:tc>
          <w:tcPr>
            <w:tcW w:w="220" w:type="dxa"/>
            <w:vAlign w:val="bottom"/>
          </w:tcPr>
          <w:p>
            <w:pPr>
              <w:spacing w:after="0"/>
              <w:rPr>
                <w:sz w:val="16"/>
                <w:szCs w:val="16"/>
                <w:color w:val="auto"/>
              </w:rPr>
            </w:pPr>
          </w:p>
        </w:tc>
        <w:tc>
          <w:tcPr>
            <w:tcW w:w="16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Gain ($) (3)</w:t>
            </w:r>
          </w:p>
        </w:tc>
        <w:tc>
          <w:tcPr>
            <w:tcW w:w="280" w:type="dxa"/>
            <w:vAlign w:val="bottom"/>
          </w:tcPr>
          <w:p>
            <w:pPr>
              <w:spacing w:after="0"/>
              <w:rPr>
                <w:sz w:val="16"/>
                <w:szCs w:val="16"/>
                <w:color w:val="auto"/>
              </w:rPr>
            </w:pPr>
          </w:p>
        </w:tc>
        <w:tc>
          <w:tcPr>
            <w:tcW w:w="15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Gain ($) (4)</w:t>
            </w:r>
          </w:p>
        </w:tc>
        <w:tc>
          <w:tcPr>
            <w:tcW w:w="260" w:type="dxa"/>
            <w:vAlign w:val="bottom"/>
          </w:tcPr>
          <w:p>
            <w:pPr>
              <w:spacing w:after="0"/>
              <w:rPr>
                <w:sz w:val="16"/>
                <w:szCs w:val="16"/>
                <w:color w:val="auto"/>
              </w:rPr>
            </w:pPr>
          </w:p>
        </w:tc>
        <w:tc>
          <w:tcPr>
            <w:tcW w:w="1520" w:type="dxa"/>
            <w:vAlign w:val="bottom"/>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w w:val="99"/>
              </w:rPr>
              <w:t>($) (5)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1,660,360</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1,660,360</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5,486,152</w:t>
            </w: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411,502</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9,243,374</w:t>
            </w:r>
          </w:p>
        </w:tc>
        <w:tc>
          <w:tcPr>
            <w:tcW w:w="0" w:type="dxa"/>
            <w:vAlign w:val="bottom"/>
          </w:tcPr>
          <w:p>
            <w:pPr>
              <w:spacing w:after="0"/>
              <w:rPr>
                <w:sz w:val="1"/>
                <w:szCs w:val="1"/>
                <w:color w:val="auto"/>
              </w:rPr>
            </w:pPr>
          </w:p>
        </w:tc>
      </w:tr>
      <w:tr>
        <w:trPr>
          <w:trHeight w:val="27"/>
        </w:trPr>
        <w:tc>
          <w:tcPr>
            <w:tcW w:w="2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640" w:hanging="308"/>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two times the base salary in effect at July 31, 2020.</w:t>
      </w:r>
    </w:p>
    <w:p>
      <w:pPr>
        <w:spacing w:after="0" w:line="2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two times the target annual cash incentive amount in effect at July 31, 2020.</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closing market price of $45.97 on 119,342 unvested time-based and performance-based RSUs that would vest due to the change in control.</w:t>
      </w:r>
    </w:p>
    <w:p>
      <w:pPr>
        <w:ind w:left="660" w:hanging="328"/>
        <w:spacing w:after="0" w:line="250" w:lineRule="auto"/>
        <w:tabs>
          <w:tab w:leader="none" w:pos="65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difference between the closing market price of $45.97 and the exercise price on 91,186 unvested, in-the-money stock options that would vest due to change in control.</w:t>
      </w:r>
    </w:p>
    <w:p>
      <w:pPr>
        <w:ind w:left="640" w:hanging="308"/>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maximum reimbursement of legal fees allowed.</w:t>
      </w:r>
    </w:p>
    <w:p>
      <w:pPr>
        <w:spacing w:after="0" w:line="153"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details the amount payable assuming that the severance terms of Mr. Nauman's offer letter were triggered on July 31, 2020, and the NEO was required to legally enforce the severance terms of the agreement.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6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Base Salary ($) (1)</w:t>
            </w: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Annual Cash Incentive ($) (2)</w:t>
            </w: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tcPr>
          <w:p>
            <w:pPr>
              <w:jc w:val="right"/>
              <w:ind w:right="1499"/>
              <w:spacing w:after="0"/>
              <w:rPr>
                <w:sz w:val="20"/>
                <w:szCs w:val="20"/>
                <w:color w:val="auto"/>
              </w:rPr>
            </w:pPr>
            <w:r>
              <w:rPr>
                <w:rFonts w:ascii="Times New Roman" w:cs="Times New Roman" w:eastAsia="Times New Roman" w:hAnsi="Times New Roman"/>
                <w:sz w:val="14"/>
                <w:szCs w:val="14"/>
                <w:b w:val="1"/>
                <w:bCs w:val="1"/>
                <w:color w:val="auto"/>
              </w:rPr>
              <w:t>Total ($)</w:t>
            </w:r>
          </w:p>
        </w:tc>
      </w:tr>
      <w:tr>
        <w:trPr>
          <w:trHeight w:val="242"/>
        </w:trPr>
        <w:tc>
          <w:tcPr>
            <w:tcW w:w="2640" w:type="dxa"/>
            <w:vAlign w:val="bottom"/>
            <w:shd w:val="clear" w:color="auto" w:fill="CCEEFF"/>
          </w:tcPr>
          <w:p>
            <w:pPr>
              <w:jc w:val="right"/>
              <w:ind w:right="2439"/>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1,660,360</w:t>
            </w:r>
          </w:p>
        </w:tc>
        <w:tc>
          <w:tcPr>
            <w:tcW w:w="120" w:type="dxa"/>
            <w:vAlign w:val="bottom"/>
            <w:shd w:val="clear" w:color="auto" w:fill="CCEEFF"/>
          </w:tcPr>
          <w:p>
            <w:pPr>
              <w:spacing w:after="0"/>
              <w:rPr>
                <w:sz w:val="21"/>
                <w:szCs w:val="21"/>
                <w:color w:val="auto"/>
              </w:rPr>
            </w:pPr>
          </w:p>
        </w:tc>
        <w:tc>
          <w:tcPr>
            <w:tcW w:w="2800" w:type="dxa"/>
            <w:vAlign w:val="bottom"/>
            <w:shd w:val="clear" w:color="auto" w:fill="CCEEFF"/>
          </w:tcPr>
          <w:p>
            <w:pPr>
              <w:jc w:val="right"/>
              <w:ind w:right="2619"/>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1,660,360</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3,320,720</w:t>
            </w:r>
          </w:p>
        </w:tc>
      </w:tr>
      <w:tr>
        <w:trPr>
          <w:trHeight w:val="27"/>
        </w:trPr>
        <w:tc>
          <w:tcPr>
            <w:tcW w:w="26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820" w:type="dxa"/>
            <w:vAlign w:val="bottom"/>
            <w:shd w:val="clear" w:color="auto" w:fill="CCEEFF"/>
          </w:tcPr>
          <w:p>
            <w:pPr>
              <w:spacing w:after="0"/>
              <w:rPr>
                <w:sz w:val="2"/>
                <w:szCs w:val="2"/>
                <w:color w:val="auto"/>
              </w:rPr>
            </w:pPr>
          </w:p>
        </w:tc>
      </w:tr>
    </w:tbl>
    <w:p>
      <w:pPr>
        <w:spacing w:after="0" w:line="63" w:lineRule="exact"/>
        <w:rPr>
          <w:sz w:val="20"/>
          <w:szCs w:val="20"/>
          <w:color w:val="auto"/>
        </w:rPr>
      </w:pPr>
    </w:p>
    <w:p>
      <w:pPr>
        <w:ind w:left="640" w:hanging="308"/>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two times the base salary in effect at July 31, 2020.</w:t>
      </w:r>
    </w:p>
    <w:p>
      <w:pPr>
        <w:spacing w:after="0" w:line="2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two times the target annual cash incentive amount in effect at July 31, 2020.</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5" w:name="page86"/>
    <w:bookmarkEnd w:id="85"/>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Aaron J. Pearce</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details the amount payable assuming that the terms of the change of control agreement were triggered on July 31, 2020, and the NEO was required to legally enforce the terms of the agreement.</w:t>
      </w:r>
    </w:p>
    <w:p>
      <w:pPr>
        <w:spacing w:after="0" w:line="143"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Annual Cash</w:t>
            </w:r>
          </w:p>
        </w:tc>
        <w:tc>
          <w:tcPr>
            <w:tcW w:w="220" w:type="dxa"/>
            <w:vAlign w:val="bottom"/>
          </w:tcPr>
          <w:p>
            <w:pPr>
              <w:spacing w:after="0"/>
              <w:rPr>
                <w:sz w:val="13"/>
                <w:szCs w:val="13"/>
                <w:color w:val="auto"/>
              </w:rPr>
            </w:pPr>
          </w:p>
        </w:tc>
        <w:tc>
          <w:tcPr>
            <w:tcW w:w="16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280" w:type="dxa"/>
            <w:vAlign w:val="bottom"/>
          </w:tcPr>
          <w:p>
            <w:pPr>
              <w:spacing w:after="0"/>
              <w:rPr>
                <w:sz w:val="13"/>
                <w:szCs w:val="13"/>
                <w:color w:val="auto"/>
              </w:rPr>
            </w:pPr>
          </w:p>
        </w:tc>
        <w:tc>
          <w:tcPr>
            <w:tcW w:w="15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Stock Option</w:t>
            </w:r>
          </w:p>
        </w:tc>
        <w:tc>
          <w:tcPr>
            <w:tcW w:w="260" w:type="dxa"/>
            <w:vAlign w:val="bottom"/>
          </w:tcPr>
          <w:p>
            <w:pPr>
              <w:spacing w:after="0"/>
              <w:rPr>
                <w:sz w:val="13"/>
                <w:szCs w:val="13"/>
                <w:color w:val="auto"/>
              </w:rPr>
            </w:pPr>
          </w:p>
        </w:tc>
        <w:tc>
          <w:tcPr>
            <w:tcW w:w="16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Legal Fee</w:t>
            </w:r>
          </w:p>
        </w:tc>
        <w:tc>
          <w:tcPr>
            <w:tcW w:w="3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16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Base Salary ($) (1)</w:t>
            </w:r>
          </w:p>
        </w:tc>
        <w:tc>
          <w:tcPr>
            <w:tcW w:w="24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Unit Acceleration</w:t>
            </w:r>
          </w:p>
        </w:tc>
        <w:tc>
          <w:tcPr>
            <w:tcW w:w="280" w:type="dxa"/>
            <w:vAlign w:val="bottom"/>
          </w:tcPr>
          <w:p>
            <w:pPr>
              <w:spacing w:after="0"/>
              <w:rPr>
                <w:sz w:val="12"/>
                <w:szCs w:val="12"/>
                <w:color w:val="auto"/>
              </w:rPr>
            </w:pPr>
          </w:p>
        </w:tc>
        <w:tc>
          <w:tcPr>
            <w:tcW w:w="15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Acceleration</w:t>
            </w:r>
          </w:p>
        </w:tc>
        <w:tc>
          <w:tcPr>
            <w:tcW w:w="260" w:type="dxa"/>
            <w:vAlign w:val="bottom"/>
          </w:tcPr>
          <w:p>
            <w:pPr>
              <w:spacing w:after="0"/>
              <w:rPr>
                <w:sz w:val="12"/>
                <w:szCs w:val="12"/>
                <w:color w:val="auto"/>
              </w:rPr>
            </w:pPr>
          </w:p>
        </w:tc>
        <w:tc>
          <w:tcPr>
            <w:tcW w:w="16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Reimbursement</w:t>
            </w:r>
          </w:p>
        </w:tc>
        <w:tc>
          <w:tcPr>
            <w:tcW w:w="360" w:type="dxa"/>
            <w:vAlign w:val="bottom"/>
          </w:tcPr>
          <w:p>
            <w:pPr>
              <w:spacing w:after="0"/>
              <w:rPr>
                <w:sz w:val="12"/>
                <w:szCs w:val="12"/>
                <w:color w:val="auto"/>
              </w:rPr>
            </w:pPr>
          </w:p>
        </w:tc>
        <w:tc>
          <w:tcPr>
            <w:tcW w:w="1400" w:type="dxa"/>
            <w:vAlign w:val="bottom"/>
            <w:vMerge w:val="restart"/>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95"/>
        </w:trPr>
        <w:tc>
          <w:tcPr>
            <w:tcW w:w="18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Incentive ($) (2)</w:t>
            </w:r>
          </w:p>
        </w:tc>
        <w:tc>
          <w:tcPr>
            <w:tcW w:w="220" w:type="dxa"/>
            <w:vAlign w:val="bottom"/>
          </w:tcPr>
          <w:p>
            <w:pPr>
              <w:spacing w:after="0"/>
              <w:rPr>
                <w:sz w:val="16"/>
                <w:szCs w:val="16"/>
                <w:color w:val="auto"/>
              </w:rPr>
            </w:pPr>
          </w:p>
        </w:tc>
        <w:tc>
          <w:tcPr>
            <w:tcW w:w="16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Gain ($) (3)</w:t>
            </w:r>
          </w:p>
        </w:tc>
        <w:tc>
          <w:tcPr>
            <w:tcW w:w="280" w:type="dxa"/>
            <w:vAlign w:val="bottom"/>
          </w:tcPr>
          <w:p>
            <w:pPr>
              <w:spacing w:after="0"/>
              <w:rPr>
                <w:sz w:val="16"/>
                <w:szCs w:val="16"/>
                <w:color w:val="auto"/>
              </w:rPr>
            </w:pPr>
          </w:p>
        </w:tc>
        <w:tc>
          <w:tcPr>
            <w:tcW w:w="15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Gain ($) (4)</w:t>
            </w:r>
          </w:p>
        </w:tc>
        <w:tc>
          <w:tcPr>
            <w:tcW w:w="260" w:type="dxa"/>
            <w:vAlign w:val="bottom"/>
          </w:tcPr>
          <w:p>
            <w:pPr>
              <w:spacing w:after="0"/>
              <w:rPr>
                <w:sz w:val="16"/>
                <w:szCs w:val="16"/>
                <w:color w:val="auto"/>
              </w:rPr>
            </w:pPr>
          </w:p>
        </w:tc>
        <w:tc>
          <w:tcPr>
            <w:tcW w:w="1520" w:type="dxa"/>
            <w:vAlign w:val="bottom"/>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rPr>
              <w:t>($) (5)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830,146</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822,560</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1,804,506</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143,109</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3,625,321</w:t>
            </w:r>
          </w:p>
        </w:tc>
        <w:tc>
          <w:tcPr>
            <w:tcW w:w="0" w:type="dxa"/>
            <w:vAlign w:val="bottom"/>
          </w:tcPr>
          <w:p>
            <w:pPr>
              <w:spacing w:after="0"/>
              <w:rPr>
                <w:sz w:val="1"/>
                <w:szCs w:val="1"/>
                <w:color w:val="auto"/>
              </w:rPr>
            </w:pPr>
          </w:p>
        </w:tc>
      </w:tr>
      <w:tr>
        <w:trPr>
          <w:trHeight w:val="27"/>
        </w:trPr>
        <w:tc>
          <w:tcPr>
            <w:tcW w:w="1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640" w:hanging="308"/>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two times the base salary in effect at July 31, 2020.</w:t>
      </w:r>
    </w:p>
    <w:p>
      <w:pPr>
        <w:spacing w:after="0" w:line="2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two times the average annual cash incentive payment received in the last three fiscal years ended July 31, 2020, 2019 and 2018.</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closing market price of $45.97 on 39,254 unvested time-based and performance-based RSUs that would vest due to the change in control.</w:t>
      </w:r>
    </w:p>
    <w:p>
      <w:pPr>
        <w:ind w:left="660" w:hanging="328"/>
        <w:spacing w:after="0" w:line="250" w:lineRule="auto"/>
        <w:tabs>
          <w:tab w:leader="none" w:pos="65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difference between the closing market price of $45.97 and the exercise price on 31,223 unvested, in-the-money stock options that would vest due to change in control.</w:t>
      </w:r>
    </w:p>
    <w:p>
      <w:pPr>
        <w:ind w:left="640" w:hanging="308"/>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maximum reimbursement of legal fees allowed.</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Pascal Deman</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details the amount payable assuming that the terms of the change of control agreement were triggered on July 31, 2020, and the NEO was required to legally enforce the terms of the agreement.</w:t>
      </w:r>
    </w:p>
    <w:p>
      <w:pPr>
        <w:spacing w:after="0" w:line="143"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Annual Cash</w:t>
            </w:r>
          </w:p>
        </w:tc>
        <w:tc>
          <w:tcPr>
            <w:tcW w:w="220" w:type="dxa"/>
            <w:vAlign w:val="bottom"/>
          </w:tcPr>
          <w:p>
            <w:pPr>
              <w:spacing w:after="0"/>
              <w:rPr>
                <w:sz w:val="13"/>
                <w:szCs w:val="13"/>
                <w:color w:val="auto"/>
              </w:rPr>
            </w:pPr>
          </w:p>
        </w:tc>
        <w:tc>
          <w:tcPr>
            <w:tcW w:w="16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280" w:type="dxa"/>
            <w:vAlign w:val="bottom"/>
          </w:tcPr>
          <w:p>
            <w:pPr>
              <w:spacing w:after="0"/>
              <w:rPr>
                <w:sz w:val="13"/>
                <w:szCs w:val="13"/>
                <w:color w:val="auto"/>
              </w:rPr>
            </w:pPr>
          </w:p>
        </w:tc>
        <w:tc>
          <w:tcPr>
            <w:tcW w:w="15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Stock Option</w:t>
            </w:r>
          </w:p>
        </w:tc>
        <w:tc>
          <w:tcPr>
            <w:tcW w:w="260" w:type="dxa"/>
            <w:vAlign w:val="bottom"/>
          </w:tcPr>
          <w:p>
            <w:pPr>
              <w:spacing w:after="0"/>
              <w:rPr>
                <w:sz w:val="13"/>
                <w:szCs w:val="13"/>
                <w:color w:val="auto"/>
              </w:rPr>
            </w:pPr>
          </w:p>
        </w:tc>
        <w:tc>
          <w:tcPr>
            <w:tcW w:w="16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Legal Fee</w:t>
            </w:r>
          </w:p>
        </w:tc>
        <w:tc>
          <w:tcPr>
            <w:tcW w:w="3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16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Base Salary ($) (1)</w:t>
            </w:r>
          </w:p>
        </w:tc>
        <w:tc>
          <w:tcPr>
            <w:tcW w:w="24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Unit Acceleration</w:t>
            </w:r>
          </w:p>
        </w:tc>
        <w:tc>
          <w:tcPr>
            <w:tcW w:w="280" w:type="dxa"/>
            <w:vAlign w:val="bottom"/>
          </w:tcPr>
          <w:p>
            <w:pPr>
              <w:spacing w:after="0"/>
              <w:rPr>
                <w:sz w:val="12"/>
                <w:szCs w:val="12"/>
                <w:color w:val="auto"/>
              </w:rPr>
            </w:pPr>
          </w:p>
        </w:tc>
        <w:tc>
          <w:tcPr>
            <w:tcW w:w="15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Acceleration</w:t>
            </w:r>
          </w:p>
        </w:tc>
        <w:tc>
          <w:tcPr>
            <w:tcW w:w="260" w:type="dxa"/>
            <w:vAlign w:val="bottom"/>
          </w:tcPr>
          <w:p>
            <w:pPr>
              <w:spacing w:after="0"/>
              <w:rPr>
                <w:sz w:val="12"/>
                <w:szCs w:val="12"/>
                <w:color w:val="auto"/>
              </w:rPr>
            </w:pPr>
          </w:p>
        </w:tc>
        <w:tc>
          <w:tcPr>
            <w:tcW w:w="16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Reimbursement</w:t>
            </w:r>
          </w:p>
        </w:tc>
        <w:tc>
          <w:tcPr>
            <w:tcW w:w="320" w:type="dxa"/>
            <w:vAlign w:val="bottom"/>
          </w:tcPr>
          <w:p>
            <w:pPr>
              <w:spacing w:after="0"/>
              <w:rPr>
                <w:sz w:val="12"/>
                <w:szCs w:val="12"/>
                <w:color w:val="auto"/>
              </w:rPr>
            </w:pPr>
          </w:p>
        </w:tc>
        <w:tc>
          <w:tcPr>
            <w:tcW w:w="1440" w:type="dxa"/>
            <w:vAlign w:val="bottom"/>
            <w:vMerge w:val="restart"/>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Total ($)(6)</w:t>
            </w:r>
          </w:p>
        </w:tc>
        <w:tc>
          <w:tcPr>
            <w:tcW w:w="0" w:type="dxa"/>
            <w:vAlign w:val="bottom"/>
          </w:tcPr>
          <w:p>
            <w:pPr>
              <w:spacing w:after="0"/>
              <w:rPr>
                <w:sz w:val="1"/>
                <w:szCs w:val="1"/>
                <w:color w:val="auto"/>
              </w:rPr>
            </w:pPr>
          </w:p>
        </w:tc>
      </w:tr>
      <w:tr>
        <w:trPr>
          <w:trHeight w:val="195"/>
        </w:trPr>
        <w:tc>
          <w:tcPr>
            <w:tcW w:w="18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Incentive ($) (2)</w:t>
            </w:r>
          </w:p>
        </w:tc>
        <w:tc>
          <w:tcPr>
            <w:tcW w:w="220" w:type="dxa"/>
            <w:vAlign w:val="bottom"/>
          </w:tcPr>
          <w:p>
            <w:pPr>
              <w:spacing w:after="0"/>
              <w:rPr>
                <w:sz w:val="16"/>
                <w:szCs w:val="16"/>
                <w:color w:val="auto"/>
              </w:rPr>
            </w:pPr>
          </w:p>
        </w:tc>
        <w:tc>
          <w:tcPr>
            <w:tcW w:w="16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Gain ($) (3)</w:t>
            </w:r>
          </w:p>
        </w:tc>
        <w:tc>
          <w:tcPr>
            <w:tcW w:w="280" w:type="dxa"/>
            <w:vAlign w:val="bottom"/>
          </w:tcPr>
          <w:p>
            <w:pPr>
              <w:spacing w:after="0"/>
              <w:rPr>
                <w:sz w:val="16"/>
                <w:szCs w:val="16"/>
                <w:color w:val="auto"/>
              </w:rPr>
            </w:pPr>
          </w:p>
        </w:tc>
        <w:tc>
          <w:tcPr>
            <w:tcW w:w="15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Gain ($) (4)</w:t>
            </w:r>
          </w:p>
        </w:tc>
        <w:tc>
          <w:tcPr>
            <w:tcW w:w="260" w:type="dxa"/>
            <w:vAlign w:val="bottom"/>
          </w:tcPr>
          <w:p>
            <w:pPr>
              <w:spacing w:after="0"/>
              <w:rPr>
                <w:sz w:val="16"/>
                <w:szCs w:val="16"/>
                <w:color w:val="auto"/>
              </w:rPr>
            </w:pPr>
          </w:p>
        </w:tc>
        <w:tc>
          <w:tcPr>
            <w:tcW w:w="1520" w:type="dxa"/>
            <w:vAlign w:val="bottom"/>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rPr>
              <w:t>($) (5)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565,941</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156,645</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123,889</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18,328</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889,803</w:t>
            </w:r>
          </w:p>
        </w:tc>
        <w:tc>
          <w:tcPr>
            <w:tcW w:w="0" w:type="dxa"/>
            <w:vAlign w:val="bottom"/>
          </w:tcPr>
          <w:p>
            <w:pPr>
              <w:spacing w:after="0"/>
              <w:rPr>
                <w:sz w:val="1"/>
                <w:szCs w:val="1"/>
                <w:color w:val="auto"/>
              </w:rPr>
            </w:pPr>
          </w:p>
        </w:tc>
      </w:tr>
      <w:tr>
        <w:trPr>
          <w:trHeight w:val="27"/>
        </w:trPr>
        <w:tc>
          <w:tcPr>
            <w:tcW w:w="1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40" w:hanging="308"/>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two times the base salary in effect at July 31, 2020.</w:t>
      </w:r>
    </w:p>
    <w:p>
      <w:pPr>
        <w:spacing w:after="0" w:line="2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two times the average annual cash incentive payment received in the last three fiscal years ended July 31, 2020, 2019 and 2018.</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closing market price of $45.97 on 2,401 unvested time-based and performance-based RSUs that would vest due to the change in control.</w:t>
      </w:r>
    </w:p>
    <w:p>
      <w:pPr>
        <w:ind w:left="660" w:hanging="328"/>
        <w:spacing w:after="0" w:line="250" w:lineRule="auto"/>
        <w:tabs>
          <w:tab w:leader="none" w:pos="65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difference between the closing market price of $45.97 and the exercise price on 3,807 unvested, in-the-money stock options that would vest due to change in control.</w:t>
      </w:r>
    </w:p>
    <w:p>
      <w:pPr>
        <w:ind w:left="640" w:hanging="308"/>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maximum reimbursement of legal fees allowed.</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in this table for Mr. Deman would be payable to him in Euros. The amounts shown in U.S. dollars were converted from Euro at the exchange rate as of July 31, 2020: 1 EUR= 1.1846 USD.</w:t>
      </w:r>
    </w:p>
    <w:p>
      <w:pPr>
        <w:spacing w:after="0" w:line="2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amount payable assuming that the terms of the non-compete clause of Mr. Deman's employment agreement were triggered on July 31, 2020, and the NEO was required to legally enforce the terms of the agreement, would be $104,581. This amount would be payable to him in Euros and has been translated at the exchange rate as of July 31, 2020 noted above.</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Helena R. Nelligan</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details the amount payable assuming that the terms of the change of control agreement were triggered on July 31, 2020, and the NEO was required to legally enforce the terms of the agreement.</w:t>
      </w:r>
    </w:p>
    <w:p>
      <w:pPr>
        <w:spacing w:after="0" w:line="143"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Annual Cash</w:t>
            </w:r>
          </w:p>
        </w:tc>
        <w:tc>
          <w:tcPr>
            <w:tcW w:w="220" w:type="dxa"/>
            <w:vAlign w:val="bottom"/>
          </w:tcPr>
          <w:p>
            <w:pPr>
              <w:spacing w:after="0"/>
              <w:rPr>
                <w:sz w:val="13"/>
                <w:szCs w:val="13"/>
                <w:color w:val="auto"/>
              </w:rPr>
            </w:pPr>
          </w:p>
        </w:tc>
        <w:tc>
          <w:tcPr>
            <w:tcW w:w="16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280" w:type="dxa"/>
            <w:vAlign w:val="bottom"/>
          </w:tcPr>
          <w:p>
            <w:pPr>
              <w:spacing w:after="0"/>
              <w:rPr>
                <w:sz w:val="13"/>
                <w:szCs w:val="13"/>
                <w:color w:val="auto"/>
              </w:rPr>
            </w:pPr>
          </w:p>
        </w:tc>
        <w:tc>
          <w:tcPr>
            <w:tcW w:w="15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Stock Option</w:t>
            </w:r>
          </w:p>
        </w:tc>
        <w:tc>
          <w:tcPr>
            <w:tcW w:w="260" w:type="dxa"/>
            <w:vAlign w:val="bottom"/>
          </w:tcPr>
          <w:p>
            <w:pPr>
              <w:spacing w:after="0"/>
              <w:rPr>
                <w:sz w:val="13"/>
                <w:szCs w:val="13"/>
                <w:color w:val="auto"/>
              </w:rPr>
            </w:pPr>
          </w:p>
        </w:tc>
        <w:tc>
          <w:tcPr>
            <w:tcW w:w="16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Legal Fee</w:t>
            </w:r>
          </w:p>
        </w:tc>
        <w:tc>
          <w:tcPr>
            <w:tcW w:w="3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16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Base Salary ($) (1)</w:t>
            </w:r>
          </w:p>
        </w:tc>
        <w:tc>
          <w:tcPr>
            <w:tcW w:w="24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Unit Acceleration</w:t>
            </w:r>
          </w:p>
        </w:tc>
        <w:tc>
          <w:tcPr>
            <w:tcW w:w="280" w:type="dxa"/>
            <w:vAlign w:val="bottom"/>
          </w:tcPr>
          <w:p>
            <w:pPr>
              <w:spacing w:after="0"/>
              <w:rPr>
                <w:sz w:val="12"/>
                <w:szCs w:val="12"/>
                <w:color w:val="auto"/>
              </w:rPr>
            </w:pPr>
          </w:p>
        </w:tc>
        <w:tc>
          <w:tcPr>
            <w:tcW w:w="15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Acceleration</w:t>
            </w:r>
          </w:p>
        </w:tc>
        <w:tc>
          <w:tcPr>
            <w:tcW w:w="260" w:type="dxa"/>
            <w:vAlign w:val="bottom"/>
          </w:tcPr>
          <w:p>
            <w:pPr>
              <w:spacing w:after="0"/>
              <w:rPr>
                <w:sz w:val="12"/>
                <w:szCs w:val="12"/>
                <w:color w:val="auto"/>
              </w:rPr>
            </w:pPr>
          </w:p>
        </w:tc>
        <w:tc>
          <w:tcPr>
            <w:tcW w:w="16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Reimbursement</w:t>
            </w:r>
          </w:p>
        </w:tc>
        <w:tc>
          <w:tcPr>
            <w:tcW w:w="360" w:type="dxa"/>
            <w:vAlign w:val="bottom"/>
          </w:tcPr>
          <w:p>
            <w:pPr>
              <w:spacing w:after="0"/>
              <w:rPr>
                <w:sz w:val="12"/>
                <w:szCs w:val="12"/>
                <w:color w:val="auto"/>
              </w:rPr>
            </w:pPr>
          </w:p>
        </w:tc>
        <w:tc>
          <w:tcPr>
            <w:tcW w:w="1400" w:type="dxa"/>
            <w:vAlign w:val="bottom"/>
            <w:vMerge w:val="restart"/>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95"/>
        </w:trPr>
        <w:tc>
          <w:tcPr>
            <w:tcW w:w="18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Incentive ($) (2)</w:t>
            </w:r>
          </w:p>
        </w:tc>
        <w:tc>
          <w:tcPr>
            <w:tcW w:w="220" w:type="dxa"/>
            <w:vAlign w:val="bottom"/>
          </w:tcPr>
          <w:p>
            <w:pPr>
              <w:spacing w:after="0"/>
              <w:rPr>
                <w:sz w:val="16"/>
                <w:szCs w:val="16"/>
                <w:color w:val="auto"/>
              </w:rPr>
            </w:pPr>
          </w:p>
        </w:tc>
        <w:tc>
          <w:tcPr>
            <w:tcW w:w="16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Gain ($) (3)</w:t>
            </w:r>
          </w:p>
        </w:tc>
        <w:tc>
          <w:tcPr>
            <w:tcW w:w="280" w:type="dxa"/>
            <w:vAlign w:val="bottom"/>
          </w:tcPr>
          <w:p>
            <w:pPr>
              <w:spacing w:after="0"/>
              <w:rPr>
                <w:sz w:val="16"/>
                <w:szCs w:val="16"/>
                <w:color w:val="auto"/>
              </w:rPr>
            </w:pPr>
          </w:p>
        </w:tc>
        <w:tc>
          <w:tcPr>
            <w:tcW w:w="15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Gain ($) (4)</w:t>
            </w:r>
          </w:p>
        </w:tc>
        <w:tc>
          <w:tcPr>
            <w:tcW w:w="260" w:type="dxa"/>
            <w:vAlign w:val="bottom"/>
          </w:tcPr>
          <w:p>
            <w:pPr>
              <w:spacing w:after="0"/>
              <w:rPr>
                <w:sz w:val="16"/>
                <w:szCs w:val="16"/>
                <w:color w:val="auto"/>
              </w:rPr>
            </w:pPr>
          </w:p>
        </w:tc>
        <w:tc>
          <w:tcPr>
            <w:tcW w:w="1520" w:type="dxa"/>
            <w:vAlign w:val="bottom"/>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rPr>
              <w:t>($) (5)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652,580</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403,909</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944,867</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48,780</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2,075,136</w:t>
            </w:r>
          </w:p>
        </w:tc>
        <w:tc>
          <w:tcPr>
            <w:tcW w:w="0" w:type="dxa"/>
            <w:vAlign w:val="bottom"/>
          </w:tcPr>
          <w:p>
            <w:pPr>
              <w:spacing w:after="0"/>
              <w:rPr>
                <w:sz w:val="1"/>
                <w:szCs w:val="1"/>
                <w:color w:val="auto"/>
              </w:rPr>
            </w:pPr>
          </w:p>
        </w:tc>
      </w:tr>
      <w:tr>
        <w:trPr>
          <w:trHeight w:val="27"/>
        </w:trPr>
        <w:tc>
          <w:tcPr>
            <w:tcW w:w="1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left="640" w:hanging="308"/>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two times the base salary in effect at July 31, 2020.</w:t>
      </w:r>
    </w:p>
    <w:p>
      <w:pPr>
        <w:spacing w:after="0" w:line="2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two times the average annual cash incentive payment received in the last three fiscal years ended July 31, 2020, 2019 and 2018.</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closing market price of $45.97 on 20,554 unvested time-based and performance-based RSUs that would vest due to the change in control.</w:t>
      </w:r>
    </w:p>
    <w:p>
      <w:pPr>
        <w:ind w:left="660" w:hanging="328"/>
        <w:spacing w:after="0" w:line="250" w:lineRule="auto"/>
        <w:tabs>
          <w:tab w:leader="none" w:pos="65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difference between the closing market price of $45.97 and the exercise price on 10,643 unvested, in-the-money stock options that would vest due to change in control.</w:t>
      </w:r>
    </w:p>
    <w:p>
      <w:pPr>
        <w:ind w:left="640" w:hanging="308"/>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maximum reimbursement of legal fees allowed.</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86" w:name="page87"/>
    <w:bookmarkEnd w:id="86"/>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Russell R. Shaller</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details the amount payable assuming that the terms of the change of control agreement were triggered on July 31, 2020, and the NEO was required to legally enforce the terms of the agreement.</w:t>
      </w:r>
    </w:p>
    <w:p>
      <w:pPr>
        <w:spacing w:after="0" w:line="143"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Annual Cash</w:t>
            </w:r>
          </w:p>
        </w:tc>
        <w:tc>
          <w:tcPr>
            <w:tcW w:w="220" w:type="dxa"/>
            <w:vAlign w:val="bottom"/>
          </w:tcPr>
          <w:p>
            <w:pPr>
              <w:spacing w:after="0"/>
              <w:rPr>
                <w:sz w:val="13"/>
                <w:szCs w:val="13"/>
                <w:color w:val="auto"/>
              </w:rPr>
            </w:pPr>
          </w:p>
        </w:tc>
        <w:tc>
          <w:tcPr>
            <w:tcW w:w="16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280" w:type="dxa"/>
            <w:vAlign w:val="bottom"/>
          </w:tcPr>
          <w:p>
            <w:pPr>
              <w:spacing w:after="0"/>
              <w:rPr>
                <w:sz w:val="13"/>
                <w:szCs w:val="13"/>
                <w:color w:val="auto"/>
              </w:rPr>
            </w:pPr>
          </w:p>
        </w:tc>
        <w:tc>
          <w:tcPr>
            <w:tcW w:w="15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Stock Option</w:t>
            </w:r>
          </w:p>
        </w:tc>
        <w:tc>
          <w:tcPr>
            <w:tcW w:w="260" w:type="dxa"/>
            <w:vAlign w:val="bottom"/>
          </w:tcPr>
          <w:p>
            <w:pPr>
              <w:spacing w:after="0"/>
              <w:rPr>
                <w:sz w:val="13"/>
                <w:szCs w:val="13"/>
                <w:color w:val="auto"/>
              </w:rPr>
            </w:pPr>
          </w:p>
        </w:tc>
        <w:tc>
          <w:tcPr>
            <w:tcW w:w="16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Legal Fee</w:t>
            </w:r>
          </w:p>
        </w:tc>
        <w:tc>
          <w:tcPr>
            <w:tcW w:w="3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16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Base Salary ($) (1)</w:t>
            </w:r>
          </w:p>
        </w:tc>
        <w:tc>
          <w:tcPr>
            <w:tcW w:w="24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Unit Acceleration</w:t>
            </w:r>
          </w:p>
        </w:tc>
        <w:tc>
          <w:tcPr>
            <w:tcW w:w="280" w:type="dxa"/>
            <w:vAlign w:val="bottom"/>
          </w:tcPr>
          <w:p>
            <w:pPr>
              <w:spacing w:after="0"/>
              <w:rPr>
                <w:sz w:val="12"/>
                <w:szCs w:val="12"/>
                <w:color w:val="auto"/>
              </w:rPr>
            </w:pPr>
          </w:p>
        </w:tc>
        <w:tc>
          <w:tcPr>
            <w:tcW w:w="15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Acceleration</w:t>
            </w:r>
          </w:p>
        </w:tc>
        <w:tc>
          <w:tcPr>
            <w:tcW w:w="260" w:type="dxa"/>
            <w:vAlign w:val="bottom"/>
          </w:tcPr>
          <w:p>
            <w:pPr>
              <w:spacing w:after="0"/>
              <w:rPr>
                <w:sz w:val="12"/>
                <w:szCs w:val="12"/>
                <w:color w:val="auto"/>
              </w:rPr>
            </w:pPr>
          </w:p>
        </w:tc>
        <w:tc>
          <w:tcPr>
            <w:tcW w:w="16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Reimbursement</w:t>
            </w:r>
          </w:p>
        </w:tc>
        <w:tc>
          <w:tcPr>
            <w:tcW w:w="360" w:type="dxa"/>
            <w:vAlign w:val="bottom"/>
          </w:tcPr>
          <w:p>
            <w:pPr>
              <w:spacing w:after="0"/>
              <w:rPr>
                <w:sz w:val="12"/>
                <w:szCs w:val="12"/>
                <w:color w:val="auto"/>
              </w:rPr>
            </w:pPr>
          </w:p>
        </w:tc>
        <w:tc>
          <w:tcPr>
            <w:tcW w:w="1400" w:type="dxa"/>
            <w:vAlign w:val="bottom"/>
            <w:vMerge w:val="restart"/>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95"/>
        </w:trPr>
        <w:tc>
          <w:tcPr>
            <w:tcW w:w="18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Incentive ($) (2)</w:t>
            </w:r>
          </w:p>
        </w:tc>
        <w:tc>
          <w:tcPr>
            <w:tcW w:w="220" w:type="dxa"/>
            <w:vAlign w:val="bottom"/>
          </w:tcPr>
          <w:p>
            <w:pPr>
              <w:spacing w:after="0"/>
              <w:rPr>
                <w:sz w:val="16"/>
                <w:szCs w:val="16"/>
                <w:color w:val="auto"/>
              </w:rPr>
            </w:pPr>
          </w:p>
        </w:tc>
        <w:tc>
          <w:tcPr>
            <w:tcW w:w="16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Gain ($) (3)</w:t>
            </w:r>
          </w:p>
        </w:tc>
        <w:tc>
          <w:tcPr>
            <w:tcW w:w="280" w:type="dxa"/>
            <w:vAlign w:val="bottom"/>
          </w:tcPr>
          <w:p>
            <w:pPr>
              <w:spacing w:after="0"/>
              <w:rPr>
                <w:sz w:val="16"/>
                <w:szCs w:val="16"/>
                <w:color w:val="auto"/>
              </w:rPr>
            </w:pPr>
          </w:p>
        </w:tc>
        <w:tc>
          <w:tcPr>
            <w:tcW w:w="15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Gain ($) (4)</w:t>
            </w:r>
          </w:p>
        </w:tc>
        <w:tc>
          <w:tcPr>
            <w:tcW w:w="260" w:type="dxa"/>
            <w:vAlign w:val="bottom"/>
          </w:tcPr>
          <w:p>
            <w:pPr>
              <w:spacing w:after="0"/>
              <w:rPr>
                <w:sz w:val="16"/>
                <w:szCs w:val="16"/>
                <w:color w:val="auto"/>
              </w:rPr>
            </w:pPr>
          </w:p>
        </w:tc>
        <w:tc>
          <w:tcPr>
            <w:tcW w:w="1520" w:type="dxa"/>
            <w:vAlign w:val="bottom"/>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rPr>
              <w:t>($) (5)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800,302</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868,295</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1,674,917</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93,935</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3,462,449</w:t>
            </w:r>
          </w:p>
        </w:tc>
        <w:tc>
          <w:tcPr>
            <w:tcW w:w="0" w:type="dxa"/>
            <w:vAlign w:val="bottom"/>
          </w:tcPr>
          <w:p>
            <w:pPr>
              <w:spacing w:after="0"/>
              <w:rPr>
                <w:sz w:val="1"/>
                <w:szCs w:val="1"/>
                <w:color w:val="auto"/>
              </w:rPr>
            </w:pPr>
          </w:p>
        </w:tc>
      </w:tr>
      <w:tr>
        <w:trPr>
          <w:trHeight w:val="27"/>
        </w:trPr>
        <w:tc>
          <w:tcPr>
            <w:tcW w:w="1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640" w:hanging="308"/>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two times the base salary in effect at July 31, 2020.</w:t>
      </w:r>
    </w:p>
    <w:p>
      <w:pPr>
        <w:spacing w:after="0" w:line="2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two times the average annual cash incentive payment received in the last three fiscal years ended July 31, 2020, 2019 and 2018.</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closing market price of $45.97 on 36,435 unvested time-based and performance-based RSUs that would vest due to the change in control.</w:t>
      </w:r>
    </w:p>
    <w:p>
      <w:pPr>
        <w:ind w:left="660" w:hanging="328"/>
        <w:spacing w:after="0" w:line="250" w:lineRule="auto"/>
        <w:tabs>
          <w:tab w:leader="none" w:pos="65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difference between the closing market price of $45.97 and the exercise price on 21,772 unvested, in-the-money stock options that would vest due to change in control.</w:t>
      </w:r>
    </w:p>
    <w:p>
      <w:pPr>
        <w:ind w:left="640" w:hanging="308"/>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maximum reimbursement of legal fees allowed.</w:t>
      </w:r>
    </w:p>
    <w:p>
      <w:pPr>
        <w:spacing w:after="0" w:line="153"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details the amount payable assuming that the severance terms of Mr. Shaller's offer letter were triggered on July 31, 2020, and the NEO was required to legally enforce the severance terms of the agreement.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6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Base Salary ($) (1)</w:t>
            </w: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Annual Cash Incentive ($) (2)</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tcPr>
          <w:p>
            <w:pPr>
              <w:jc w:val="right"/>
              <w:ind w:right="1499"/>
              <w:spacing w:after="0"/>
              <w:rPr>
                <w:sz w:val="20"/>
                <w:szCs w:val="20"/>
                <w:color w:val="auto"/>
              </w:rPr>
            </w:pPr>
            <w:r>
              <w:rPr>
                <w:rFonts w:ascii="Times New Roman" w:cs="Times New Roman" w:eastAsia="Times New Roman" w:hAnsi="Times New Roman"/>
                <w:sz w:val="14"/>
                <w:szCs w:val="14"/>
                <w:b w:val="1"/>
                <w:bCs w:val="1"/>
                <w:color w:val="auto"/>
              </w:rPr>
              <w:t>Total ($)</w:t>
            </w:r>
          </w:p>
        </w:tc>
      </w:tr>
      <w:tr>
        <w:trPr>
          <w:trHeight w:val="242"/>
        </w:trPr>
        <w:tc>
          <w:tcPr>
            <w:tcW w:w="2680" w:type="dxa"/>
            <w:vAlign w:val="bottom"/>
            <w:shd w:val="clear" w:color="auto" w:fill="CCEEFF"/>
          </w:tcPr>
          <w:p>
            <w:pPr>
              <w:jc w:val="right"/>
              <w:ind w:right="2479"/>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400,151</w:t>
            </w:r>
          </w:p>
        </w:tc>
        <w:tc>
          <w:tcPr>
            <w:tcW w:w="100" w:type="dxa"/>
            <w:vAlign w:val="bottom"/>
            <w:shd w:val="clear" w:color="auto" w:fill="CCEEFF"/>
          </w:tcPr>
          <w:p>
            <w:pPr>
              <w:spacing w:after="0"/>
              <w:rPr>
                <w:sz w:val="21"/>
                <w:szCs w:val="21"/>
                <w:color w:val="auto"/>
              </w:rPr>
            </w:pPr>
          </w:p>
        </w:tc>
        <w:tc>
          <w:tcPr>
            <w:tcW w:w="2880" w:type="dxa"/>
            <w:vAlign w:val="bottom"/>
            <w:shd w:val="clear" w:color="auto" w:fill="CCEEFF"/>
          </w:tcPr>
          <w:p>
            <w:pPr>
              <w:jc w:val="right"/>
              <w:ind w:right="269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244,428</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644,579</w:t>
            </w:r>
          </w:p>
        </w:tc>
      </w:tr>
      <w:tr>
        <w:trPr>
          <w:trHeight w:val="27"/>
        </w:trPr>
        <w:tc>
          <w:tcPr>
            <w:tcW w:w="26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820" w:type="dxa"/>
            <w:vAlign w:val="bottom"/>
            <w:shd w:val="clear" w:color="auto" w:fill="CCEEFF"/>
          </w:tcPr>
          <w:p>
            <w:pPr>
              <w:spacing w:after="0"/>
              <w:rPr>
                <w:sz w:val="2"/>
                <w:szCs w:val="2"/>
                <w:color w:val="auto"/>
              </w:rPr>
            </w:pPr>
          </w:p>
        </w:tc>
      </w:tr>
    </w:tbl>
    <w:p>
      <w:pPr>
        <w:spacing w:after="0" w:line="63" w:lineRule="exact"/>
        <w:rPr>
          <w:sz w:val="20"/>
          <w:szCs w:val="20"/>
          <w:color w:val="auto"/>
        </w:rPr>
      </w:pPr>
    </w:p>
    <w:p>
      <w:pPr>
        <w:ind w:left="640" w:hanging="308"/>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one times the base salary in effect at July 31, 2020.</w:t>
      </w:r>
    </w:p>
    <w:p>
      <w:pPr>
        <w:spacing w:after="0" w:line="2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one times the target annual cash incentive amount in effect at July 31, 2020.</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Payments Upon Termination Due to Death or Disability</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event of termination due to death or disability, all unexercised, unexpired stock options would immediately vest and all restricted stock unit awards would immediately become unrestricted and fully vested. The following table shows the amount payable to the NEOs should this event occur on July 31, 2020.</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3"/>
                <w:szCs w:val="13"/>
                <w:color w:val="auto"/>
              </w:rPr>
            </w:pPr>
          </w:p>
        </w:tc>
        <w:tc>
          <w:tcPr>
            <w:tcW w:w="1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Unvested Restricted</w:t>
            </w:r>
          </w:p>
        </w:tc>
        <w:tc>
          <w:tcPr>
            <w:tcW w:w="200" w:type="dxa"/>
            <w:vAlign w:val="bottom"/>
          </w:tcPr>
          <w:p>
            <w:pPr>
              <w:spacing w:after="0"/>
              <w:rPr>
                <w:sz w:val="13"/>
                <w:szCs w:val="13"/>
                <w:color w:val="auto"/>
              </w:rPr>
            </w:pPr>
          </w:p>
        </w:tc>
        <w:tc>
          <w:tcPr>
            <w:tcW w:w="15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Unvested, In-the-Money</w:t>
            </w:r>
          </w:p>
        </w:tc>
        <w:tc>
          <w:tcPr>
            <w:tcW w:w="260" w:type="dxa"/>
            <w:vAlign w:val="bottom"/>
          </w:tcPr>
          <w:p>
            <w:pPr>
              <w:spacing w:after="0"/>
              <w:rPr>
                <w:sz w:val="13"/>
                <w:szCs w:val="13"/>
                <w:color w:val="auto"/>
              </w:rPr>
            </w:pPr>
          </w:p>
        </w:tc>
        <w:tc>
          <w:tcPr>
            <w:tcW w:w="1420" w:type="dxa"/>
            <w:vAlign w:val="bottom"/>
            <w:vMerge w:val="restart"/>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Stock Option</w:t>
            </w: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7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Stock Options</w:t>
            </w:r>
          </w:p>
        </w:tc>
        <w:tc>
          <w:tcPr>
            <w:tcW w:w="26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7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Stock Units as of</w:t>
            </w:r>
          </w:p>
        </w:tc>
        <w:tc>
          <w:tcPr>
            <w:tcW w:w="200" w:type="dxa"/>
            <w:vAlign w:val="bottom"/>
          </w:tcPr>
          <w:p>
            <w:pPr>
              <w:spacing w:after="0"/>
              <w:rPr>
                <w:sz w:val="12"/>
                <w:szCs w:val="12"/>
                <w:color w:val="auto"/>
              </w:rPr>
            </w:pPr>
          </w:p>
        </w:tc>
        <w:tc>
          <w:tcPr>
            <w:tcW w:w="15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Unit Acceleration</w:t>
            </w:r>
          </w:p>
        </w:tc>
        <w:tc>
          <w:tcPr>
            <w:tcW w:w="17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260" w:type="dxa"/>
            <w:vAlign w:val="bottom"/>
          </w:tcPr>
          <w:p>
            <w:pPr>
              <w:spacing w:after="0"/>
              <w:rPr>
                <w:sz w:val="12"/>
                <w:szCs w:val="12"/>
                <w:color w:val="auto"/>
              </w:rPr>
            </w:pPr>
          </w:p>
        </w:tc>
        <w:tc>
          <w:tcPr>
            <w:tcW w:w="1420" w:type="dxa"/>
            <w:vAlign w:val="bottom"/>
          </w:tcPr>
          <w:p>
            <w:pPr>
              <w:jc w:val="center"/>
              <w:ind w:right="197"/>
              <w:spacing w:after="0" w:line="149" w:lineRule="exact"/>
              <w:rPr>
                <w:sz w:val="20"/>
                <w:szCs w:val="20"/>
                <w:color w:val="auto"/>
              </w:rPr>
            </w:pPr>
            <w:r>
              <w:rPr>
                <w:rFonts w:ascii="Times New Roman" w:cs="Times New Roman" w:eastAsia="Times New Roman" w:hAnsi="Times New Roman"/>
                <w:sz w:val="14"/>
                <w:szCs w:val="14"/>
                <w:b w:val="1"/>
                <w:bCs w:val="1"/>
                <w:color w:val="auto"/>
              </w:rPr>
              <w:t>Acceleration</w:t>
            </w:r>
          </w:p>
        </w:tc>
        <w:tc>
          <w:tcPr>
            <w:tcW w:w="0" w:type="dxa"/>
            <w:vAlign w:val="bottom"/>
          </w:tcPr>
          <w:p>
            <w:pPr>
              <w:spacing w:after="0"/>
              <w:rPr>
                <w:sz w:val="1"/>
                <w:szCs w:val="1"/>
                <w:color w:val="auto"/>
              </w:rPr>
            </w:pPr>
          </w:p>
        </w:tc>
      </w:tr>
      <w:tr>
        <w:trPr>
          <w:trHeight w:val="195"/>
        </w:trPr>
        <w:tc>
          <w:tcPr>
            <w:tcW w:w="4180" w:type="dxa"/>
            <w:vAlign w:val="bottom"/>
            <w:vMerge w:val="continue"/>
          </w:tcPr>
          <w:p>
            <w:pPr>
              <w:spacing w:after="0"/>
              <w:rPr>
                <w:sz w:val="16"/>
                <w:szCs w:val="16"/>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July 31, 2020</w:t>
            </w:r>
          </w:p>
        </w:tc>
        <w:tc>
          <w:tcPr>
            <w:tcW w:w="200" w:type="dxa"/>
            <w:vAlign w:val="bottom"/>
          </w:tcPr>
          <w:p>
            <w:pPr>
              <w:spacing w:after="0"/>
              <w:rPr>
                <w:sz w:val="16"/>
                <w:szCs w:val="16"/>
                <w:color w:val="auto"/>
              </w:rPr>
            </w:pPr>
          </w:p>
        </w:tc>
        <w:tc>
          <w:tcPr>
            <w:tcW w:w="15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Gain $ (1)</w:t>
            </w: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July 31, 2020</w:t>
            </w:r>
          </w:p>
        </w:tc>
        <w:tc>
          <w:tcPr>
            <w:tcW w:w="260" w:type="dxa"/>
            <w:vAlign w:val="bottom"/>
          </w:tcPr>
          <w:p>
            <w:pPr>
              <w:spacing w:after="0"/>
              <w:rPr>
                <w:sz w:val="16"/>
                <w:szCs w:val="16"/>
                <w:color w:val="auto"/>
              </w:rPr>
            </w:pPr>
          </w:p>
        </w:tc>
        <w:tc>
          <w:tcPr>
            <w:tcW w:w="142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Gain $ (2)</w:t>
            </w:r>
          </w:p>
        </w:tc>
        <w:tc>
          <w:tcPr>
            <w:tcW w:w="0" w:type="dxa"/>
            <w:vAlign w:val="bottom"/>
          </w:tcPr>
          <w:p>
            <w:pPr>
              <w:spacing w:after="0"/>
              <w:rPr>
                <w:sz w:val="1"/>
                <w:szCs w:val="1"/>
                <w:color w:val="auto"/>
              </w:rPr>
            </w:pPr>
          </w:p>
        </w:tc>
      </w:tr>
      <w:tr>
        <w:trPr>
          <w:trHeight w:val="248"/>
        </w:trPr>
        <w:tc>
          <w:tcPr>
            <w:tcW w:w="4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 Michael Nauman</w:t>
            </w:r>
          </w:p>
        </w:tc>
        <w:tc>
          <w:tcPr>
            <w:tcW w:w="16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119,342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5,486,152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91,186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411,502</w:t>
            </w:r>
          </w:p>
        </w:tc>
        <w:tc>
          <w:tcPr>
            <w:tcW w:w="0" w:type="dxa"/>
            <w:vAlign w:val="bottom"/>
          </w:tcPr>
          <w:p>
            <w:pPr>
              <w:spacing w:after="0"/>
              <w:rPr>
                <w:sz w:val="1"/>
                <w:szCs w:val="1"/>
                <w:color w:val="auto"/>
              </w:rPr>
            </w:pPr>
          </w:p>
        </w:tc>
      </w:tr>
      <w:tr>
        <w:trPr>
          <w:trHeight w:val="243"/>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A.J. Pearce</w:t>
            </w:r>
          </w:p>
        </w:tc>
        <w:tc>
          <w:tcPr>
            <w:tcW w:w="16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39,254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1,804,506</w:t>
            </w:r>
          </w:p>
        </w:tc>
        <w:tc>
          <w:tcPr>
            <w:tcW w:w="100" w:type="dxa"/>
            <w:vAlign w:val="bottom"/>
          </w:tcPr>
          <w:p>
            <w:pPr>
              <w:spacing w:after="0"/>
              <w:rPr>
                <w:sz w:val="21"/>
                <w:szCs w:val="21"/>
                <w:color w:val="auto"/>
              </w:rPr>
            </w:pPr>
          </w:p>
        </w:tc>
        <w:tc>
          <w:tcPr>
            <w:tcW w:w="166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31,223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143,109</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 Deman</w:t>
            </w:r>
          </w:p>
        </w:tc>
        <w:tc>
          <w:tcPr>
            <w:tcW w:w="16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2,401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123,889</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3,807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18,328</w:t>
            </w:r>
          </w:p>
        </w:tc>
        <w:tc>
          <w:tcPr>
            <w:tcW w:w="0" w:type="dxa"/>
            <w:vAlign w:val="bottom"/>
          </w:tcPr>
          <w:p>
            <w:pPr>
              <w:spacing w:after="0"/>
              <w:rPr>
                <w:sz w:val="1"/>
                <w:szCs w:val="1"/>
                <w:color w:val="auto"/>
              </w:rPr>
            </w:pPr>
          </w:p>
        </w:tc>
      </w:tr>
      <w:tr>
        <w:trPr>
          <w:trHeight w:val="243"/>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H.R. Nelligan</w:t>
            </w:r>
          </w:p>
        </w:tc>
        <w:tc>
          <w:tcPr>
            <w:tcW w:w="16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20,554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944,867</w:t>
            </w:r>
          </w:p>
        </w:tc>
        <w:tc>
          <w:tcPr>
            <w:tcW w:w="100" w:type="dxa"/>
            <w:vAlign w:val="bottom"/>
          </w:tcPr>
          <w:p>
            <w:pPr>
              <w:spacing w:after="0"/>
              <w:rPr>
                <w:sz w:val="21"/>
                <w:szCs w:val="21"/>
                <w:color w:val="auto"/>
              </w:rPr>
            </w:pPr>
          </w:p>
        </w:tc>
        <w:tc>
          <w:tcPr>
            <w:tcW w:w="166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10,643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48,780</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R.R. Shaller</w:t>
            </w:r>
          </w:p>
        </w:tc>
        <w:tc>
          <w:tcPr>
            <w:tcW w:w="16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36,435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1,674,917</w:t>
            </w:r>
          </w:p>
        </w:tc>
        <w:tc>
          <w:tcPr>
            <w:tcW w:w="100" w:type="dxa"/>
            <w:vAlign w:val="bottom"/>
            <w:shd w:val="clear" w:color="auto" w:fill="CCEEFF"/>
          </w:tcPr>
          <w:p>
            <w:pPr>
              <w:spacing w:after="0"/>
              <w:rPr>
                <w:sz w:val="21"/>
                <w:szCs w:val="21"/>
                <w:color w:val="auto"/>
              </w:rPr>
            </w:pPr>
          </w:p>
        </w:tc>
        <w:tc>
          <w:tcPr>
            <w:tcW w:w="16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21,772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93,935</w:t>
            </w:r>
          </w:p>
        </w:tc>
        <w:tc>
          <w:tcPr>
            <w:tcW w:w="0" w:type="dxa"/>
            <w:vAlign w:val="bottom"/>
          </w:tcPr>
          <w:p>
            <w:pPr>
              <w:spacing w:after="0"/>
              <w:rPr>
                <w:sz w:val="1"/>
                <w:szCs w:val="1"/>
                <w:color w:val="auto"/>
              </w:rPr>
            </w:pPr>
          </w:p>
        </w:tc>
      </w:tr>
      <w:tr>
        <w:trPr>
          <w:trHeight w:val="27"/>
        </w:trPr>
        <w:tc>
          <w:tcPr>
            <w:tcW w:w="418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640" w:hanging="308"/>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closing market price of $45.97 on unvested awards that would vest due to death or disability.</w:t>
      </w:r>
    </w:p>
    <w:p>
      <w:pPr>
        <w:spacing w:after="0" w:line="27" w:lineRule="exact"/>
        <w:rPr>
          <w:rFonts w:ascii="Times New Roman" w:cs="Times New Roman" w:eastAsia="Times New Roman" w:hAnsi="Times New Roman"/>
          <w:sz w:val="18"/>
          <w:szCs w:val="18"/>
          <w:color w:val="auto"/>
        </w:rPr>
      </w:pPr>
    </w:p>
    <w:p>
      <w:pPr>
        <w:ind w:left="660" w:right="220" w:hanging="328"/>
        <w:spacing w:after="0" w:line="260" w:lineRule="auto"/>
        <w:tabs>
          <w:tab w:leader="none" w:pos="65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difference between the closing market price of $45.97 and the exercise price on unvested, in-the-money stock options that would vest due to death or disability.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CEO Pay Ratio Disclosure</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Summarized below is the ratio of the total compensation of Michael Nauman, our CEO, to the total compensation of our median employee.</w:t>
      </w:r>
    </w:p>
    <w:p>
      <w:pPr>
        <w:spacing w:after="0" w:line="1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Pay Ratio Methodology</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median employee was first determined for fiscal 2018 for purposes of determining our CEO pay ratio by identifying the employee whose compensation was at the median of our employee population (other than the CEO). The applicable SEC rules require us to identify a “median employee” at least once every three years, as long as there have been no material changes in our employee population or employee compensation arrangements that we reasonably believe would result in a significant change to our CEO pay ratio disclosure. As of July 31, 2020, the median employee used during the original fiscal 2018 analysis was no longer employed by the Company.</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87" w:name="page88"/>
    <w:bookmarkEnd w:id="87"/>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case where the median employee is no longer employed and there has not been a significant change in compensation or employee demographics another employee may be used as the median employee as long as the newly selected employee has compensation which is substantially similar to the original median employee, based on the compensation measure used to select the original median employee. Therefore, a median employee substantially similar to the median employee used in the original fiscal 2018 analysis was used for the fiscal 2020 calculation.</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elected to use an employee substantially similar to the median employee from the original analysis performed during fiscal 2018, updated with the compensation earned by the employee in fiscal 2020, for our 2020 CEO Pay Ratio, as there have not been any material changes in our employee population or employee compensation arrangements that we believe would significantly impact the Company’s CEO pay ratio disclosure.</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used the following methodology and material assumptions to identify the median employee of its workforce:</w:t>
      </w:r>
    </w:p>
    <w:p>
      <w:pPr>
        <w:spacing w:after="0" w:line="171" w:lineRule="exact"/>
        <w:rPr>
          <w:sz w:val="20"/>
          <w:szCs w:val="20"/>
          <w:color w:val="auto"/>
        </w:rPr>
      </w:pPr>
    </w:p>
    <w:p>
      <w:pPr>
        <w:jc w:val="both"/>
        <w:ind w:left="660" w:hanging="328"/>
        <w:spacing w:after="0" w:line="276" w:lineRule="auto"/>
        <w:tabs>
          <w:tab w:leader="none" w:pos="655"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measurement date of May 31, 2018 was used, which is within three months of the Company's fiscal year end, to identify the median employee. On this date, the Company's employee population consisted of 6,212 individuals; 1,778 in the United States and 4,434 outside of the United States.</w:t>
      </w:r>
    </w:p>
    <w:p>
      <w:pPr>
        <w:ind w:left="660" w:hanging="328"/>
        <w:spacing w:after="0" w:line="250"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considered annual total cash compensation earned by our employees, as compiled from our payroll records. This reflects the principal forms of compensation delivered to all of our employees and this information is readily available in each country.</w:t>
      </w:r>
    </w:p>
    <w:p>
      <w:pPr>
        <w:ind w:left="660" w:hanging="328"/>
        <w:spacing w:after="0" w:line="250"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median employee's total compensation was calculated in the same manner as we calculated total compensation for each of the NEOs in the Summary Compensation Table and also includes contributions to health and welfare benefits.</w:t>
      </w: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annualized the compensation of employees to cover the full fiscal year ending July 31, 2018.</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applied the “de minimis” exemption to exclude 308 employees from the following countries: Brazil (126), Malaysia (167), Philippines (4), and Turkey (11).</w:t>
      </w:r>
    </w:p>
    <w:p>
      <w:pPr>
        <w:spacing w:after="0" w:line="1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Pay Ratio</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fiscal 2020, the median of the annual total compensation of all employees, except the CEO, was $39,654. The annual total compensation of the CEO, as reported in the Summary Compensation Table, was $4,511,943. Accordingly, the ratio of the annual total compensation of our CEO to the median of the annual total compensation of all other employees was 114:1.</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of Directors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To ensure competitive compensation for the Directors, compensation is reviewed annually and surveys prepared by various consulting firms and the National Association of Corporate Directors are reviewed by the Corporate Governance Committee and the Management Development and Compensation Committee, and they confer with the Board’s independent compensation consultant, Meridian Compensation Partners, in making recommendations to the Board of Directors regarding Director compensation. Directors who are employees of the Company receive no additional compensation for service on the Board or on any committee of the Board. Compensation of Directors was reviewed during fiscal 2020, and no changes to Director compensation were made to retainers or meeting fees from fiscal 2019 levels.</w:t>
      </w:r>
    </w:p>
    <w:p>
      <w:pPr>
        <w:spacing w:after="0" w:line="13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fiscal 2020, the annual cash retainer paid to non-management Directors was $60,000. Each member of the Audit Committee received an annual retainer of $15,000, and an additional annual retainer of $15,000 was paid to the Chair; each member of the Management Development and Compensation Committee received an annual retainer of $12,000, and an additional annual retainer of $12,000 was paid to the Chair; and each member of the Corporate Governance, Finance and Technology Committees received an annual retainer of $10,000, and an additional annual retainer of $10,000 was paid to each committee Chair. Non-management Directors do not receive meeting fees. Non-management Directors are eligible to receive compensation of up to $1,000 per day for special assignments required by management or the Board of Directors, so long as the compensation does not impair independence and is approved as required by the Board. No such special assignment fees were paid in fiscal year 2020.</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fiscal 2020, the Chair of the Board was paid an annual fee of $60,000. Mr. Goodkind served as Chair of the Board in fiscal 2020.</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Board has established stock ownership requirements for Directors. The ownership requirement for each director is five times the annual Board retainer. Directors have five years to achieve their stock ownership requirements. All Directors, except Dr. Bem and Dr. Williams, who were each elected to the Board in February 2019, have achieved their stock ownership requirements.</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Under the terms of the Brady Corporation 2017 Omnibus Incentive Stock Plan, 5,000,000 shares of the Company's Class A Common Stock have been authorized for issuance to Directors and employees. The Board has full and final authority to</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8" w:name="page89"/>
    <w:bookmarkEnd w:id="88"/>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designate the non-management Directors to whom awards will be granted, the date on which awards will be granted and the number of shares of stock covered by each grant.</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September 4, 2019, the Board approved an annual stock-based compensation award of $109,000 in unrestricted shares of Class A Common Stock (having a grant date fair value of $54.05 per share), for each non-management Director, effective September 20, 2019.</w:t>
      </w:r>
    </w:p>
    <w:p>
      <w:pPr>
        <w:spacing w:after="0" w:line="10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Directors are also eligible to defer portions of their fees into the Brady Corporation Director Deferred Compensation Plan (“Director Deferred Compensation Plan”), the value of which is measured by the fair value of the underlying investments. The assets of the Director Deferred Compensation Plan are held in a Rabbi Trust and are invested by the trustee as directed by the participant in several investment funds as permitted by the Director Deferred Compensation Plan. The investment funds available in the Director Deferred Compensation Plan include Brady Corporation Class A Nonvoting Common Stock and various mutual funds that are provided in the employee Matched 401(k) Plan. A Director may elect whether to receive his/her account balance following termination in a single lump sum payment or by means of distribution under an annual installment method. Distributions of the Company Class A Nonvoting Common Stock are made in-kind; distributions of mutual funds are in cash.</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Compensation Table — Fiscal 2020</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154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Option Awards ($)</w:t>
            </w:r>
          </w:p>
        </w:tc>
        <w:tc>
          <w:tcPr>
            <w:tcW w:w="12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or Paid in</w:t>
            </w:r>
          </w:p>
        </w:tc>
        <w:tc>
          <w:tcPr>
            <w:tcW w:w="1540" w:type="dxa"/>
            <w:vAlign w:val="bottom"/>
            <w:gridSpan w:val="4"/>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95"/>
        </w:trPr>
        <w:tc>
          <w:tcPr>
            <w:tcW w:w="5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Cash ($)</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Awards ($) (2)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Patrick W. Allender</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214,019</w:t>
            </w:r>
          </w:p>
        </w:tc>
        <w:tc>
          <w:tcPr>
            <w:tcW w:w="0" w:type="dxa"/>
            <w:vAlign w:val="bottom"/>
          </w:tcPr>
          <w:p>
            <w:pPr>
              <w:spacing w:after="0"/>
              <w:rPr>
                <w:sz w:val="1"/>
                <w:szCs w:val="1"/>
                <w:color w:val="auto"/>
              </w:rPr>
            </w:pPr>
          </w:p>
        </w:tc>
      </w:tr>
      <w:tr>
        <w:trPr>
          <w:trHeight w:val="243"/>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Gary S. Balkema</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208,019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David S. Bem</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189,419</w:t>
            </w:r>
          </w:p>
        </w:tc>
        <w:tc>
          <w:tcPr>
            <w:tcW w:w="0" w:type="dxa"/>
            <w:vAlign w:val="bottom"/>
          </w:tcPr>
          <w:p>
            <w:pPr>
              <w:spacing w:after="0"/>
              <w:rPr>
                <w:sz w:val="1"/>
                <w:szCs w:val="1"/>
                <w:color w:val="auto"/>
              </w:rPr>
            </w:pPr>
          </w:p>
        </w:tc>
      </w:tr>
      <w:tr>
        <w:trPr>
          <w:trHeight w:val="243"/>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Elizabeth P. Bruno</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206,352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Nancy L. Gioia</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201,019</w:t>
            </w:r>
          </w:p>
        </w:tc>
        <w:tc>
          <w:tcPr>
            <w:tcW w:w="0" w:type="dxa"/>
            <w:vAlign w:val="bottom"/>
          </w:tcPr>
          <w:p>
            <w:pPr>
              <w:spacing w:after="0"/>
              <w:rPr>
                <w:sz w:val="1"/>
                <w:szCs w:val="1"/>
                <w:color w:val="auto"/>
              </w:rPr>
            </w:pPr>
          </w:p>
        </w:tc>
      </w:tr>
      <w:tr>
        <w:trPr>
          <w:trHeight w:val="243"/>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Conrad G. Goodkind</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265,352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Frank W. Harris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191,019</w:t>
            </w:r>
          </w:p>
        </w:tc>
        <w:tc>
          <w:tcPr>
            <w:tcW w:w="0" w:type="dxa"/>
            <w:vAlign w:val="bottom"/>
          </w:tcPr>
          <w:p>
            <w:pPr>
              <w:spacing w:after="0"/>
              <w:rPr>
                <w:sz w:val="1"/>
                <w:szCs w:val="1"/>
                <w:color w:val="auto"/>
              </w:rPr>
            </w:pPr>
          </w:p>
        </w:tc>
      </w:tr>
      <w:tr>
        <w:trPr>
          <w:trHeight w:val="243"/>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Bradley C. Richardson</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219,286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Michelle E. Williams</w:t>
            </w: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80,400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109,019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189,419</w:t>
            </w:r>
          </w:p>
        </w:tc>
        <w:tc>
          <w:tcPr>
            <w:tcW w:w="0" w:type="dxa"/>
            <w:vAlign w:val="bottom"/>
          </w:tcPr>
          <w:p>
            <w:pPr>
              <w:spacing w:after="0"/>
              <w:rPr>
                <w:sz w:val="1"/>
                <w:szCs w:val="1"/>
                <w:color w:val="auto"/>
              </w:rPr>
            </w:pPr>
          </w:p>
        </w:tc>
      </w:tr>
      <w:tr>
        <w:trPr>
          <w:trHeight w:val="27"/>
        </w:trPr>
        <w:tc>
          <w:tcPr>
            <w:tcW w:w="5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both"/>
        <w:ind w:left="660" w:hanging="328"/>
        <w:spacing w:after="0" w:line="255" w:lineRule="auto"/>
        <w:tabs>
          <w:tab w:leader="none" w:pos="65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stock options were awarded to non-management Directors in fiscal 2020. Outstanding option awards at July 31, 2020, for each individual who served as Director in fiscal 2020 include the following: Mr. Allender, 25,400; Mr. Balkema, 17,000; Ms. Bruno, 17,000; Ms. Gioia, 8,500; Mr. Goodkind, 25,400; and Mr. Harris, 17,000. The actual value, if any, which an option holder will realize upon the exercise of an option will depend on the excess of the market value of the Company's common stock over the exercise price on the date the option is exercised.</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fair value of shares of Brady Corporation Class A Non-Voting Common Stock granted in fiscal 2020 as compensation for their services. The shares of unrestricted stock granted to the non-management directors were valued at the average of the high and low market price of $54.05 on September 20, 2019, for those non-management directors on the board as of that grant date.</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9" w:name="page90"/>
    <w:bookmarkEnd w:id="89"/>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171" w:lineRule="exact"/>
        <w:rPr>
          <w:sz w:val="20"/>
          <w:szCs w:val="20"/>
          <w:color w:val="auto"/>
        </w:rPr>
      </w:pPr>
    </w:p>
    <w:p>
      <w:pPr>
        <w:ind w:left="260" w:hanging="252"/>
        <w:spacing w:after="0"/>
        <w:tabs>
          <w:tab w:leader="none" w:pos="26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Security Ownership of Certain Beneficial Owners</w:t>
      </w:r>
    </w:p>
    <w:p>
      <w:pPr>
        <w:spacing w:after="0" w:line="17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current beneficial ownership of shareholders who are known by the Company to own more than five percent (5%) of any class of the Company’s voting shares on July 31, 2020. As of that date, nearly all of the voting stock of the Company was held by two trusts controlled by direct descendants of the Company’s founder, William H. Brady,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Title of Class</w:t>
            </w:r>
          </w:p>
        </w:tc>
        <w:tc>
          <w:tcPr>
            <w:tcW w:w="120" w:type="dxa"/>
            <w:vAlign w:val="bottom"/>
            <w:vMerge w:val="restart"/>
          </w:tcPr>
          <w:p>
            <w:pPr>
              <w:spacing w:after="0"/>
              <w:rPr>
                <w:sz w:val="13"/>
                <w:szCs w:val="13"/>
                <w:color w:val="auto"/>
              </w:rPr>
            </w:pPr>
          </w:p>
        </w:tc>
        <w:tc>
          <w:tcPr>
            <w:tcW w:w="4240" w:type="dxa"/>
            <w:vAlign w:val="bottom"/>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100" w:type="dxa"/>
            <w:vAlign w:val="bottom"/>
            <w:vMerge w:val="restart"/>
          </w:tcPr>
          <w:p>
            <w:pPr>
              <w:spacing w:after="0"/>
              <w:rPr>
                <w:sz w:val="13"/>
                <w:szCs w:val="13"/>
                <w:color w:val="auto"/>
              </w:rPr>
            </w:pPr>
          </w:p>
        </w:tc>
        <w:tc>
          <w:tcPr>
            <w:tcW w:w="19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Amount of Beneficial</w:t>
            </w:r>
          </w:p>
        </w:tc>
        <w:tc>
          <w:tcPr>
            <w:tcW w:w="180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4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Ownership(2)</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B Common Stock</w:t>
            </w:r>
          </w:p>
        </w:tc>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EBL GST Non-Exempt Stock B Trust(1) c/o Elizabeth P.</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1,769,304</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1"/>
        </w:trPr>
        <w:tc>
          <w:tcPr>
            <w:tcW w:w="2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Bruno 2002 S. Hawick Ct. Chapel Hill, NC 27516</w:t>
            </w:r>
          </w:p>
        </w:tc>
        <w:tc>
          <w:tcPr>
            <w:tcW w:w="1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William H. Brady III Living Trust dated November 1,</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1,769,304</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2013 (3)</w:t>
            </w: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 William H. Brady III</w:t>
            </w: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249 Rosemont Ave.</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Pasadena, CA 91103</w:t>
            </w: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660" w:hanging="328"/>
        <w:spacing w:after="0" w:line="261" w:lineRule="auto"/>
        <w:tabs>
          <w:tab w:leader="none" w:pos="65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is Elizabeth P. Bruno, who has sole voting and dispositive power and who is the remainder beneficiary. Elizabeth Bruno is the great-granddaughter of William H. Brady and currently serves on the Company’s Board of Directors.</w:t>
      </w:r>
    </w:p>
    <w:p>
      <w:pPr>
        <w:ind w:left="640" w:hanging="308"/>
        <w:spacing w:after="0"/>
        <w:tabs>
          <w:tab w:leader="none" w:pos="6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20 shares are owned by a third trust with different trustees.</w:t>
      </w:r>
    </w:p>
    <w:p>
      <w:pPr>
        <w:spacing w:after="0" w:line="9"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5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William H. Brady III is grantor of this revocable trust and shares voting and dispositive powers with respect to these shares with his co-trustee. William H. Brady III is the grandson of William H. Brady.</w:t>
      </w:r>
    </w:p>
    <w:p>
      <w:pPr>
        <w:spacing w:after="0" w:line="123"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Security Ownership of Management</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current beneficial ownership of each class of equity securities of the Company by each Director and NEO individually and by all Directors and Officers of the Company as a group as of July 31, 2020. Unless otherwise noted, the address for each of the listed persons is c/o Brady Corporation, 6555 West Good Hope Road, Milwaukee, Wisconsin 53223. Except as otherwise indicated, all shares are owned directly.</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800" w:type="dxa"/>
            <w:vAlign w:val="bottom"/>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420" w:type="dxa"/>
            <w:vAlign w:val="bottom"/>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Title of Class</w:t>
            </w:r>
          </w:p>
        </w:tc>
        <w:tc>
          <w:tcPr>
            <w:tcW w:w="100" w:type="dxa"/>
            <w:vAlign w:val="bottom"/>
            <w:vMerge w:val="restart"/>
          </w:tcPr>
          <w:p>
            <w:pPr>
              <w:spacing w:after="0"/>
              <w:rPr>
                <w:sz w:val="12"/>
                <w:szCs w:val="12"/>
                <w:color w:val="auto"/>
              </w:rPr>
            </w:pPr>
          </w:p>
        </w:tc>
        <w:tc>
          <w:tcPr>
            <w:tcW w:w="468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Name of Beneficial Owner &amp; Nature of Beneficial Ownership</w:t>
            </w:r>
          </w:p>
        </w:tc>
        <w:tc>
          <w:tcPr>
            <w:tcW w:w="120" w:type="dxa"/>
            <w:vAlign w:val="bottom"/>
            <w:vMerge w:val="restart"/>
          </w:tcPr>
          <w:p>
            <w:pPr>
              <w:spacing w:after="0"/>
              <w:rPr>
                <w:sz w:val="12"/>
                <w:szCs w:val="12"/>
                <w:color w:val="auto"/>
              </w:rPr>
            </w:pPr>
          </w:p>
        </w:tc>
        <w:tc>
          <w:tcPr>
            <w:tcW w:w="19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Beneficial</w:t>
            </w:r>
          </w:p>
        </w:tc>
        <w:tc>
          <w:tcPr>
            <w:tcW w:w="18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4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4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Ownership(5)(6)(7)</w:t>
            </w: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Class A Common Stock</w:t>
            </w:r>
          </w:p>
        </w:tc>
        <w:tc>
          <w:tcPr>
            <w:tcW w:w="4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Elizabeth P. Bruno (1)</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1,152,329</w:t>
            </w:r>
          </w:p>
        </w:tc>
        <w:tc>
          <w:tcPr>
            <w:tcW w:w="10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 Michael Nauman</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547,912</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Aaron J. Pearce</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237,568</w:t>
            </w:r>
          </w:p>
        </w:tc>
        <w:tc>
          <w:tcPr>
            <w:tcW w:w="10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Conrad G. Goodkind</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168,933</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Patrick W. Allender (2)</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129,834</w:t>
            </w:r>
          </w:p>
        </w:tc>
        <w:tc>
          <w:tcPr>
            <w:tcW w:w="10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Russell R. Shaller</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110,090</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Gary S. Balkema</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66,723</w:t>
            </w:r>
          </w:p>
        </w:tc>
        <w:tc>
          <w:tcPr>
            <w:tcW w:w="10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Helena R. Nelligan</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55,106</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Bradley C. Richardson</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54,172</w:t>
            </w:r>
          </w:p>
        </w:tc>
        <w:tc>
          <w:tcPr>
            <w:tcW w:w="10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Frank W. Harris</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50,260</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Louis T. Bolognini (3)</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29,675</w:t>
            </w:r>
          </w:p>
        </w:tc>
        <w:tc>
          <w:tcPr>
            <w:tcW w:w="10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4"/>
        </w:trPr>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Nancy L. Gioia</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26,614</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Thomas J. Felmer (4)</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13,172</w:t>
            </w:r>
          </w:p>
        </w:tc>
        <w:tc>
          <w:tcPr>
            <w:tcW w:w="10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4"/>
        </w:trPr>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Pascal Deman</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9,420</w:t>
            </w: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Michelle E. Williams</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6,943</w:t>
            </w:r>
          </w:p>
        </w:tc>
        <w:tc>
          <w:tcPr>
            <w:tcW w:w="10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David S. Bem</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4,358</w:t>
            </w: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 Officers and Directors as a Group (17 persons)</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2,665,929</w:t>
            </w:r>
          </w:p>
        </w:tc>
        <w:tc>
          <w:tcPr>
            <w:tcW w:w="10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6"/>
        </w:trPr>
        <w:tc>
          <w:tcPr>
            <w:tcW w:w="2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Class B Common Stock</w:t>
            </w:r>
          </w:p>
        </w:tc>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Elizabeth P. Bruno (1)</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1,769,304</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680" w:hanging="411"/>
        <w:spacing w:after="0"/>
        <w:tabs>
          <w:tab w:leader="none" w:pos="6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less than one-tenth of one percent.</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90" w:name="page91"/>
    <w:bookmarkEnd w:id="90"/>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left="660" w:hanging="328"/>
        <w:spacing w:after="0" w:line="257" w:lineRule="auto"/>
        <w:tabs>
          <w:tab w:leader="none" w:pos="65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Bruno’s holdings of Class A Common Stock include 806,296 shares owned by a trust for which she is a trustee and has sole dispositive and voting authority and 34,530 shares owned by trusts in which she is a co-trustee. Ms. Bruno’s holdings of Class B Common Stock include 1,769,304 shares owned by a trust over which she has sole dispositive and voting authority.</w:t>
      </w:r>
    </w:p>
    <w:p>
      <w:pPr>
        <w:spacing w:after="0" w:line="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Allender's holdings of Class A Common Stock include 20,000 shares owned by the Patrick and Deborah Allender Irrevocable Trust.</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shown in this table for Mr. Bolognini includes options to acquire 23,278 shares of Class A Common Stock, which are currently exercisable or will be exercisable within 60 days of July 31, 2020, and unvested restricted stock units to acquire 6,397 shares of Class A Common stock, which will vest within 60 days of July 31, 2020.</w:t>
      </w:r>
    </w:p>
    <w:p>
      <w:pPr>
        <w:spacing w:after="0" w:line="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shown in this table for Mr. Felmer includes 13,172 shares of Class A Common Stock owned in deferred compensation plans.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shown for all officers and directors individually and as a group (17 persons) includes options to acquire a total of 818,531 shares of Class A Common Stock, which are currently exercisable or will be exercisable within 60 days of July 31, 2020, including the following: Ms. Bruno, 25,400 shares; Mr. Nauman, 386,710 shares; Mr. Pearce, 152,122 shares; Mr. Goodkind, 25,400 shares; Mr. Allender, 33,800 shares; Mr. Shaller, 66,259 shares; Mr. Balkema, 35,400 shares; Ms. Nelligan, 33,346 shares; Mr. Richardson, 0 shares; Mr. Harris, 25,400 shares; Ms. Gioia, 8,500 shares; Mr. Deman, 7,830 shares; Dr. Williams, 0 shares; and Dr. Bem, 0 shares. It does not include other options for Class A Common Stock which have been granted at later dates and are not exercisable within 60 days of July 31, 2020.</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shown for all officers and directors individually and as a group (17 persons) includes unvested restricted stock units to acquire 106,886 shares of Class A Common stock, which will vest within 60 days of July 31, 2020, including the following: Mr. Nauman, 58,403 units; Mr. Pearce, 19,972 units; Mr. Shaller, 13,867 units; Ms. Nelligan, 9,489 units; and Mr. Deman, 741 units. No unvested restricted stock units were held by directors which will vest within 60 days of July 31, 2020. It does not include unvested restricted stock awards or restricted stock units to acquire Class A Common Stock which have been granted at later dates and will not vest within 60 days of July 31, 2020.</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5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shown for all officers and directors individually and as a group (17 persons) includes Class A Common Stock owned in deferred compensation plans totaling 244,260 shares of Class A Common Stock, including the following: Ms. Bruno, 2,684 shares; Mr. Nauman, 0 shares; Mr. Pearce, 3,763 shares; Mr. Goodkind, 80,598 shares; Mr. Allender, 68,644 shares; Mr. Shaller, 0 shares; Mr. Balkema, 20,009 shares; Ms. Nelligan, 0 shares; Mr. Richardson, 54,172 shares; Mr. Harris, 0 shares; Ms. Gioia, 7,318 shares; Mr. Deman, 0 shares; Dr. Williams, 6,943 shares; and Dr. Bem, 0 shares.</w:t>
      </w:r>
    </w:p>
    <w:p>
      <w:pPr>
        <w:spacing w:after="0" w:line="128"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Changes in Control</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arrangements are known to the Company, which may, at a subsequent date, result in a change in control of the Company.</w:t>
      </w:r>
    </w:p>
    <w:p>
      <w:pPr>
        <w:spacing w:after="0" w:line="167" w:lineRule="exact"/>
        <w:rPr>
          <w:sz w:val="20"/>
          <w:szCs w:val="20"/>
          <w:color w:val="auto"/>
        </w:rPr>
      </w:pPr>
    </w:p>
    <w:p>
      <w:pPr>
        <w:ind w:left="280" w:hanging="272"/>
        <w:spacing w:after="0"/>
        <w:tabs>
          <w:tab w:leader="none" w:pos="28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Equity Compensation Plan Information</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00" w:type="dxa"/>
            <w:vAlign w:val="bottom"/>
          </w:tcPr>
          <w:p>
            <w:pPr>
              <w:spacing w:after="0"/>
              <w:rPr>
                <w:sz w:val="16"/>
                <w:szCs w:val="16"/>
                <w:color w:val="auto"/>
              </w:rPr>
            </w:pPr>
          </w:p>
        </w:tc>
        <w:tc>
          <w:tcPr>
            <w:tcW w:w="2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As of July 31, 2020</w:t>
            </w:r>
          </w:p>
        </w:tc>
        <w:tc>
          <w:tcPr>
            <w:tcW w:w="2560" w:type="dxa"/>
            <w:vAlign w:val="bottom"/>
            <w:tcBorders>
              <w:bottom w:val="single" w:sz="8" w:color="auto"/>
            </w:tcBorders>
          </w:tcPr>
          <w:p>
            <w:pPr>
              <w:spacing w:after="0"/>
              <w:rPr>
                <w:sz w:val="16"/>
                <w:szCs w:val="16"/>
                <w:color w:val="auto"/>
              </w:rPr>
            </w:pPr>
          </w:p>
        </w:tc>
      </w:tr>
      <w:tr>
        <w:trPr>
          <w:trHeight w:val="212"/>
        </w:trPr>
        <w:tc>
          <w:tcPr>
            <w:tcW w:w="3300" w:type="dxa"/>
            <w:vAlign w:val="bottom"/>
          </w:tcPr>
          <w:p>
            <w:pPr>
              <w:spacing w:after="0"/>
              <w:rPr>
                <w:sz w:val="18"/>
                <w:szCs w:val="18"/>
                <w:color w:val="auto"/>
              </w:rPr>
            </w:pPr>
          </w:p>
        </w:tc>
        <w:tc>
          <w:tcPr>
            <w:tcW w:w="2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Number of securities</w:t>
            </w:r>
          </w:p>
        </w:tc>
        <w:tc>
          <w:tcPr>
            <w:tcW w:w="3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securities</w:t>
            </w:r>
          </w:p>
        </w:tc>
      </w:tr>
      <w:tr>
        <w:trPr>
          <w:trHeight w:val="203"/>
        </w:trPr>
        <w:tc>
          <w:tcPr>
            <w:tcW w:w="3300" w:type="dxa"/>
            <w:vAlign w:val="bottom"/>
          </w:tcPr>
          <w:p>
            <w:pPr>
              <w:spacing w:after="0"/>
              <w:rPr>
                <w:sz w:val="17"/>
                <w:szCs w:val="17"/>
                <w:color w:val="auto"/>
              </w:rPr>
            </w:pPr>
          </w:p>
        </w:tc>
        <w:tc>
          <w:tcPr>
            <w:tcW w:w="2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to be issued upon</w:t>
            </w:r>
          </w:p>
        </w:tc>
        <w:tc>
          <w:tcPr>
            <w:tcW w:w="340" w:type="dxa"/>
            <w:vAlign w:val="bottom"/>
          </w:tcPr>
          <w:p>
            <w:pPr>
              <w:spacing w:after="0"/>
              <w:rPr>
                <w:sz w:val="17"/>
                <w:szCs w:val="17"/>
                <w:color w:val="auto"/>
              </w:rPr>
            </w:pPr>
          </w:p>
        </w:tc>
        <w:tc>
          <w:tcPr>
            <w:tcW w:w="234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2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 available for future</w:t>
            </w:r>
          </w:p>
        </w:tc>
      </w:tr>
      <w:tr>
        <w:trPr>
          <w:trHeight w:val="203"/>
        </w:trPr>
        <w:tc>
          <w:tcPr>
            <w:tcW w:w="3300" w:type="dxa"/>
            <w:vAlign w:val="bottom"/>
          </w:tcPr>
          <w:p>
            <w:pPr>
              <w:spacing w:after="0"/>
              <w:rPr>
                <w:sz w:val="17"/>
                <w:szCs w:val="17"/>
                <w:color w:val="auto"/>
              </w:rPr>
            </w:pPr>
          </w:p>
        </w:tc>
        <w:tc>
          <w:tcPr>
            <w:tcW w:w="2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exercise of</w:t>
            </w:r>
          </w:p>
        </w:tc>
        <w:tc>
          <w:tcPr>
            <w:tcW w:w="340" w:type="dxa"/>
            <w:vAlign w:val="bottom"/>
          </w:tcPr>
          <w:p>
            <w:pPr>
              <w:spacing w:after="0"/>
              <w:rPr>
                <w:sz w:val="17"/>
                <w:szCs w:val="17"/>
                <w:color w:val="auto"/>
              </w:rPr>
            </w:pPr>
          </w:p>
        </w:tc>
        <w:tc>
          <w:tcPr>
            <w:tcW w:w="234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exercise price of</w:t>
            </w:r>
          </w:p>
        </w:tc>
        <w:tc>
          <w:tcPr>
            <w:tcW w:w="2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issuance under equity compensation</w:t>
            </w:r>
          </w:p>
        </w:tc>
      </w:tr>
      <w:tr>
        <w:trPr>
          <w:trHeight w:val="203"/>
        </w:trPr>
        <w:tc>
          <w:tcPr>
            <w:tcW w:w="3300" w:type="dxa"/>
            <w:vAlign w:val="bottom"/>
          </w:tcPr>
          <w:p>
            <w:pPr>
              <w:spacing w:after="0"/>
              <w:rPr>
                <w:sz w:val="17"/>
                <w:szCs w:val="17"/>
                <w:color w:val="auto"/>
              </w:rPr>
            </w:pPr>
          </w:p>
        </w:tc>
        <w:tc>
          <w:tcPr>
            <w:tcW w:w="2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outstanding options,</w:t>
            </w:r>
          </w:p>
        </w:tc>
        <w:tc>
          <w:tcPr>
            <w:tcW w:w="340" w:type="dxa"/>
            <w:vAlign w:val="bottom"/>
          </w:tcPr>
          <w:p>
            <w:pPr>
              <w:spacing w:after="0"/>
              <w:rPr>
                <w:sz w:val="17"/>
                <w:szCs w:val="17"/>
                <w:color w:val="auto"/>
              </w:rPr>
            </w:pPr>
          </w:p>
        </w:tc>
        <w:tc>
          <w:tcPr>
            <w:tcW w:w="234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outstanding options,</w:t>
            </w:r>
          </w:p>
        </w:tc>
        <w:tc>
          <w:tcPr>
            <w:tcW w:w="2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plans (excluding securities reflected</w:t>
            </w:r>
          </w:p>
        </w:tc>
      </w:tr>
      <w:tr>
        <w:trPr>
          <w:trHeight w:val="203"/>
        </w:trPr>
        <w:tc>
          <w:tcPr>
            <w:tcW w:w="3300" w:type="dxa"/>
            <w:vAlign w:val="bottom"/>
          </w:tcPr>
          <w:p>
            <w:pPr>
              <w:spacing w:after="0"/>
              <w:rPr>
                <w:sz w:val="17"/>
                <w:szCs w:val="17"/>
                <w:color w:val="auto"/>
              </w:rPr>
            </w:pPr>
          </w:p>
        </w:tc>
        <w:tc>
          <w:tcPr>
            <w:tcW w:w="26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warrants and rights</w:t>
            </w:r>
          </w:p>
        </w:tc>
        <w:tc>
          <w:tcPr>
            <w:tcW w:w="340" w:type="dxa"/>
            <w:vAlign w:val="bottom"/>
          </w:tcPr>
          <w:p>
            <w:pPr>
              <w:spacing w:after="0"/>
              <w:rPr>
                <w:sz w:val="17"/>
                <w:szCs w:val="17"/>
                <w:color w:val="auto"/>
              </w:rPr>
            </w:pPr>
          </w:p>
        </w:tc>
        <w:tc>
          <w:tcPr>
            <w:tcW w:w="23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warrants and rights</w:t>
            </w:r>
          </w:p>
        </w:tc>
        <w:tc>
          <w:tcPr>
            <w:tcW w:w="2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column (a))</w:t>
            </w:r>
          </w:p>
        </w:tc>
      </w:tr>
      <w:tr>
        <w:trPr>
          <w:trHeight w:val="212"/>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2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w:t>
            </w:r>
          </w:p>
        </w:tc>
        <w:tc>
          <w:tcPr>
            <w:tcW w:w="340" w:type="dxa"/>
            <w:vAlign w:val="bottom"/>
          </w:tcPr>
          <w:p>
            <w:pPr>
              <w:spacing w:after="0"/>
              <w:rPr>
                <w:sz w:val="18"/>
                <w:szCs w:val="18"/>
                <w:color w:val="auto"/>
              </w:rPr>
            </w:pPr>
          </w:p>
        </w:tc>
        <w:tc>
          <w:tcPr>
            <w:tcW w:w="234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(b)</w:t>
            </w:r>
          </w:p>
        </w:tc>
        <w:tc>
          <w:tcPr>
            <w:tcW w:w="2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w:t>
            </w:r>
          </w:p>
        </w:tc>
      </w:tr>
      <w:tr>
        <w:trPr>
          <w:trHeight w:val="33"/>
        </w:trPr>
        <w:tc>
          <w:tcPr>
            <w:tcW w:w="3300" w:type="dxa"/>
            <w:vAlign w:val="bottom"/>
            <w:tcBorders>
              <w:bottom w:val="single" w:sz="8" w:color="CCEEFF"/>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r>
      <w:tr>
        <w:trPr>
          <w:trHeight w:val="196"/>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compensation plans approved</w:t>
            </w:r>
          </w:p>
        </w:tc>
        <w:tc>
          <w:tcPr>
            <w:tcW w:w="2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560" w:type="dxa"/>
            <w:vAlign w:val="bottom"/>
            <w:shd w:val="clear" w:color="auto" w:fill="CCEEFF"/>
          </w:tcPr>
          <w:p>
            <w:pPr>
              <w:spacing w:after="0"/>
              <w:rPr>
                <w:sz w:val="17"/>
                <w:szCs w:val="17"/>
                <w:color w:val="auto"/>
              </w:rPr>
            </w:pPr>
          </w:p>
        </w:tc>
      </w:tr>
      <w:tr>
        <w:trPr>
          <w:trHeight w:val="223"/>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by security holders</w:t>
            </w:r>
          </w:p>
        </w:tc>
        <w:tc>
          <w:tcPr>
            <w:tcW w:w="2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1,554,402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39.82</w:t>
            </w:r>
          </w:p>
        </w:tc>
        <w:tc>
          <w:tcPr>
            <w:tcW w:w="120" w:type="dxa"/>
            <w:vAlign w:val="bottom"/>
            <w:tcBorders>
              <w:bottom w:val="single" w:sz="8" w:color="CCEEFF"/>
            </w:tcBorders>
            <w:shd w:val="clear" w:color="auto" w:fill="CCEEFF"/>
          </w:tcPr>
          <w:p>
            <w:pPr>
              <w:spacing w:after="0"/>
              <w:rPr>
                <w:sz w:val="19"/>
                <w:szCs w:val="19"/>
                <w:color w:val="auto"/>
              </w:rPr>
            </w:pPr>
          </w:p>
        </w:tc>
        <w:tc>
          <w:tcPr>
            <w:tcW w:w="2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3,348,834</w:t>
            </w:r>
          </w:p>
        </w:tc>
      </w:tr>
      <w:tr>
        <w:trPr>
          <w:trHeight w:val="216"/>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compensation plans not</w:t>
            </w: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10"/>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approved by security holders</w:t>
            </w:r>
          </w:p>
        </w:tc>
        <w:tc>
          <w:tcPr>
            <w:tcW w:w="2660" w:type="dxa"/>
            <w:vAlign w:val="bottom"/>
            <w:gridSpan w:val="2"/>
          </w:tcPr>
          <w:p>
            <w:pPr>
              <w:ind w:left="2180"/>
              <w:spacing w:after="0"/>
              <w:rPr>
                <w:sz w:val="20"/>
                <w:szCs w:val="20"/>
                <w:color w:val="auto"/>
              </w:rPr>
            </w:pPr>
            <w:r>
              <w:rPr>
                <w:rFonts w:ascii="Times New Roman" w:cs="Times New Roman" w:eastAsia="Times New Roman" w:hAnsi="Times New Roman"/>
                <w:sz w:val="16"/>
                <w:szCs w:val="16"/>
                <w:color w:val="auto"/>
              </w:rPr>
              <w:t>None</w:t>
            </w:r>
          </w:p>
        </w:tc>
        <w:tc>
          <w:tcPr>
            <w:tcW w:w="340" w:type="dxa"/>
            <w:vAlign w:val="bottom"/>
          </w:tcPr>
          <w:p>
            <w:pPr>
              <w:spacing w:after="0"/>
              <w:rPr>
                <w:sz w:val="18"/>
                <w:szCs w:val="18"/>
                <w:color w:val="auto"/>
              </w:rPr>
            </w:pPr>
          </w:p>
        </w:tc>
        <w:tc>
          <w:tcPr>
            <w:tcW w:w="2340" w:type="dxa"/>
            <w:vAlign w:val="bottom"/>
            <w:gridSpan w:val="2"/>
          </w:tcPr>
          <w:p>
            <w:pPr>
              <w:ind w:left="1860"/>
              <w:spacing w:after="0"/>
              <w:rPr>
                <w:sz w:val="20"/>
                <w:szCs w:val="20"/>
                <w:color w:val="auto"/>
              </w:rPr>
            </w:pPr>
            <w:r>
              <w:rPr>
                <w:rFonts w:ascii="Times New Roman" w:cs="Times New Roman" w:eastAsia="Times New Roman" w:hAnsi="Times New Roman"/>
                <w:sz w:val="16"/>
                <w:szCs w:val="16"/>
                <w:color w:val="auto"/>
              </w:rPr>
              <w:t>None</w:t>
            </w:r>
          </w:p>
        </w:tc>
        <w:tc>
          <w:tcPr>
            <w:tcW w:w="2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None</w:t>
            </w:r>
          </w:p>
        </w:tc>
      </w:tr>
      <w:tr>
        <w:trPr>
          <w:trHeight w:val="33"/>
        </w:trPr>
        <w:tc>
          <w:tcPr>
            <w:tcW w:w="3300" w:type="dxa"/>
            <w:vAlign w:val="bottom"/>
            <w:tcBorders>
              <w:bottom w:val="single" w:sz="8" w:color="CCEEFF"/>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r>
      <w:tr>
        <w:trPr>
          <w:trHeight w:val="275"/>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1,554,402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39.82</w:t>
            </w:r>
          </w:p>
        </w:tc>
        <w:tc>
          <w:tcPr>
            <w:tcW w:w="120" w:type="dxa"/>
            <w:vAlign w:val="bottom"/>
            <w:tcBorders>
              <w:bottom w:val="single" w:sz="8" w:color="CCEEFF"/>
            </w:tcBorders>
            <w:shd w:val="clear" w:color="auto" w:fill="CCEEFF"/>
          </w:tcPr>
          <w:p>
            <w:pPr>
              <w:spacing w:after="0"/>
              <w:rPr>
                <w:sz w:val="23"/>
                <w:szCs w:val="23"/>
                <w:color w:val="auto"/>
              </w:rPr>
            </w:pPr>
          </w:p>
        </w:tc>
        <w:tc>
          <w:tcPr>
            <w:tcW w:w="2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3,348,834</w:t>
            </w: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equity compensation plan allows the granting of stock options, restricted stock, RSUs, and unrestricted stock to various officers, directors and other employees of the Company at prices equal to fair market value at the date of grant. The Company has reserved 5,000,000 shares of Class A Nonvoting Common Stock for issuance under the Brady Corporation 2017 Omnibus Incentive Stock Plan. Generally, options will not be exercisable until one year after the date of grant, and will be exercisable thereafter, to the extent of one-third per year and have a maximum term of ten years. Generally, RSUs vest one-third per year for the first three years.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1" w:name="page92"/>
    <w:bookmarkEnd w:id="91"/>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Related Transactions, and Director Independence</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 annually solicits information from its Directors in order to ensure there are no conflicts of interest. The information gathered annually is reviewed by the Company and if any transactions are not in accordance with the rules of the New York Stock Exchange or are potentially in violation of the Company’s Corporate Governance Principles, the transactions are referred to the Corporate Governance Committee for approval, ratification, or other action. Further, potential affiliated party transactions would be reported as a part of the Company’s quarterly disclosure process. In addition, pursuant to its charter, the Company’s Audit Committee periodically reviews reports and disclosures of insider and affiliated party transaction with the Company, if any. Furthermore, the Company’s Directors are expected to be mindful of their fiduciary obligations to the Company and to report any potential conflicts to the Corporate Governance Committee for review. Based on the Company’s consideration of all relevant facts and circumstances, the Corporate Governance Committee will decide whether or not to approve such transactions and will approve only those transactions that are in the best interest of the Company. Additionally, the Company has processes in place to educate executives and employees about affiliated transactions. The Company maintains an anonymous hotline by which employees may report potential conflicts of interest such as affiliated party transactions.</w:t>
      </w:r>
    </w:p>
    <w:p>
      <w:pPr>
        <w:spacing w:after="0" w:line="14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undertaking its review of potential related party transactions, the Board considered the commercial relationships of the Company, if any, with those entities that have employed the Company’s Directors. The commercial relationships, which involved the purchase and sale of products on customary terms, did not exceed the maximum amounts proscribed by the director independence rules of the NYSE. Furthermore, the compensation paid to the Company’s Directors by their employers, was not linked in any way to the commercial relationships their employers had with the Company in fiscal 2020. After consideration of these factors, the Board concluded that none of the Directors whose employers had a commercial relationship with the Company had a material interest in the transactions and the commercial relationships were not material to the Company. Based on these factors, the Company has determined that it does not have material related party transactions that affect the results of operations, cash flow or financial condition. The Company has also determined that no transactions occurred in fiscal 2020, or are currently proposed, that would require disclosure under Item 404 (a) of Regulation S-K.</w:t>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Item 10 above for a discussion of Director independence.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Accountant Fees and Services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aggregate fees incurred for professional services by Deloitte &amp; Touche LLP and Deloitte Tax LLP during the years ended July 31, 2020 and 2019. Other than as set forth below, no professional services were rendered or fees billed by Deloitte &amp; Touche LLP or Deloitte Tax LLP during the years ended July 31, 2020 and 2019.</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50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96"/>
        </w:trPr>
        <w:tc>
          <w:tcPr>
            <w:tcW w:w="7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100" w:type="dxa"/>
            <w:vAlign w:val="bottom"/>
          </w:tcPr>
          <w:p>
            <w:pPr>
              <w:spacing w:after="0"/>
              <w:rPr>
                <w:sz w:val="17"/>
                <w:szCs w:val="17"/>
                <w:color w:val="auto"/>
              </w:rPr>
            </w:pPr>
          </w:p>
        </w:tc>
      </w:tr>
      <w:tr>
        <w:trPr>
          <w:trHeight w:val="255"/>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Audit, audit-related and tax compliance</w:t>
            </w:r>
          </w:p>
        </w:tc>
        <w:tc>
          <w:tcPr>
            <w:tcW w:w="1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270"/>
        </w:trPr>
        <w:tc>
          <w:tcPr>
            <w:tcW w:w="7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3"/>
                <w:szCs w:val="23"/>
                <w:color w:val="auto"/>
                <w:vertAlign w:val="superscript"/>
              </w:rPr>
              <w:t>(1)</w:t>
            </w:r>
          </w:p>
        </w:tc>
        <w:tc>
          <w:tcPr>
            <w:tcW w:w="1100" w:type="dxa"/>
            <w:vAlign w:val="bottom"/>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100" w:type="dxa"/>
            <w:vAlign w:val="bottom"/>
          </w:tcPr>
          <w:p>
            <w:pPr>
              <w:spacing w:after="0"/>
              <w:rPr>
                <w:sz w:val="23"/>
                <w:szCs w:val="23"/>
                <w:color w:val="auto"/>
              </w:rPr>
            </w:pPr>
          </w:p>
        </w:tc>
        <w:tc>
          <w:tcPr>
            <w:tcW w:w="7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w:t>
            </w:r>
          </w:p>
        </w:tc>
      </w:tr>
      <w:tr>
        <w:trPr>
          <w:trHeight w:val="270"/>
        </w:trPr>
        <w:tc>
          <w:tcPr>
            <w:tcW w:w="75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 fees — compliance</w:t>
            </w:r>
          </w:p>
        </w:tc>
        <w:tc>
          <w:tcPr>
            <w:tcW w:w="1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r>
      <w:tr>
        <w:trPr>
          <w:trHeight w:val="237"/>
        </w:trPr>
        <w:tc>
          <w:tcPr>
            <w:tcW w:w="7500" w:type="dxa"/>
            <w:vAlign w:val="bottom"/>
          </w:tcPr>
          <w:p>
            <w:pPr>
              <w:ind w:left="660"/>
              <w:spacing w:after="0"/>
              <w:rPr>
                <w:sz w:val="20"/>
                <w:szCs w:val="20"/>
                <w:color w:val="auto"/>
              </w:rPr>
            </w:pPr>
            <w:r>
              <w:rPr>
                <w:rFonts w:ascii="Times New Roman" w:cs="Times New Roman" w:eastAsia="Times New Roman" w:hAnsi="Times New Roman"/>
                <w:sz w:val="18"/>
                <w:szCs w:val="18"/>
                <w:i w:val="1"/>
                <w:iCs w:val="1"/>
                <w:color w:val="auto"/>
              </w:rPr>
              <w:t>Subtotal audit, audit-related and tax compliance fees</w:t>
            </w:r>
          </w:p>
        </w:tc>
        <w:tc>
          <w:tcPr>
            <w:tcW w:w="11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10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1,693</w:t>
            </w:r>
          </w:p>
        </w:tc>
      </w:tr>
      <w:tr>
        <w:trPr>
          <w:trHeight w:val="27"/>
        </w:trPr>
        <w:tc>
          <w:tcPr>
            <w:tcW w:w="7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Non-audit related</w:t>
            </w:r>
          </w:p>
        </w:tc>
        <w:tc>
          <w:tcPr>
            <w:tcW w:w="1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7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Tax fees — planning and advice</w:t>
            </w:r>
          </w:p>
        </w:tc>
        <w:tc>
          <w:tcPr>
            <w:tcW w:w="1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7"/>
        </w:trPr>
        <w:tc>
          <w:tcPr>
            <w:tcW w:w="75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75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i w:val="1"/>
                <w:iCs w:val="1"/>
                <w:color w:val="auto"/>
              </w:rPr>
              <w:t>Subtotal non-audit related fees</w:t>
            </w:r>
          </w:p>
        </w:tc>
        <w:tc>
          <w:tcPr>
            <w:tcW w:w="1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37"/>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fees</w:t>
            </w:r>
          </w:p>
        </w:tc>
        <w:tc>
          <w:tcPr>
            <w:tcW w:w="1100" w:type="dxa"/>
            <w:vAlign w:val="bottom"/>
            <w:tcBorders>
              <w:top w:val="single" w:sz="8" w:color="auto"/>
            </w:tcBorders>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100" w:type="dxa"/>
            <w:vAlign w:val="bottom"/>
          </w:tcPr>
          <w:p>
            <w:pPr>
              <w:spacing w:after="0"/>
              <w:rPr>
                <w:sz w:val="20"/>
                <w:szCs w:val="20"/>
                <w:color w:val="auto"/>
              </w:rPr>
            </w:pPr>
          </w:p>
        </w:tc>
        <w:tc>
          <w:tcPr>
            <w:tcW w:w="70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1,979</w:t>
            </w:r>
          </w:p>
        </w:tc>
      </w:tr>
      <w:tr>
        <w:trPr>
          <w:trHeight w:val="27"/>
        </w:trPr>
        <w:tc>
          <w:tcPr>
            <w:tcW w:w="75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
        </w:trPr>
        <w:tc>
          <w:tcPr>
            <w:tcW w:w="75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-1567815</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72" w:lineRule="exact"/>
        <w:rPr>
          <w:sz w:val="20"/>
          <w:szCs w:val="20"/>
          <w:color w:val="auto"/>
        </w:rPr>
      </w:pPr>
    </w:p>
    <w:p>
      <w:pPr>
        <w:ind w:left="660" w:hanging="328"/>
        <w:spacing w:after="0" w:line="282" w:lineRule="auto"/>
        <w:tabs>
          <w:tab w:leader="none" w:pos="65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professional services rendered for the audit of the Company’s annual financial statements, attestation of management’s assessment of internal control, reviews of the quarterly financial statements and statutory reporting compliance.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0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41"/>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Ratio of Tax Planning and Advice Fees to Audit Fees, Audit-Related Fees and Tax Compliance Fees</w:t>
            </w:r>
          </w:p>
        </w:tc>
        <w:tc>
          <w:tcPr>
            <w:tcW w:w="11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0.2 to 1</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to 1</w:t>
            </w:r>
          </w:p>
        </w:tc>
      </w:tr>
      <w:tr>
        <w:trPr>
          <w:trHeight w:val="27"/>
        </w:trPr>
        <w:tc>
          <w:tcPr>
            <w:tcW w:w="90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30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Pre-Approval Policy — </w:t>
      </w:r>
      <w:r>
        <w:rPr>
          <w:rFonts w:ascii="Times New Roman" w:cs="Times New Roman" w:eastAsia="Times New Roman" w:hAnsi="Times New Roman"/>
          <w:sz w:val="18"/>
          <w:szCs w:val="18"/>
          <w:color w:val="auto"/>
        </w:rPr>
        <w:t>The services performed by the Independent Registered Public Accounting Firm (“Independent Auditors”) in fiscal 2020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pre-approved in accordance with the pre-approval policy and procedures adopted by the Audit Committee. The policy requires the Audit Committee to pre-approve the audit and non-audit services performed by the Independent Auditors in order to assure that the provision of such services does not impair the auditor’s independence. All services performed for the Company by the Independent Auditor must be approved in advance by the Audit Committee. Any proposed services exceeding pre-approved cost levels will require specific pre-approval by the Audit Committee.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2" w:name="page93"/>
    <w:bookmarkEnd w:id="92"/>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and Financial Statement Schedules</w:t>
      </w:r>
    </w:p>
    <w:p>
      <w:pPr>
        <w:spacing w:after="0" w:line="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Item 15 (a) — The following documents are filed as part of this report:</w:t>
      </w:r>
    </w:p>
    <w:p>
      <w:pPr>
        <w:spacing w:after="0" w:line="104" w:lineRule="exact"/>
        <w:rPr>
          <w:sz w:val="20"/>
          <w:szCs w:val="20"/>
          <w:color w:val="auto"/>
        </w:rPr>
      </w:pPr>
    </w:p>
    <w:p>
      <w:pPr>
        <w:ind w:left="980" w:right="6760" w:hanging="324"/>
        <w:spacing w:after="0" w:line="464" w:lineRule="auto"/>
        <w:tabs>
          <w:tab w:leader="none" w:pos="851"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&amp; 2) Consolidated Financial Statement Schedule - Schedule II Valuation and Qualifying Accounts</w:t>
      </w:r>
    </w:p>
    <w:p>
      <w:pPr>
        <w:ind w:left="980"/>
        <w:spacing w:after="0" w:line="282" w:lineRule="auto"/>
        <w:rPr>
          <w:sz w:val="20"/>
          <w:szCs w:val="20"/>
          <w:color w:val="auto"/>
        </w:rPr>
      </w:pPr>
      <w:r>
        <w:rPr>
          <w:rFonts w:ascii="Times New Roman" w:cs="Times New Roman" w:eastAsia="Times New Roman" w:hAnsi="Times New Roman"/>
          <w:sz w:val="18"/>
          <w:szCs w:val="18"/>
          <w:color w:val="auto"/>
        </w:rPr>
        <w:t>All other schedules are omitted as they are not required, or the required information is shown in the consolidated financial statements or notes thereto.</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 Exhibits — See Exhibit Index at page 94 of this Form 10-K.</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3" w:name="page94"/>
    <w:bookmarkEnd w:id="93"/>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00" w:type="dxa"/>
            <w:vAlign w:val="bottom"/>
          </w:tcPr>
          <w:p>
            <w:pPr>
              <w:spacing w:after="0"/>
              <w:rPr>
                <w:sz w:val="20"/>
                <w:szCs w:val="20"/>
                <w:color w:val="auto"/>
              </w:rPr>
            </w:pPr>
          </w:p>
        </w:tc>
        <w:tc>
          <w:tcPr>
            <w:tcW w:w="9300" w:type="dxa"/>
            <w:vAlign w:val="bottom"/>
          </w:tcPr>
          <w:p>
            <w:pPr>
              <w:ind w:left="30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178"/>
        </w:trPr>
        <w:tc>
          <w:tcPr>
            <w:tcW w:w="1900" w:type="dxa"/>
            <w:vAlign w:val="bottom"/>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300" w:type="dxa"/>
            <w:vAlign w:val="bottom"/>
          </w:tcPr>
          <w:p>
            <w:pPr>
              <w:ind w:left="43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95"/>
        </w:trPr>
        <w:tc>
          <w:tcPr>
            <w:tcW w:w="190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300" w:type="dxa"/>
            <w:vAlign w:val="bottom"/>
            <w:tcBorders>
              <w:bottom w:val="single" w:sz="8" w:color="auto"/>
            </w:tcBorders>
          </w:tcPr>
          <w:p>
            <w:pPr>
              <w:spacing w:after="0"/>
              <w:rPr>
                <w:sz w:val="16"/>
                <w:szCs w:val="16"/>
                <w:color w:val="auto"/>
              </w:rPr>
            </w:pPr>
          </w:p>
        </w:tc>
      </w:tr>
      <w:tr>
        <w:trPr>
          <w:trHeight w:val="188"/>
        </w:trPr>
        <w:tc>
          <w:tcPr>
            <w:tcW w:w="190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auto"/>
              </w:rPr>
              <w:t>2.1</w:t>
            </w:r>
          </w:p>
        </w:tc>
        <w:tc>
          <w:tcPr>
            <w:tcW w:w="9300" w:type="dxa"/>
            <w:vAlign w:val="bottom"/>
            <w:shd w:val="clear" w:color="auto" w:fill="CCEEFF"/>
          </w:tcPr>
          <w:p>
            <w:pPr>
              <w:ind w:left="60"/>
              <w:spacing w:after="0" w:line="188"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Agreement and Plan of Merger, dated as of December 28, 2012, by and among Brady Corporation, BC I Merger Sub</w:t>
              </w:r>
            </w:hyperlink>
          </w:p>
        </w:tc>
      </w:tr>
      <w:tr>
        <w:trPr>
          <w:trHeight w:val="216"/>
        </w:trPr>
        <w:tc>
          <w:tcPr>
            <w:tcW w:w="1900" w:type="dxa"/>
            <w:vAlign w:val="bottom"/>
            <w:shd w:val="clear" w:color="auto" w:fill="CCEEFF"/>
          </w:tcPr>
          <w:p>
            <w:pPr>
              <w:spacing w:after="0"/>
              <w:rPr>
                <w:sz w:val="18"/>
                <w:szCs w:val="18"/>
                <w:color w:val="auto"/>
              </w:rPr>
            </w:pPr>
          </w:p>
        </w:tc>
        <w:tc>
          <w:tcPr>
            <w:tcW w:w="9300" w:type="dxa"/>
            <w:vAlign w:val="bottom"/>
            <w:shd w:val="clear" w:color="auto" w:fill="CCEEFF"/>
          </w:tcPr>
          <w:p>
            <w:pPr>
              <w:ind w:left="60"/>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Corporation, Precision Dynamics Corporation, and Precision Dynamics Holding LLC (29)</w:t>
              </w:r>
            </w:hyperlink>
          </w:p>
        </w:tc>
      </w:tr>
      <w:tr>
        <w:trPr>
          <w:trHeight w:val="189"/>
        </w:trPr>
        <w:tc>
          <w:tcPr>
            <w:tcW w:w="1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2.2</w:t>
            </w:r>
          </w:p>
        </w:tc>
        <w:tc>
          <w:tcPr>
            <w:tcW w:w="9300" w:type="dxa"/>
            <w:vAlign w:val="bottom"/>
          </w:tcPr>
          <w:p>
            <w:pPr>
              <w:ind w:left="60"/>
              <w:spacing w:after="0" w:line="189"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Share and Asset Purchase Agreement, dated as of February 24, 2014, by and among Brady Corporation and LTI Flexible</w:t>
              </w:r>
            </w:hyperlink>
          </w:p>
        </w:tc>
      </w:tr>
      <w:tr>
        <w:trPr>
          <w:trHeight w:val="216"/>
        </w:trPr>
        <w:tc>
          <w:tcPr>
            <w:tcW w:w="1900" w:type="dxa"/>
            <w:vAlign w:val="bottom"/>
          </w:tcPr>
          <w:p>
            <w:pPr>
              <w:spacing w:after="0"/>
              <w:rPr>
                <w:sz w:val="18"/>
                <w:szCs w:val="18"/>
                <w:color w:val="auto"/>
              </w:rPr>
            </w:pPr>
          </w:p>
        </w:tc>
        <w:tc>
          <w:tcPr>
            <w:tcW w:w="9300" w:type="dxa"/>
            <w:vAlign w:val="bottom"/>
          </w:tcPr>
          <w:p>
            <w:pPr>
              <w:ind w:left="60"/>
              <w:spacing w:after="0"/>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Products, Inc. (d/b/a Boyd Corporation) (6)</w:t>
              </w:r>
            </w:hyperlink>
          </w:p>
        </w:tc>
      </w:tr>
      <w:tr>
        <w:trPr>
          <w:trHeight w:val="250"/>
        </w:trPr>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93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Restated Articles of Incorporation of Brady Corporation (1)</w:t>
            </w:r>
          </w:p>
        </w:tc>
      </w:tr>
      <w:tr>
        <w:trPr>
          <w:trHeight w:val="243"/>
        </w:trPr>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9300" w:type="dxa"/>
            <w:vAlign w:val="bottom"/>
          </w:tcPr>
          <w:p>
            <w:pPr>
              <w:ind w:left="60"/>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By-Laws of Brady Corporation, as amended September 14, 2020 (23)</w:t>
              </w:r>
            </w:hyperlink>
          </w:p>
        </w:tc>
      </w:tr>
      <w:tr>
        <w:trPr>
          <w:trHeight w:val="27"/>
        </w:trPr>
        <w:tc>
          <w:tcPr>
            <w:tcW w:w="1900" w:type="dxa"/>
            <w:vAlign w:val="bottom"/>
          </w:tcPr>
          <w:p>
            <w:pPr>
              <w:spacing w:after="0"/>
              <w:rPr>
                <w:sz w:val="2"/>
                <w:szCs w:val="2"/>
                <w:color w:val="auto"/>
              </w:rPr>
            </w:pPr>
          </w:p>
        </w:tc>
        <w:tc>
          <w:tcPr>
            <w:tcW w:w="9300" w:type="dxa"/>
            <w:vAlign w:val="bottom"/>
          </w:tcPr>
          <w:p>
            <w:pPr>
              <w:spacing w:after="0"/>
              <w:rPr>
                <w:sz w:val="2"/>
                <w:szCs w:val="2"/>
                <w:color w:val="auto"/>
              </w:rPr>
            </w:pPr>
          </w:p>
        </w:tc>
      </w:tr>
      <w:tr>
        <w:trPr>
          <w:trHeight w:val="243"/>
        </w:trPr>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9300" w:type="dxa"/>
            <w:vAlign w:val="bottom"/>
            <w:shd w:val="clear" w:color="auto" w:fill="CCEEFF"/>
          </w:tcPr>
          <w:p>
            <w:pPr>
              <w:ind w:left="60"/>
              <w:spacing w:after="0"/>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Description of Brady Corporation securities (3)</w:t>
              </w:r>
            </w:hyperlink>
          </w:p>
        </w:tc>
      </w:tr>
      <w:tr>
        <w:trPr>
          <w:trHeight w:val="27"/>
        </w:trPr>
        <w:tc>
          <w:tcPr>
            <w:tcW w:w="1900" w:type="dxa"/>
            <w:vAlign w:val="bottom"/>
            <w:shd w:val="clear" w:color="auto" w:fill="CCEEFF"/>
          </w:tcPr>
          <w:p>
            <w:pPr>
              <w:spacing w:after="0"/>
              <w:rPr>
                <w:sz w:val="2"/>
                <w:szCs w:val="2"/>
                <w:color w:val="auto"/>
              </w:rPr>
            </w:pPr>
          </w:p>
        </w:tc>
        <w:tc>
          <w:tcPr>
            <w:tcW w:w="9300" w:type="dxa"/>
            <w:vAlign w:val="bottom"/>
            <w:shd w:val="clear" w:color="auto" w:fill="CCEEFF"/>
          </w:tcPr>
          <w:p>
            <w:pPr>
              <w:spacing w:after="0"/>
              <w:rPr>
                <w:sz w:val="2"/>
                <w:szCs w:val="2"/>
                <w:color w:val="auto"/>
              </w:rPr>
            </w:pPr>
          </w:p>
        </w:tc>
      </w:tr>
    </w:tbl>
    <w:p>
      <w:pPr>
        <w:ind w:left="1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*10.1 </w:t>
      </w:r>
      <w:hyperlink w:anchor="page99">
        <w:r>
          <w:rPr>
            <w:rFonts w:ascii="Times New Roman" w:cs="Times New Roman" w:eastAsia="Times New Roman" w:hAnsi="Times New Roman"/>
            <w:sz w:val="18"/>
            <w:szCs w:val="18"/>
            <w:color w:val="0000FF"/>
          </w:rPr>
          <w:t>Change of Control Agreement, dated as of January 7, 2020, with Pascal Deman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06285" cy="1714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4">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5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*10.2 Brady Corporation BradyGold Plan, as amended (2)</w:t>
      </w:r>
    </w:p>
    <w:p>
      <w:pPr>
        <w:spacing w:after="0" w:line="6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*10.3 Executive Additional Compensation Plan, as amended (2)</w:t>
      </w:r>
    </w:p>
    <w:p>
      <w:pPr>
        <w:spacing w:after="0" w:line="50" w:lineRule="exact"/>
        <w:rPr>
          <w:sz w:val="20"/>
          <w:szCs w:val="20"/>
          <w:color w:val="auto"/>
        </w:rPr>
      </w:pPr>
    </w:p>
    <w:p>
      <w:pPr>
        <w:ind w:left="1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*10.4 </w:t>
      </w:r>
      <w:hyperlink r:id="rId175">
        <w:r>
          <w:rPr>
            <w:rFonts w:ascii="Times New Roman" w:cs="Times New Roman" w:eastAsia="Times New Roman" w:hAnsi="Times New Roman"/>
            <w:sz w:val="18"/>
            <w:szCs w:val="18"/>
            <w:color w:val="0000FF"/>
          </w:rPr>
          <w:t>Executive Deferred Compensation Plan, as amended (37)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06285" cy="1714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6">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43" w:lineRule="exact"/>
        <w:rPr>
          <w:sz w:val="20"/>
          <w:szCs w:val="20"/>
          <w:color w:val="auto"/>
        </w:rPr>
      </w:pPr>
    </w:p>
    <w:p>
      <w:pPr>
        <w:ind w:left="1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*10.5 </w:t>
      </w:r>
      <w:hyperlink r:id="rId177">
        <w:r>
          <w:rPr>
            <w:rFonts w:ascii="Times New Roman" w:cs="Times New Roman" w:eastAsia="Times New Roman" w:hAnsi="Times New Roman"/>
            <w:sz w:val="18"/>
            <w:szCs w:val="18"/>
            <w:color w:val="0000FF"/>
          </w:rPr>
          <w:t>Directors’ Deferred Compensation Plan, as amended (37)</w:t>
        </w:r>
      </w:hyperlink>
    </w:p>
    <w:p>
      <w:pPr>
        <w:spacing w:after="0" w:line="63" w:lineRule="exact"/>
        <w:rPr>
          <w:sz w:val="20"/>
          <w:szCs w:val="20"/>
          <w:color w:val="auto"/>
        </w:rPr>
      </w:pPr>
    </w:p>
    <w:p>
      <w:pPr>
        <w:ind w:left="1960" w:right="20" w:hanging="440"/>
        <w:spacing w:after="0" w:line="237"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*10.6 </w:t>
      </w:r>
      <w:hyperlink r:id="rId178">
        <w:r>
          <w:rPr>
            <w:rFonts w:ascii="Times New Roman" w:cs="Times New Roman" w:eastAsia="Times New Roman" w:hAnsi="Times New Roman"/>
            <w:sz w:val="18"/>
            <w:szCs w:val="18"/>
            <w:color w:val="0000FF"/>
          </w:rPr>
          <w:t>Forms of Nonqualified Employee Stock Option Agreement, Director Nonqualified Stock Option Agreement, and Employee</w:t>
        </w:r>
      </w:hyperlink>
      <w:r>
        <w:rPr>
          <w:rFonts w:ascii="Times New Roman" w:cs="Times New Roman" w:eastAsia="Times New Roman" w:hAnsi="Times New Roman"/>
          <w:sz w:val="18"/>
          <w:szCs w:val="18"/>
          <w:color w:val="auto"/>
        </w:rPr>
        <w:t xml:space="preserve"> </w:t>
      </w:r>
      <w:hyperlink r:id="rId178">
        <w:r>
          <w:rPr>
            <w:rFonts w:ascii="Times New Roman" w:cs="Times New Roman" w:eastAsia="Times New Roman" w:hAnsi="Times New Roman"/>
            <w:sz w:val="18"/>
            <w:szCs w:val="18"/>
            <w:color w:val="0000FF"/>
          </w:rPr>
          <w:t>Performance Stock Option Agreement under the Brady Corporation 2006 Omnibus Incentive Stock Plan (10)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06285" cy="2571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9">
                      <a:extLst>
                        <a:ext uri="{28A0092B-C50C-407E-A947-70E740481C1C}"/>
                      </a:extLst>
                    </a:blip>
                    <a:srcRect/>
                    <a:stretch>
                      <a:fillRect/>
                    </a:stretch>
                  </pic:blipFill>
                  <pic:spPr bwMode="auto">
                    <a:xfrm>
                      <a:off x="0" y="0"/>
                      <a:ext cx="7106285" cy="257175"/>
                    </a:xfrm>
                    <a:prstGeom prst="rect">
                      <a:avLst/>
                    </a:prstGeom>
                    <a:noFill/>
                  </pic:spPr>
                </pic:pic>
              </a:graphicData>
            </a:graphic>
          </wp:anchor>
        </w:drawing>
      </w:r>
    </w:p>
    <w:p>
      <w:pPr>
        <w:ind w:left="1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*10.7 </w:t>
      </w:r>
      <w:hyperlink r:id="rId180">
        <w:r>
          <w:rPr>
            <w:rFonts w:ascii="Times New Roman" w:cs="Times New Roman" w:eastAsia="Times New Roman" w:hAnsi="Times New Roman"/>
            <w:sz w:val="18"/>
            <w:szCs w:val="18"/>
            <w:color w:val="0000FF"/>
          </w:rPr>
          <w:t>Brady Corporation 2017 Omnibus Incentive Plan (27)</w:t>
        </w:r>
      </w:hyperlink>
    </w:p>
    <w:p>
      <w:pPr>
        <w:spacing w:after="0" w:line="58" w:lineRule="exact"/>
        <w:rPr>
          <w:sz w:val="20"/>
          <w:szCs w:val="20"/>
          <w:color w:val="auto"/>
        </w:rPr>
      </w:pPr>
    </w:p>
    <w:p>
      <w:pPr>
        <w:ind w:left="1960" w:right="20" w:hanging="440"/>
        <w:spacing w:after="0" w:line="237"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*10.8 </w:t>
      </w:r>
      <w:hyperlink r:id="rId181">
        <w:r>
          <w:rPr>
            <w:rFonts w:ascii="Times New Roman" w:cs="Times New Roman" w:eastAsia="Times New Roman" w:hAnsi="Times New Roman"/>
            <w:sz w:val="18"/>
            <w:szCs w:val="18"/>
            <w:color w:val="0000FF"/>
          </w:rPr>
          <w:t>Form of Nonqualified Stock Option Agreement under the Brady Corporation 2017 Omnibus Incentive Plan for awards granted</w:t>
        </w:r>
      </w:hyperlink>
      <w:r>
        <w:rPr>
          <w:rFonts w:ascii="Times New Roman" w:cs="Times New Roman" w:eastAsia="Times New Roman" w:hAnsi="Times New Roman"/>
          <w:sz w:val="18"/>
          <w:szCs w:val="18"/>
          <w:color w:val="auto"/>
        </w:rPr>
        <w:t xml:space="preserve"> </w:t>
      </w:r>
      <w:hyperlink r:id="rId181">
        <w:r>
          <w:rPr>
            <w:rFonts w:ascii="Times New Roman" w:cs="Times New Roman" w:eastAsia="Times New Roman" w:hAnsi="Times New Roman"/>
            <w:sz w:val="18"/>
            <w:szCs w:val="18"/>
            <w:color w:val="0000FF"/>
          </w:rPr>
          <w:t>prior to Fiscal 2019 (33)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06285" cy="2571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2">
                      <a:extLst>
                        <a:ext uri="{28A0092B-C50C-407E-A947-70E740481C1C}"/>
                      </a:extLst>
                    </a:blip>
                    <a:srcRect/>
                    <a:stretch>
                      <a:fillRect/>
                    </a:stretch>
                  </pic:blipFill>
                  <pic:spPr bwMode="auto">
                    <a:xfrm>
                      <a:off x="0" y="0"/>
                      <a:ext cx="7106285" cy="257175"/>
                    </a:xfrm>
                    <a:prstGeom prst="rect">
                      <a:avLst/>
                    </a:prstGeom>
                    <a:noFill/>
                  </pic:spPr>
                </pic:pic>
              </a:graphicData>
            </a:graphic>
          </wp:anchor>
        </w:drawing>
      </w:r>
    </w:p>
    <w:p>
      <w:pPr>
        <w:ind w:left="1540"/>
        <w:spacing w:after="0"/>
        <w:rPr>
          <w:sz w:val="20"/>
          <w:szCs w:val="20"/>
          <w:color w:val="auto"/>
        </w:rPr>
      </w:pPr>
      <w:r>
        <w:rPr>
          <w:rFonts w:ascii="Times New Roman" w:cs="Times New Roman" w:eastAsia="Times New Roman" w:hAnsi="Times New Roman"/>
          <w:sz w:val="18"/>
          <w:szCs w:val="18"/>
          <w:color w:val="auto"/>
        </w:rPr>
        <w:t>10.9 Brady Corporation Automatic Dividend Reinvestment Plan (4)</w:t>
      </w:r>
    </w:p>
    <w:p>
      <w:pPr>
        <w:spacing w:after="0" w:line="50" w:lineRule="exact"/>
        <w:rPr>
          <w:sz w:val="20"/>
          <w:szCs w:val="20"/>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*10.10 </w:t>
      </w:r>
      <w:hyperlink w:anchor="page103">
        <w:r>
          <w:rPr>
            <w:rFonts w:ascii="Times New Roman" w:cs="Times New Roman" w:eastAsia="Times New Roman" w:hAnsi="Times New Roman"/>
            <w:sz w:val="18"/>
            <w:szCs w:val="18"/>
            <w:color w:val="0000FF"/>
          </w:rPr>
          <w:t>Retirement Agreement, dated as of October 15, 2019, with Thomas J. Felmer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06285" cy="1714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3">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43" w:lineRule="exact"/>
        <w:rPr>
          <w:sz w:val="20"/>
          <w:szCs w:val="20"/>
          <w:color w:val="auto"/>
        </w:rPr>
      </w:pPr>
    </w:p>
    <w:p>
      <w:pPr>
        <w:ind w:left="1960" w:right="20" w:hanging="523"/>
        <w:spacing w:after="0" w:line="237"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*10.11 </w:t>
      </w:r>
      <w:hyperlink w:anchor="page111">
        <w:r>
          <w:rPr>
            <w:rFonts w:ascii="Times New Roman" w:cs="Times New Roman" w:eastAsia="Times New Roman" w:hAnsi="Times New Roman"/>
            <w:sz w:val="18"/>
            <w:szCs w:val="18"/>
            <w:color w:val="0000FF"/>
          </w:rPr>
          <w:t>Form of Fiscal 2021 Performance-Based Restricted Stock Unit Agreement under the Brady Corporation 2017 Omnibus</w:t>
        </w:r>
      </w:hyperlink>
      <w:r>
        <w:rPr>
          <w:rFonts w:ascii="Times New Roman" w:cs="Times New Roman" w:eastAsia="Times New Roman" w:hAnsi="Times New Roman"/>
          <w:sz w:val="18"/>
          <w:szCs w:val="18"/>
          <w:color w:val="auto"/>
        </w:rPr>
        <w:t xml:space="preserve"> </w:t>
      </w:r>
      <w:hyperlink w:anchor="page111">
        <w:r>
          <w:rPr>
            <w:rFonts w:ascii="Times New Roman" w:cs="Times New Roman" w:eastAsia="Times New Roman" w:hAnsi="Times New Roman"/>
            <w:sz w:val="18"/>
            <w:szCs w:val="18"/>
            <w:color w:val="0000FF"/>
          </w:rPr>
          <w:t>Incentive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06285" cy="2571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4">
                      <a:extLst>
                        <a:ext uri="{28A0092B-C50C-407E-A947-70E740481C1C}"/>
                      </a:extLst>
                    </a:blip>
                    <a:srcRect/>
                    <a:stretch>
                      <a:fillRect/>
                    </a:stretch>
                  </pic:blipFill>
                  <pic:spPr bwMode="auto">
                    <a:xfrm>
                      <a:off x="0" y="0"/>
                      <a:ext cx="7106285" cy="257175"/>
                    </a:xfrm>
                    <a:prstGeom prst="rect">
                      <a:avLst/>
                    </a:prstGeom>
                    <a:noFill/>
                  </pic:spPr>
                </pic:pic>
              </a:graphicData>
            </a:graphic>
          </wp:anchor>
        </w:drawing>
      </w:r>
    </w:p>
    <w:p>
      <w:pPr>
        <w:ind w:left="1960" w:right="20" w:hanging="529"/>
        <w:spacing w:after="0" w:line="234"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*10.12 </w:t>
      </w:r>
      <w:hyperlink r:id="rId185">
        <w:r>
          <w:rPr>
            <w:rFonts w:ascii="Times New Roman" w:cs="Times New Roman" w:eastAsia="Times New Roman" w:hAnsi="Times New Roman"/>
            <w:sz w:val="18"/>
            <w:szCs w:val="18"/>
            <w:color w:val="0000FF"/>
          </w:rPr>
          <w:t>Form of Restricted Stock Unit Agreement under the Brady Corporation 2017 Omnibus Incentive Plan for awards granted prior</w:t>
        </w:r>
      </w:hyperlink>
      <w:r>
        <w:rPr>
          <w:rFonts w:ascii="Times New Roman" w:cs="Times New Roman" w:eastAsia="Times New Roman" w:hAnsi="Times New Roman"/>
          <w:sz w:val="18"/>
          <w:szCs w:val="18"/>
          <w:color w:val="auto"/>
        </w:rPr>
        <w:t xml:space="preserve"> </w:t>
      </w:r>
      <w:hyperlink r:id="rId185">
        <w:r>
          <w:rPr>
            <w:rFonts w:ascii="Times New Roman" w:cs="Times New Roman" w:eastAsia="Times New Roman" w:hAnsi="Times New Roman"/>
            <w:sz w:val="18"/>
            <w:szCs w:val="18"/>
            <w:color w:val="0000FF"/>
          </w:rPr>
          <w:t>to Fiscal 2019 (33)</w:t>
        </w:r>
      </w:hyperlink>
    </w:p>
    <w:p>
      <w:pPr>
        <w:spacing w:after="0" w:line="1" w:lineRule="exact"/>
        <w:rPr>
          <w:sz w:val="20"/>
          <w:szCs w:val="20"/>
          <w:color w:val="auto"/>
        </w:rPr>
      </w:pPr>
    </w:p>
    <w:p>
      <w:pPr>
        <w:ind w:left="1960" w:right="20" w:hanging="529"/>
        <w:spacing w:after="0" w:line="234"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*10.13 </w:t>
      </w:r>
      <w:hyperlink r:id="rId186">
        <w:r>
          <w:rPr>
            <w:rFonts w:ascii="Times New Roman" w:cs="Times New Roman" w:eastAsia="Times New Roman" w:hAnsi="Times New Roman"/>
            <w:sz w:val="18"/>
            <w:szCs w:val="18"/>
            <w:color w:val="0000FF"/>
          </w:rPr>
          <w:t>Form of Fiscal 2020 and Fiscal 2021 Nonqualified Employee Stock Option Agreement under the Brady Corporation 2017</w:t>
        </w:r>
      </w:hyperlink>
      <w:r>
        <w:rPr>
          <w:rFonts w:ascii="Times New Roman" w:cs="Times New Roman" w:eastAsia="Times New Roman" w:hAnsi="Times New Roman"/>
          <w:sz w:val="18"/>
          <w:szCs w:val="18"/>
          <w:color w:val="auto"/>
        </w:rPr>
        <w:t xml:space="preserve"> </w:t>
      </w:r>
      <w:hyperlink r:id="rId186">
        <w:r>
          <w:rPr>
            <w:rFonts w:ascii="Times New Roman" w:cs="Times New Roman" w:eastAsia="Times New Roman" w:hAnsi="Times New Roman"/>
            <w:sz w:val="18"/>
            <w:szCs w:val="18"/>
            <w:color w:val="0000FF"/>
          </w:rPr>
          <w:t>Omnibus Incentive Plan (3)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06285" cy="2571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7">
                      <a:extLst>
                        <a:ext uri="{28A0092B-C50C-407E-A947-70E740481C1C}"/>
                      </a:extLst>
                    </a:blip>
                    <a:srcRect/>
                    <a:stretch>
                      <a:fillRect/>
                    </a:stretch>
                  </pic:blipFill>
                  <pic:spPr bwMode="auto">
                    <a:xfrm>
                      <a:off x="0" y="0"/>
                      <a:ext cx="7106285" cy="257175"/>
                    </a:xfrm>
                    <a:prstGeom prst="rect">
                      <a:avLst/>
                    </a:prstGeom>
                    <a:noFill/>
                  </pic:spPr>
                </pic:pic>
              </a:graphicData>
            </a:graphic>
          </wp:anchor>
        </w:drawing>
      </w:r>
    </w:p>
    <w:p>
      <w:pPr>
        <w:ind w:left="1960" w:right="20" w:hanging="529"/>
        <w:spacing w:after="0" w:line="234"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*10.14 </w:t>
      </w:r>
      <w:hyperlink r:id="rId188">
        <w:r>
          <w:rPr>
            <w:rFonts w:ascii="Times New Roman" w:cs="Times New Roman" w:eastAsia="Times New Roman" w:hAnsi="Times New Roman"/>
            <w:sz w:val="18"/>
            <w:szCs w:val="18"/>
            <w:color w:val="0000FF"/>
          </w:rPr>
          <w:t>Form of Fiscal 2019 and Fiscal 2020 Performance-Based Restricted Stock Unit Agreement under the Brady Corporation 2017</w:t>
        </w:r>
      </w:hyperlink>
      <w:r>
        <w:rPr>
          <w:rFonts w:ascii="Times New Roman" w:cs="Times New Roman" w:eastAsia="Times New Roman" w:hAnsi="Times New Roman"/>
          <w:sz w:val="18"/>
          <w:szCs w:val="18"/>
          <w:color w:val="auto"/>
        </w:rPr>
        <w:t xml:space="preserve"> </w:t>
      </w:r>
      <w:hyperlink r:id="rId188">
        <w:r>
          <w:rPr>
            <w:rFonts w:ascii="Times New Roman" w:cs="Times New Roman" w:eastAsia="Times New Roman" w:hAnsi="Times New Roman"/>
            <w:sz w:val="18"/>
            <w:szCs w:val="18"/>
            <w:color w:val="0000FF"/>
          </w:rPr>
          <w:t>Omnibus Incentive Plan (37)</w:t>
        </w:r>
      </w:hyperlink>
    </w:p>
    <w:p>
      <w:pPr>
        <w:spacing w:after="0" w:line="1" w:lineRule="exact"/>
        <w:rPr>
          <w:sz w:val="20"/>
          <w:szCs w:val="20"/>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*10.15 </w:t>
      </w:r>
      <w:hyperlink r:id="rId189">
        <w:r>
          <w:rPr>
            <w:rFonts w:ascii="Times New Roman" w:cs="Times New Roman" w:eastAsia="Times New Roman" w:hAnsi="Times New Roman"/>
            <w:sz w:val="18"/>
            <w:szCs w:val="18"/>
            <w:color w:val="0000FF"/>
          </w:rPr>
          <w:t>Brady Corporation 2006 Omnibus Incentive Stock Plan, as amended (10)</w:t>
        </w:r>
      </w:hyperlink>
    </w:p>
    <w:p>
      <w:pPr>
        <w:spacing w:after="0" w:line="58" w:lineRule="exact"/>
        <w:rPr>
          <w:sz w:val="20"/>
          <w:szCs w:val="20"/>
          <w:color w:val="auto"/>
        </w:rPr>
      </w:pPr>
    </w:p>
    <w:p>
      <w:pPr>
        <w:ind w:left="1960" w:right="20" w:hanging="529"/>
        <w:spacing w:after="0" w:line="237"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*10.16 </w:t>
      </w:r>
      <w:hyperlink r:id="rId190">
        <w:r>
          <w:rPr>
            <w:rFonts w:ascii="Times New Roman" w:cs="Times New Roman" w:eastAsia="Times New Roman" w:hAnsi="Times New Roman"/>
            <w:sz w:val="18"/>
            <w:szCs w:val="18"/>
            <w:color w:val="0000FF"/>
          </w:rPr>
          <w:t>Form of Fiscal 2020 and Fiscal 2021 Restricted Stock Unit Agreement under the Brady Corporation 2017 Omnibus Incentive</w:t>
        </w:r>
      </w:hyperlink>
      <w:r>
        <w:rPr>
          <w:rFonts w:ascii="Times New Roman" w:cs="Times New Roman" w:eastAsia="Times New Roman" w:hAnsi="Times New Roman"/>
          <w:sz w:val="18"/>
          <w:szCs w:val="18"/>
          <w:color w:val="auto"/>
        </w:rPr>
        <w:t xml:space="preserve"> </w:t>
      </w:r>
      <w:hyperlink r:id="rId190">
        <w:r>
          <w:rPr>
            <w:rFonts w:ascii="Times New Roman" w:cs="Times New Roman" w:eastAsia="Times New Roman" w:hAnsi="Times New Roman"/>
            <w:sz w:val="18"/>
            <w:szCs w:val="18"/>
            <w:color w:val="0000FF"/>
          </w:rPr>
          <w:t>Plan (3)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06285" cy="2571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1">
                      <a:extLst>
                        <a:ext uri="{28A0092B-C50C-407E-A947-70E740481C1C}"/>
                      </a:extLst>
                    </a:blip>
                    <a:srcRect/>
                    <a:stretch>
                      <a:fillRect/>
                    </a:stretch>
                  </pic:blipFill>
                  <pic:spPr bwMode="auto">
                    <a:xfrm>
                      <a:off x="0" y="0"/>
                      <a:ext cx="7106285" cy="257175"/>
                    </a:xfrm>
                    <a:prstGeom prst="rect">
                      <a:avLst/>
                    </a:prstGeom>
                    <a:noFill/>
                  </pic:spPr>
                </pic:pic>
              </a:graphicData>
            </a:graphic>
          </wp:anchor>
        </w:drawing>
      </w: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*10.17 </w:t>
      </w:r>
      <w:hyperlink r:id="rId192">
        <w:r>
          <w:rPr>
            <w:rFonts w:ascii="Times New Roman" w:cs="Times New Roman" w:eastAsia="Times New Roman" w:hAnsi="Times New Roman"/>
            <w:sz w:val="18"/>
            <w:szCs w:val="18"/>
            <w:color w:val="0000FF"/>
          </w:rPr>
          <w:t>Change of Control Agreement, dated as of August 28, 2015, with Russell R. Shaller (21)</w:t>
        </w:r>
      </w:hyperlink>
    </w:p>
    <w:p>
      <w:pPr>
        <w:spacing w:after="0" w:line="58" w:lineRule="exact"/>
        <w:rPr>
          <w:sz w:val="20"/>
          <w:szCs w:val="20"/>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*10.18 </w:t>
      </w:r>
      <w:hyperlink r:id="rId193">
        <w:r>
          <w:rPr>
            <w:rFonts w:ascii="Times New Roman" w:cs="Times New Roman" w:eastAsia="Times New Roman" w:hAnsi="Times New Roman"/>
            <w:sz w:val="18"/>
            <w:szCs w:val="18"/>
            <w:color w:val="0000FF"/>
          </w:rPr>
          <w:t>Change of Control Agreement, dated as of September 11, 2015, with Aaron J. Pearce (21)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06285" cy="1714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4">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43" w:lineRule="exact"/>
        <w:rPr>
          <w:sz w:val="20"/>
          <w:szCs w:val="20"/>
          <w:color w:val="auto"/>
        </w:rPr>
      </w:pPr>
    </w:p>
    <w:p>
      <w:pPr>
        <w:ind w:left="1960" w:right="20" w:hanging="529"/>
        <w:spacing w:after="0" w:line="237"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*10.19 </w:t>
      </w:r>
      <w:hyperlink r:id="rId195">
        <w:r>
          <w:rPr>
            <w:rFonts w:ascii="Times New Roman" w:cs="Times New Roman" w:eastAsia="Times New Roman" w:hAnsi="Times New Roman"/>
            <w:sz w:val="18"/>
            <w:szCs w:val="18"/>
            <w:color w:val="0000FF"/>
          </w:rPr>
          <w:t>Form of Fiscal 2019 Nonqualified Employee Stock Option Agreement under the Brady Corporation 2017 Omnibus Incentive</w:t>
        </w:r>
      </w:hyperlink>
      <w:r>
        <w:rPr>
          <w:rFonts w:ascii="Times New Roman" w:cs="Times New Roman" w:eastAsia="Times New Roman" w:hAnsi="Times New Roman"/>
          <w:sz w:val="18"/>
          <w:szCs w:val="18"/>
          <w:color w:val="auto"/>
        </w:rPr>
        <w:t xml:space="preserve"> </w:t>
      </w:r>
      <w:hyperlink r:id="rId195">
        <w:r>
          <w:rPr>
            <w:rFonts w:ascii="Times New Roman" w:cs="Times New Roman" w:eastAsia="Times New Roman" w:hAnsi="Times New Roman"/>
            <w:sz w:val="18"/>
            <w:szCs w:val="18"/>
            <w:color w:val="0000FF"/>
          </w:rPr>
          <w:t>Plan (37)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06285" cy="2571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6">
                      <a:extLst>
                        <a:ext uri="{28A0092B-C50C-407E-A947-70E740481C1C}"/>
                      </a:extLst>
                    </a:blip>
                    <a:srcRect/>
                    <a:stretch>
                      <a:fillRect/>
                    </a:stretch>
                  </pic:blipFill>
                  <pic:spPr bwMode="auto">
                    <a:xfrm>
                      <a:off x="0" y="0"/>
                      <a:ext cx="7106285" cy="257175"/>
                    </a:xfrm>
                    <a:prstGeom prst="rect">
                      <a:avLst/>
                    </a:prstGeom>
                    <a:noFill/>
                  </pic:spPr>
                </pic:pic>
              </a:graphicData>
            </a:graphic>
          </wp:anchor>
        </w:drawing>
      </w:r>
    </w:p>
    <w:p>
      <w:pPr>
        <w:ind w:left="1420"/>
        <w:spacing w:after="0" w:line="22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*10.20 </w:t>
      </w:r>
      <w:hyperlink r:id="rId197">
        <w:r>
          <w:rPr>
            <w:rFonts w:ascii="Times New Roman" w:cs="Times New Roman" w:eastAsia="Times New Roman" w:hAnsi="Times New Roman"/>
            <w:sz w:val="18"/>
            <w:szCs w:val="18"/>
            <w:color w:val="0000FF"/>
          </w:rPr>
          <w:t>Form of Fiscal 2015 Employee Restricted Stock Unit Agreement under the Brady Corporation 2012 Omnibus Incentive Plan</w:t>
        </w:r>
      </w:hyperlink>
    </w:p>
    <w:p>
      <w:pPr>
        <w:ind w:left="1960"/>
        <w:spacing w:after="0"/>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(21)</w:t>
        </w:r>
      </w:hyperlink>
    </w:p>
    <w:p>
      <w:pPr>
        <w:spacing w:after="0" w:line="7" w:lineRule="exact"/>
        <w:rPr>
          <w:sz w:val="20"/>
          <w:szCs w:val="20"/>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*10.21 </w:t>
      </w:r>
      <w:hyperlink r:id="rId198">
        <w:r>
          <w:rPr>
            <w:rFonts w:ascii="Times New Roman" w:cs="Times New Roman" w:eastAsia="Times New Roman" w:hAnsi="Times New Roman"/>
            <w:sz w:val="18"/>
            <w:szCs w:val="18"/>
            <w:color w:val="0000FF"/>
          </w:rPr>
          <w:t>Restated Brady Corporation Restoration Plan, as amended (37)</w:t>
        </w:r>
      </w:hyperlink>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94" w:name="page95"/>
    <w:bookmarkEnd w:id="94"/>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*10.22 </w:t>
      </w:r>
      <w:hyperlink r:id="rId200">
        <w:r>
          <w:rPr>
            <w:rFonts w:ascii="Times New Roman" w:cs="Times New Roman" w:eastAsia="Times New Roman" w:hAnsi="Times New Roman"/>
            <w:sz w:val="18"/>
            <w:szCs w:val="18"/>
            <w:color w:val="0000FF"/>
          </w:rPr>
          <w:t>Change of Control Agreement, dated as of March 3, 2014, with Helena R. Nelligan (13)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06285" cy="1714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1">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43" w:lineRule="exact"/>
        <w:rPr>
          <w:sz w:val="20"/>
          <w:szCs w:val="20"/>
          <w:color w:val="auto"/>
        </w:rPr>
      </w:pPr>
    </w:p>
    <w:p>
      <w:pPr>
        <w:ind w:left="1960" w:hanging="529"/>
        <w:spacing w:after="0" w:line="237"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*10.23 </w:t>
      </w:r>
      <w:hyperlink r:id="rId202">
        <w:r>
          <w:rPr>
            <w:rFonts w:ascii="Times New Roman" w:cs="Times New Roman" w:eastAsia="Times New Roman" w:hAnsi="Times New Roman"/>
            <w:sz w:val="18"/>
            <w:szCs w:val="18"/>
            <w:color w:val="0000FF"/>
          </w:rPr>
          <w:t>Form of Performance-Based Restricted Stock Unit Agreement under the Brady Corporation 2017 Omnibus Incentive Plan for</w:t>
        </w:r>
      </w:hyperlink>
      <w:r>
        <w:rPr>
          <w:rFonts w:ascii="Times New Roman" w:cs="Times New Roman" w:eastAsia="Times New Roman" w:hAnsi="Times New Roman"/>
          <w:sz w:val="18"/>
          <w:szCs w:val="18"/>
          <w:color w:val="auto"/>
        </w:rPr>
        <w:t xml:space="preserve"> </w:t>
      </w:r>
      <w:hyperlink r:id="rId202">
        <w:r>
          <w:rPr>
            <w:rFonts w:ascii="Times New Roman" w:cs="Times New Roman" w:eastAsia="Times New Roman" w:hAnsi="Times New Roman"/>
            <w:sz w:val="18"/>
            <w:szCs w:val="18"/>
            <w:color w:val="0000FF"/>
          </w:rPr>
          <w:t>awards granted prior to Fiscal 2019 (33)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06285" cy="1714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3">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*10.24 </w:t>
      </w:r>
      <w:hyperlink r:id="rId204">
        <w:r>
          <w:rPr>
            <w:rFonts w:ascii="Times New Roman" w:cs="Times New Roman" w:eastAsia="Times New Roman" w:hAnsi="Times New Roman"/>
            <w:sz w:val="18"/>
            <w:szCs w:val="18"/>
            <w:color w:val="0000FF"/>
          </w:rPr>
          <w:t>Employment Offer Letter, dated as of June 2, 2015, with Russell Shaller (28)</w:t>
        </w:r>
      </w:hyperlink>
    </w:p>
    <w:p>
      <w:pPr>
        <w:spacing w:after="0" w:line="58" w:lineRule="exact"/>
        <w:rPr>
          <w:sz w:val="20"/>
          <w:szCs w:val="20"/>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*10.25 </w:t>
      </w:r>
      <w:hyperlink r:id="rId205">
        <w:r>
          <w:rPr>
            <w:rFonts w:ascii="Times New Roman" w:cs="Times New Roman" w:eastAsia="Times New Roman" w:hAnsi="Times New Roman"/>
            <w:sz w:val="18"/>
            <w:szCs w:val="18"/>
            <w:color w:val="0000FF"/>
          </w:rPr>
          <w:t>Restricted Stock Unit Agreement, dated as of July 15, 2015, with Aaron J. Pearce (34)</w:t>
        </w:r>
      </w:hyperlink>
    </w:p>
    <w:p>
      <w:pPr>
        <w:spacing w:after="0" w:line="63" w:lineRule="exact"/>
        <w:rPr>
          <w:sz w:val="20"/>
          <w:szCs w:val="20"/>
          <w:color w:val="auto"/>
        </w:rPr>
      </w:pPr>
    </w:p>
    <w:p>
      <w:pPr>
        <w:ind w:left="1960" w:hanging="507"/>
        <w:spacing w:after="0" w:line="237"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10.26 </w:t>
      </w:r>
      <w:hyperlink r:id="rId206">
        <w:r>
          <w:rPr>
            <w:rFonts w:ascii="Times New Roman" w:cs="Times New Roman" w:eastAsia="Times New Roman" w:hAnsi="Times New Roman"/>
            <w:sz w:val="18"/>
            <w:szCs w:val="18"/>
            <w:color w:val="0000FF"/>
          </w:rPr>
          <w:t>Note Purchase Agreement, dated May 13, 2010, by and among Brady Corporation, Brady Worldwide, Inc., Tricor Direct, Inc.,</w:t>
        </w:r>
      </w:hyperlink>
      <w:r>
        <w:rPr>
          <w:rFonts w:ascii="Times New Roman" w:cs="Times New Roman" w:eastAsia="Times New Roman" w:hAnsi="Times New Roman"/>
          <w:sz w:val="18"/>
          <w:szCs w:val="18"/>
          <w:color w:val="auto"/>
        </w:rPr>
        <w:t xml:space="preserve"> </w:t>
      </w:r>
      <w:hyperlink r:id="rId206">
        <w:r>
          <w:rPr>
            <w:rFonts w:ascii="Times New Roman" w:cs="Times New Roman" w:eastAsia="Times New Roman" w:hAnsi="Times New Roman"/>
            <w:sz w:val="18"/>
            <w:szCs w:val="18"/>
            <w:color w:val="0000FF"/>
          </w:rPr>
          <w:t>and certain Purchasers (19)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06285" cy="2571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7">
                      <a:extLst>
                        <a:ext uri="{28A0092B-C50C-407E-A947-70E740481C1C}"/>
                      </a:extLst>
                    </a:blip>
                    <a:srcRect/>
                    <a:stretch>
                      <a:fillRect/>
                    </a:stretch>
                  </pic:blipFill>
                  <pic:spPr bwMode="auto">
                    <a:xfrm>
                      <a:off x="0" y="0"/>
                      <a:ext cx="7106285" cy="257175"/>
                    </a:xfrm>
                    <a:prstGeom prst="rect">
                      <a:avLst/>
                    </a:prstGeom>
                    <a:noFill/>
                  </pic:spPr>
                </pic:pic>
              </a:graphicData>
            </a:graphic>
          </wp:anchor>
        </w:drawing>
      </w: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*10.27 </w:t>
      </w:r>
      <w:hyperlink r:id="rId208">
        <w:r>
          <w:rPr>
            <w:rFonts w:ascii="Times New Roman" w:cs="Times New Roman" w:eastAsia="Times New Roman" w:hAnsi="Times New Roman"/>
            <w:sz w:val="18"/>
            <w:szCs w:val="18"/>
            <w:color w:val="0000FF"/>
          </w:rPr>
          <w:t>Form of Fiscal 2019 Restricted Stock Unit Agreement under the Brady Corporation 2017 Omnibus Incentive Plan (37)</w:t>
        </w:r>
      </w:hyperlink>
    </w:p>
    <w:p>
      <w:pPr>
        <w:spacing w:after="0" w:line="58" w:lineRule="exact"/>
        <w:rPr>
          <w:sz w:val="20"/>
          <w:szCs w:val="20"/>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*10.28 </w:t>
      </w:r>
      <w:hyperlink r:id="rId209">
        <w:r>
          <w:rPr>
            <w:rFonts w:ascii="Times New Roman" w:cs="Times New Roman" w:eastAsia="Times New Roman" w:hAnsi="Times New Roman"/>
            <w:sz w:val="18"/>
            <w:szCs w:val="18"/>
            <w:color w:val="0000FF"/>
          </w:rPr>
          <w:t>Brady Corporation 2010 Omnibus Incentive Stock Plan, as amended (22)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06285" cy="1714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0">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43" w:lineRule="exact"/>
        <w:rPr>
          <w:sz w:val="20"/>
          <w:szCs w:val="20"/>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*10.29 </w:t>
      </w:r>
      <w:hyperlink r:id="rId211">
        <w:r>
          <w:rPr>
            <w:rFonts w:ascii="Times New Roman" w:cs="Times New Roman" w:eastAsia="Times New Roman" w:hAnsi="Times New Roman"/>
            <w:sz w:val="18"/>
            <w:szCs w:val="18"/>
            <w:color w:val="0000FF"/>
          </w:rPr>
          <w:t>Brady Corporation 2010 Nonqualified Stock Option Plan for Non-Employee Directors (17)</w:t>
        </w:r>
      </w:hyperlink>
    </w:p>
    <w:p>
      <w:pPr>
        <w:spacing w:after="0" w:line="63" w:lineRule="exact"/>
        <w:rPr>
          <w:sz w:val="20"/>
          <w:szCs w:val="20"/>
          <w:color w:val="auto"/>
        </w:rPr>
      </w:pPr>
    </w:p>
    <w:p>
      <w:pPr>
        <w:ind w:left="1960" w:hanging="529"/>
        <w:spacing w:after="0" w:line="237"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*10.30 </w:t>
      </w:r>
      <w:hyperlink r:id="rId212">
        <w:r>
          <w:rPr>
            <w:rFonts w:ascii="Times New Roman" w:cs="Times New Roman" w:eastAsia="Times New Roman" w:hAnsi="Times New Roman"/>
            <w:sz w:val="18"/>
            <w:szCs w:val="18"/>
            <w:color w:val="0000FF"/>
          </w:rPr>
          <w:t>Form of Employee Nonqualified Stock Option Agreement and Employee Performance Stock Option Agreement under the</w:t>
        </w:r>
      </w:hyperlink>
      <w:r>
        <w:rPr>
          <w:rFonts w:ascii="Times New Roman" w:cs="Times New Roman" w:eastAsia="Times New Roman" w:hAnsi="Times New Roman"/>
          <w:sz w:val="18"/>
          <w:szCs w:val="18"/>
          <w:color w:val="auto"/>
        </w:rPr>
        <w:t xml:space="preserve"> </w:t>
      </w:r>
      <w:hyperlink r:id="rId212">
        <w:r>
          <w:rPr>
            <w:rFonts w:ascii="Times New Roman" w:cs="Times New Roman" w:eastAsia="Times New Roman" w:hAnsi="Times New Roman"/>
            <w:sz w:val="18"/>
            <w:szCs w:val="18"/>
            <w:color w:val="0000FF"/>
          </w:rPr>
          <w:t>Brady Corporation 2010 Omnibus Incentive Stock Plan (17)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06285" cy="25717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3">
                      <a:extLst>
                        <a:ext uri="{28A0092B-C50C-407E-A947-70E740481C1C}"/>
                      </a:extLst>
                    </a:blip>
                    <a:srcRect/>
                    <a:stretch>
                      <a:fillRect/>
                    </a:stretch>
                  </pic:blipFill>
                  <pic:spPr bwMode="auto">
                    <a:xfrm>
                      <a:off x="0" y="0"/>
                      <a:ext cx="7106285" cy="257175"/>
                    </a:xfrm>
                    <a:prstGeom prst="rect">
                      <a:avLst/>
                    </a:prstGeom>
                    <a:noFill/>
                  </pic:spPr>
                </pic:pic>
              </a:graphicData>
            </a:graphic>
          </wp:anchor>
        </w:drawing>
      </w:r>
    </w:p>
    <w:p>
      <w:pPr>
        <w:ind w:left="1960" w:hanging="529"/>
        <w:spacing w:after="0" w:line="234"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*10.31 </w:t>
      </w:r>
      <w:hyperlink r:id="rId214">
        <w:r>
          <w:rPr>
            <w:rFonts w:ascii="Times New Roman" w:cs="Times New Roman" w:eastAsia="Times New Roman" w:hAnsi="Times New Roman"/>
            <w:sz w:val="18"/>
            <w:szCs w:val="18"/>
            <w:color w:val="0000FF"/>
          </w:rPr>
          <w:t>Form of Director Nonqualified Stock Option Agreement under the Brady Corporation 2010 Nonqualified Stock Option Plan for</w:t>
        </w:r>
      </w:hyperlink>
      <w:r>
        <w:rPr>
          <w:rFonts w:ascii="Times New Roman" w:cs="Times New Roman" w:eastAsia="Times New Roman" w:hAnsi="Times New Roman"/>
          <w:sz w:val="18"/>
          <w:szCs w:val="18"/>
          <w:color w:val="auto"/>
        </w:rPr>
        <w:t xml:space="preserve"> </w:t>
      </w:r>
      <w:hyperlink r:id="rId214">
        <w:r>
          <w:rPr>
            <w:rFonts w:ascii="Times New Roman" w:cs="Times New Roman" w:eastAsia="Times New Roman" w:hAnsi="Times New Roman"/>
            <w:sz w:val="18"/>
            <w:szCs w:val="18"/>
            <w:color w:val="0000FF"/>
          </w:rPr>
          <w:t>Non-Employee Directors (17)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06285" cy="1714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5">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*10.32 </w:t>
      </w:r>
      <w:hyperlink r:id="rId216">
        <w:r>
          <w:rPr>
            <w:rFonts w:ascii="Times New Roman" w:cs="Times New Roman" w:eastAsia="Times New Roman" w:hAnsi="Times New Roman"/>
            <w:sz w:val="18"/>
            <w:szCs w:val="18"/>
            <w:color w:val="0000FF"/>
          </w:rPr>
          <w:t>Form of Fiscal 2015 Employee Retention Restricted Stock Unit Agreement under 2012 Omnibus Incentive Plan (21)</w:t>
        </w:r>
      </w:hyperlink>
    </w:p>
    <w:p>
      <w:pPr>
        <w:spacing w:after="0" w:line="58" w:lineRule="exact"/>
        <w:rPr>
          <w:sz w:val="20"/>
          <w:szCs w:val="20"/>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*10.33 </w:t>
      </w:r>
      <w:hyperlink r:id="rId217">
        <w:r>
          <w:rPr>
            <w:rFonts w:ascii="Times New Roman" w:cs="Times New Roman" w:eastAsia="Times New Roman" w:hAnsi="Times New Roman"/>
            <w:sz w:val="18"/>
            <w:szCs w:val="18"/>
            <w:color w:val="0000FF"/>
          </w:rPr>
          <w:t>Change of Control Agreement, dated as of March 3, 2014, with Bentley N. Curran (13)</w:t>
        </w:r>
      </w:hyperlink>
    </w:p>
    <w:p>
      <w:pPr>
        <w:spacing w:after="0" w:line="63" w:lineRule="exact"/>
        <w:rPr>
          <w:sz w:val="20"/>
          <w:szCs w:val="20"/>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*10.34 </w:t>
      </w:r>
      <w:hyperlink r:id="rId218">
        <w:r>
          <w:rPr>
            <w:rFonts w:ascii="Times New Roman" w:cs="Times New Roman" w:eastAsia="Times New Roman" w:hAnsi="Times New Roman"/>
            <w:sz w:val="18"/>
            <w:szCs w:val="18"/>
            <w:color w:val="0000FF"/>
          </w:rPr>
          <w:t>Restricted Stock Unit Agreement, dated as of June 22, 2015, with Russell R. Shaller (21)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06285" cy="1714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9">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43" w:lineRule="exact"/>
        <w:rPr>
          <w:sz w:val="20"/>
          <w:szCs w:val="20"/>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*10.35 </w:t>
      </w:r>
      <w:hyperlink w:anchor="page123">
        <w:r>
          <w:rPr>
            <w:rFonts w:ascii="Times New Roman" w:cs="Times New Roman" w:eastAsia="Times New Roman" w:hAnsi="Times New Roman"/>
            <w:sz w:val="18"/>
            <w:szCs w:val="18"/>
            <w:color w:val="0000FF"/>
          </w:rPr>
          <w:t>Addendum to the 2017 General Stock Option Incentive Plan of Brady Corporation for Participants in France</w:t>
        </w:r>
      </w:hyperlink>
    </w:p>
    <w:p>
      <w:pPr>
        <w:spacing w:after="0" w:line="63" w:lineRule="exact"/>
        <w:rPr>
          <w:sz w:val="20"/>
          <w:szCs w:val="20"/>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*10.36 </w:t>
      </w:r>
      <w:hyperlink w:anchor="page129">
        <w:r>
          <w:rPr>
            <w:rFonts w:ascii="Times New Roman" w:cs="Times New Roman" w:eastAsia="Times New Roman" w:hAnsi="Times New Roman"/>
            <w:sz w:val="18"/>
            <w:szCs w:val="18"/>
            <w:color w:val="0000FF"/>
          </w:rPr>
          <w:t>Addendum to the 2017 General Restricted Stock Unit Incentive Plan of Brady Corporation for Participants in France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06285" cy="1714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0">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43" w:lineRule="exact"/>
        <w:rPr>
          <w:sz w:val="20"/>
          <w:szCs w:val="20"/>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*10.37 </w:t>
      </w:r>
      <w:hyperlink r:id="rId221">
        <w:r>
          <w:rPr>
            <w:rFonts w:ascii="Times New Roman" w:cs="Times New Roman" w:eastAsia="Times New Roman" w:hAnsi="Times New Roman"/>
            <w:sz w:val="18"/>
            <w:szCs w:val="18"/>
            <w:color w:val="0000FF"/>
          </w:rPr>
          <w:t>Form of Fiscal 2012 Performance Stock Option under the Brady Corporation 2010 Omnibus Incentive Stock Plan (26)</w:t>
        </w:r>
      </w:hyperlink>
    </w:p>
    <w:p>
      <w:pPr>
        <w:spacing w:after="0" w:line="63" w:lineRule="exact"/>
        <w:rPr>
          <w:sz w:val="20"/>
          <w:szCs w:val="20"/>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*10.38 </w:t>
      </w:r>
      <w:hyperlink r:id="rId222">
        <w:r>
          <w:rPr>
            <w:rFonts w:ascii="Times New Roman" w:cs="Times New Roman" w:eastAsia="Times New Roman" w:hAnsi="Times New Roman"/>
            <w:sz w:val="18"/>
            <w:szCs w:val="18"/>
            <w:color w:val="0000FF"/>
          </w:rPr>
          <w:t>Brady Corporation 2012 Omnibus Incentive Stock Plan (26)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06285" cy="1714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3">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32" w:lineRule="exact"/>
        <w:rPr>
          <w:sz w:val="20"/>
          <w:szCs w:val="20"/>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*10.39 </w:t>
      </w:r>
      <w:hyperlink r:id="rId224">
        <w:r>
          <w:rPr>
            <w:rFonts w:ascii="Times New Roman" w:cs="Times New Roman" w:eastAsia="Times New Roman" w:hAnsi="Times New Roman"/>
            <w:sz w:val="18"/>
            <w:szCs w:val="18"/>
            <w:color w:val="0000FF"/>
          </w:rPr>
          <w:t>Form of Nonqualified Employee Stock Option Agreement under the Brady Corporation 2012 Omnibus Incentive Stock Plan</w:t>
        </w:r>
      </w:hyperlink>
    </w:p>
    <w:p>
      <w:pPr>
        <w:ind w:left="1960"/>
        <w:spacing w:after="0"/>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(26)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06285" cy="25717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5">
                      <a:extLst>
                        <a:ext uri="{28A0092B-C50C-407E-A947-70E740481C1C}"/>
                      </a:extLst>
                    </a:blip>
                    <a:srcRect/>
                    <a:stretch>
                      <a:fillRect/>
                    </a:stretch>
                  </pic:blipFill>
                  <pic:spPr bwMode="auto">
                    <a:xfrm>
                      <a:off x="0" y="0"/>
                      <a:ext cx="7106285" cy="257175"/>
                    </a:xfrm>
                    <a:prstGeom prst="rect">
                      <a:avLst/>
                    </a:prstGeom>
                    <a:noFill/>
                  </pic:spPr>
                </pic:pic>
              </a:graphicData>
            </a:graphic>
          </wp:anchor>
        </w:drawing>
      </w:r>
    </w:p>
    <w:p>
      <w:pPr>
        <w:ind w:left="1960" w:right="20" w:hanging="529"/>
        <w:spacing w:after="0" w:line="234"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*10.40 </w:t>
      </w:r>
      <w:hyperlink r:id="rId226">
        <w:r>
          <w:rPr>
            <w:rFonts w:ascii="Times New Roman" w:cs="Times New Roman" w:eastAsia="Times New Roman" w:hAnsi="Times New Roman"/>
            <w:sz w:val="18"/>
            <w:szCs w:val="18"/>
            <w:color w:val="0000FF"/>
          </w:rPr>
          <w:t>Form of Nonqualified Employee Performance Stock Option Agreement under the Brady Corporation 2012 Omnibus Incentive</w:t>
        </w:r>
      </w:hyperlink>
      <w:r>
        <w:rPr>
          <w:rFonts w:ascii="Times New Roman" w:cs="Times New Roman" w:eastAsia="Times New Roman" w:hAnsi="Times New Roman"/>
          <w:sz w:val="18"/>
          <w:szCs w:val="18"/>
          <w:color w:val="auto"/>
        </w:rPr>
        <w:t xml:space="preserve"> </w:t>
      </w:r>
      <w:hyperlink r:id="rId226">
        <w:r>
          <w:rPr>
            <w:rFonts w:ascii="Times New Roman" w:cs="Times New Roman" w:eastAsia="Times New Roman" w:hAnsi="Times New Roman"/>
            <w:sz w:val="18"/>
            <w:szCs w:val="18"/>
            <w:color w:val="0000FF"/>
          </w:rPr>
          <w:t>Stock Plan (26)</w:t>
        </w:r>
      </w:hyperlink>
    </w:p>
    <w:p>
      <w:pPr>
        <w:spacing w:after="0" w:line="1" w:lineRule="exact"/>
        <w:rPr>
          <w:sz w:val="20"/>
          <w:szCs w:val="20"/>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*10.41 </w:t>
      </w:r>
      <w:hyperlink r:id="rId227">
        <w:r>
          <w:rPr>
            <w:rFonts w:ascii="Times New Roman" w:cs="Times New Roman" w:eastAsia="Times New Roman" w:hAnsi="Times New Roman"/>
            <w:sz w:val="18"/>
            <w:szCs w:val="18"/>
            <w:color w:val="0000FF"/>
          </w:rPr>
          <w:t>Form of Director Stock Option Agreement under the Brady Corporation 2012 Omnibus Incentive Stock Plan (26)</w:t>
        </w:r>
      </w:hyperlink>
    </w:p>
    <w:p>
      <w:pPr>
        <w:spacing w:after="0" w:line="58" w:lineRule="exact"/>
        <w:rPr>
          <w:sz w:val="20"/>
          <w:szCs w:val="20"/>
          <w:color w:val="auto"/>
        </w:rPr>
      </w:pPr>
    </w:p>
    <w:p>
      <w:pPr>
        <w:ind w:left="1960" w:hanging="529"/>
        <w:spacing w:after="0" w:line="237"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*10.42 </w:t>
      </w:r>
      <w:hyperlink r:id="rId228">
        <w:r>
          <w:rPr>
            <w:rFonts w:ascii="Times New Roman" w:cs="Times New Roman" w:eastAsia="Times New Roman" w:hAnsi="Times New Roman"/>
            <w:sz w:val="18"/>
            <w:szCs w:val="18"/>
            <w:color w:val="0000FF"/>
          </w:rPr>
          <w:t>Form of Fiscal 2013 Nonqualified Employee Stock Option Agreement under the Brady Corporation 2012 Omnibus Incentive</w:t>
        </w:r>
      </w:hyperlink>
      <w:r>
        <w:rPr>
          <w:rFonts w:ascii="Times New Roman" w:cs="Times New Roman" w:eastAsia="Times New Roman" w:hAnsi="Times New Roman"/>
          <w:sz w:val="18"/>
          <w:szCs w:val="18"/>
          <w:color w:val="auto"/>
        </w:rPr>
        <w:t xml:space="preserve"> </w:t>
      </w:r>
      <w:hyperlink r:id="rId228">
        <w:r>
          <w:rPr>
            <w:rFonts w:ascii="Times New Roman" w:cs="Times New Roman" w:eastAsia="Times New Roman" w:hAnsi="Times New Roman"/>
            <w:sz w:val="18"/>
            <w:szCs w:val="18"/>
            <w:color w:val="0000FF"/>
          </w:rPr>
          <w:t>Stock Plan (31)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06285" cy="2571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9">
                      <a:extLst>
                        <a:ext uri="{28A0092B-C50C-407E-A947-70E740481C1C}"/>
                      </a:extLst>
                    </a:blip>
                    <a:srcRect/>
                    <a:stretch>
                      <a:fillRect/>
                    </a:stretch>
                  </pic:blipFill>
                  <pic:spPr bwMode="auto">
                    <a:xfrm>
                      <a:off x="0" y="0"/>
                      <a:ext cx="7106285" cy="257175"/>
                    </a:xfrm>
                    <a:prstGeom prst="rect">
                      <a:avLst/>
                    </a:prstGeom>
                    <a:noFill/>
                  </pic:spPr>
                </pic:pic>
              </a:graphicData>
            </a:graphic>
          </wp:anchor>
        </w:drawing>
      </w:r>
    </w:p>
    <w:p>
      <w:pPr>
        <w:ind w:left="1960" w:hanging="529"/>
        <w:spacing w:after="0" w:line="234"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*10.43 </w:t>
      </w:r>
      <w:hyperlink r:id="rId230">
        <w:r>
          <w:rPr>
            <w:rFonts w:ascii="Times New Roman" w:cs="Times New Roman" w:eastAsia="Times New Roman" w:hAnsi="Times New Roman"/>
            <w:sz w:val="18"/>
            <w:szCs w:val="18"/>
            <w:color w:val="0000FF"/>
          </w:rPr>
          <w:t>Form of Fiscal 2013 Director Nonqualified Stock Option Agreement under the Brady Corporation 2012 Omnibus Incentive</w:t>
        </w:r>
      </w:hyperlink>
      <w:r>
        <w:rPr>
          <w:rFonts w:ascii="Times New Roman" w:cs="Times New Roman" w:eastAsia="Times New Roman" w:hAnsi="Times New Roman"/>
          <w:sz w:val="18"/>
          <w:szCs w:val="18"/>
          <w:color w:val="auto"/>
        </w:rPr>
        <w:t xml:space="preserve"> </w:t>
      </w:r>
      <w:hyperlink r:id="rId230">
        <w:r>
          <w:rPr>
            <w:rFonts w:ascii="Times New Roman" w:cs="Times New Roman" w:eastAsia="Times New Roman" w:hAnsi="Times New Roman"/>
            <w:sz w:val="18"/>
            <w:szCs w:val="18"/>
            <w:color w:val="0000FF"/>
          </w:rPr>
          <w:t>Stock Plan (31)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06285" cy="2571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1">
                      <a:extLst>
                        <a:ext uri="{28A0092B-C50C-407E-A947-70E740481C1C}"/>
                      </a:extLst>
                    </a:blip>
                    <a:srcRect/>
                    <a:stretch>
                      <a:fillRect/>
                    </a:stretch>
                  </pic:blipFill>
                  <pic:spPr bwMode="auto">
                    <a:xfrm>
                      <a:off x="0" y="0"/>
                      <a:ext cx="7106285" cy="257175"/>
                    </a:xfrm>
                    <a:prstGeom prst="rect">
                      <a:avLst/>
                    </a:prstGeom>
                    <a:noFill/>
                  </pic:spPr>
                </pic:pic>
              </a:graphicData>
            </a:graphic>
          </wp:anchor>
        </w:drawing>
      </w:r>
    </w:p>
    <w:p>
      <w:pPr>
        <w:ind w:left="1960" w:hanging="507"/>
        <w:spacing w:after="0" w:line="234"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10.44 </w:t>
      </w:r>
      <w:hyperlink r:id="rId232">
        <w:r>
          <w:rPr>
            <w:rFonts w:ascii="Times New Roman" w:cs="Times New Roman" w:eastAsia="Times New Roman" w:hAnsi="Times New Roman"/>
            <w:sz w:val="18"/>
            <w:szCs w:val="18"/>
            <w:color w:val="0000FF"/>
          </w:rPr>
          <w:t>Credit Agreement, dated as of August 1, 2019, by and among Brady Corporation and certain of its subsidiaries, the lenders</w:t>
        </w:r>
      </w:hyperlink>
      <w:r>
        <w:rPr>
          <w:rFonts w:ascii="Times New Roman" w:cs="Times New Roman" w:eastAsia="Times New Roman" w:hAnsi="Times New Roman"/>
          <w:sz w:val="18"/>
          <w:szCs w:val="18"/>
          <w:color w:val="auto"/>
        </w:rPr>
        <w:t xml:space="preserve"> </w:t>
      </w:r>
      <w:hyperlink r:id="rId232">
        <w:r>
          <w:rPr>
            <w:rFonts w:ascii="Times New Roman" w:cs="Times New Roman" w:eastAsia="Times New Roman" w:hAnsi="Times New Roman"/>
            <w:sz w:val="18"/>
            <w:szCs w:val="18"/>
            <w:color w:val="0000FF"/>
          </w:rPr>
          <w:t>listed therein and BMO Harris Bank, N.A., as administrative agent and L/C issuer (38)</w:t>
        </w:r>
      </w:hyperlink>
    </w:p>
    <w:p>
      <w:pPr>
        <w:spacing w:after="0" w:line="1" w:lineRule="exact"/>
        <w:rPr>
          <w:sz w:val="20"/>
          <w:szCs w:val="20"/>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*10.45 </w:t>
      </w:r>
      <w:hyperlink r:id="rId233">
        <w:r>
          <w:rPr>
            <w:rFonts w:ascii="Times New Roman" w:cs="Times New Roman" w:eastAsia="Times New Roman" w:hAnsi="Times New Roman"/>
            <w:sz w:val="18"/>
            <w:szCs w:val="18"/>
            <w:color w:val="0000FF"/>
          </w:rPr>
          <w:t>Employment Offer Letter, dated as of August 1, 2014, with J. Michael Nauman (35)</w:t>
        </w:r>
      </w:hyperlink>
    </w:p>
    <w:p>
      <w:pPr>
        <w:spacing w:after="0" w:line="58" w:lineRule="exact"/>
        <w:rPr>
          <w:sz w:val="20"/>
          <w:szCs w:val="20"/>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*10.46 </w:t>
      </w:r>
      <w:hyperlink r:id="rId234">
        <w:r>
          <w:rPr>
            <w:rFonts w:ascii="Times New Roman" w:cs="Times New Roman" w:eastAsia="Times New Roman" w:hAnsi="Times New Roman"/>
            <w:sz w:val="18"/>
            <w:szCs w:val="18"/>
            <w:color w:val="0000FF"/>
          </w:rPr>
          <w:t>Restricted Stock Unit Agreement, dated as of August 4, 2014, with J. Michael Nauman (35)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06285" cy="1714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5">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43" w:lineRule="exact"/>
        <w:rPr>
          <w:sz w:val="20"/>
          <w:szCs w:val="20"/>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*10.47 </w:t>
      </w:r>
      <w:hyperlink r:id="rId236">
        <w:r>
          <w:rPr>
            <w:rFonts w:ascii="Times New Roman" w:cs="Times New Roman" w:eastAsia="Times New Roman" w:hAnsi="Times New Roman"/>
            <w:sz w:val="18"/>
            <w:szCs w:val="18"/>
            <w:color w:val="0000FF"/>
          </w:rPr>
          <w:t>Change of Control Agreement, dated as of August 4, 2014, with J. Michael Nauman (35)</w:t>
        </w:r>
      </w:hyperlink>
    </w:p>
    <w:p>
      <w:pPr>
        <w:spacing w:after="0" w:line="63" w:lineRule="exact"/>
        <w:rPr>
          <w:sz w:val="20"/>
          <w:szCs w:val="20"/>
          <w:color w:val="auto"/>
        </w:rPr>
      </w:pPr>
    </w:p>
    <w:p>
      <w:pPr>
        <w:ind w:left="1960" w:hanging="529"/>
        <w:spacing w:after="0" w:line="237"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*10.48 </w:t>
      </w:r>
      <w:hyperlink r:id="rId237">
        <w:r>
          <w:rPr>
            <w:rFonts w:ascii="Times New Roman" w:cs="Times New Roman" w:eastAsia="Times New Roman" w:hAnsi="Times New Roman"/>
            <w:sz w:val="18"/>
            <w:szCs w:val="18"/>
            <w:color w:val="0000FF"/>
          </w:rPr>
          <w:t>Form of Fiscal 2014 Nonqualified Employee Stock Option Agreement under the Brady Corporation 2012 Omnibus Incentive</w:t>
        </w:r>
      </w:hyperlink>
      <w:r>
        <w:rPr>
          <w:rFonts w:ascii="Times New Roman" w:cs="Times New Roman" w:eastAsia="Times New Roman" w:hAnsi="Times New Roman"/>
          <w:sz w:val="18"/>
          <w:szCs w:val="18"/>
          <w:color w:val="auto"/>
        </w:rPr>
        <w:t xml:space="preserve"> </w:t>
      </w:r>
      <w:hyperlink r:id="rId237">
        <w:r>
          <w:rPr>
            <w:rFonts w:ascii="Times New Roman" w:cs="Times New Roman" w:eastAsia="Times New Roman" w:hAnsi="Times New Roman"/>
            <w:sz w:val="18"/>
            <w:szCs w:val="18"/>
            <w:color w:val="0000FF"/>
          </w:rPr>
          <w:t>Stock Plan (32)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06285" cy="25717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8">
                      <a:extLst>
                        <a:ext uri="{28A0092B-C50C-407E-A947-70E740481C1C}"/>
                      </a:extLst>
                    </a:blip>
                    <a:srcRect/>
                    <a:stretch>
                      <a:fillRect/>
                    </a:stretch>
                  </pic:blipFill>
                  <pic:spPr bwMode="auto">
                    <a:xfrm>
                      <a:off x="0" y="0"/>
                      <a:ext cx="7106285" cy="257175"/>
                    </a:xfrm>
                    <a:prstGeom prst="rect">
                      <a:avLst/>
                    </a:prstGeom>
                    <a:noFill/>
                  </pic:spPr>
                </pic:pic>
              </a:graphicData>
            </a:graphic>
          </wp:anchor>
        </w:drawing>
      </w: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*10.49 </w:t>
      </w:r>
      <w:hyperlink r:id="rId239">
        <w:r>
          <w:rPr>
            <w:rFonts w:ascii="Times New Roman" w:cs="Times New Roman" w:eastAsia="Times New Roman" w:hAnsi="Times New Roman"/>
            <w:sz w:val="18"/>
            <w:szCs w:val="18"/>
            <w:color w:val="0000FF"/>
          </w:rPr>
          <w:t>Form of Fiscal 2014 Director Stock Option Agreement under the Brady Corporation 2012 Omnibus Incentive Stock Plan (32)</w:t>
        </w:r>
      </w:hyperlink>
    </w:p>
    <w:p>
      <w:pPr>
        <w:spacing w:after="0" w:line="200" w:lineRule="exact"/>
        <w:rPr>
          <w:sz w:val="20"/>
          <w:szCs w:val="20"/>
          <w:color w:val="auto"/>
        </w:rPr>
      </w:pPr>
    </w:p>
    <w:p>
      <w:pPr>
        <w:spacing w:after="0" w:line="3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95" w:name="page96"/>
    <w:bookmarkEnd w:id="95"/>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*10.50 </w:t>
      </w:r>
      <w:hyperlink r:id="rId241">
        <w:r>
          <w:rPr>
            <w:rFonts w:ascii="Times New Roman" w:cs="Times New Roman" w:eastAsia="Times New Roman" w:hAnsi="Times New Roman"/>
            <w:sz w:val="18"/>
            <w:szCs w:val="18"/>
            <w:color w:val="0000FF"/>
          </w:rPr>
          <w:t>Form of Fiscal 2014 Restricted Stock Unit Agreement under the Brady Corporation 2012 Omnibus Incentive Stock Plan (32)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06285" cy="1714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2">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43" w:lineRule="exact"/>
        <w:rPr>
          <w:sz w:val="20"/>
          <w:szCs w:val="20"/>
          <w:color w:val="auto"/>
        </w:rPr>
      </w:pPr>
    </w:p>
    <w:p>
      <w:pPr>
        <w:ind w:left="1960" w:hanging="529"/>
        <w:spacing w:after="0" w:line="237"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*10.51 </w:t>
      </w:r>
      <w:hyperlink r:id="rId243">
        <w:r>
          <w:rPr>
            <w:rFonts w:ascii="Times New Roman" w:cs="Times New Roman" w:eastAsia="Times New Roman" w:hAnsi="Times New Roman"/>
            <w:sz w:val="18"/>
            <w:szCs w:val="18"/>
            <w:color w:val="0000FF"/>
          </w:rPr>
          <w:t>Form of Fiscal 2016 Nonqualified Employee Stock Option Agreement under the Brady Corporation 2012 Omnibus Incentive</w:t>
        </w:r>
      </w:hyperlink>
      <w:r>
        <w:rPr>
          <w:rFonts w:ascii="Times New Roman" w:cs="Times New Roman" w:eastAsia="Times New Roman" w:hAnsi="Times New Roman"/>
          <w:sz w:val="18"/>
          <w:szCs w:val="18"/>
          <w:color w:val="auto"/>
        </w:rPr>
        <w:t xml:space="preserve"> </w:t>
      </w:r>
      <w:hyperlink r:id="rId243">
        <w:r>
          <w:rPr>
            <w:rFonts w:ascii="Times New Roman" w:cs="Times New Roman" w:eastAsia="Times New Roman" w:hAnsi="Times New Roman"/>
            <w:sz w:val="18"/>
            <w:szCs w:val="18"/>
            <w:color w:val="0000FF"/>
          </w:rPr>
          <w:t>Stock Plan (21)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06285" cy="1714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4">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*10.52 </w:t>
      </w:r>
      <w:hyperlink r:id="rId245">
        <w:r>
          <w:rPr>
            <w:rFonts w:ascii="Times New Roman" w:cs="Times New Roman" w:eastAsia="Times New Roman" w:hAnsi="Times New Roman"/>
            <w:sz w:val="18"/>
            <w:szCs w:val="18"/>
            <w:color w:val="0000FF"/>
          </w:rPr>
          <w:t>Form of Fiscal 2016 Restricted Stock Unit Agreement under the Brady Corporation 2012 Omnibus Incentive Stock Plan (21)</w:t>
        </w:r>
      </w:hyperlink>
    </w:p>
    <w:p>
      <w:pPr>
        <w:spacing w:after="0" w:line="58" w:lineRule="exact"/>
        <w:rPr>
          <w:sz w:val="20"/>
          <w:szCs w:val="20"/>
          <w:color w:val="auto"/>
        </w:rPr>
      </w:pPr>
    </w:p>
    <w:p>
      <w:pPr>
        <w:ind w:left="1960" w:hanging="529"/>
        <w:spacing w:after="0" w:line="237"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*10.53 </w:t>
      </w:r>
      <w:hyperlink r:id="rId246">
        <w:r>
          <w:rPr>
            <w:rFonts w:ascii="Times New Roman" w:cs="Times New Roman" w:eastAsia="Times New Roman" w:hAnsi="Times New Roman"/>
            <w:sz w:val="18"/>
            <w:szCs w:val="18"/>
            <w:color w:val="0000FF"/>
          </w:rPr>
          <w:t>Form of Fiscal 2015 Nonqualified Employee Stock Option Agreement under the Brady Corporation 2012 Omnibus Incentive</w:t>
        </w:r>
      </w:hyperlink>
      <w:r>
        <w:rPr>
          <w:rFonts w:ascii="Times New Roman" w:cs="Times New Roman" w:eastAsia="Times New Roman" w:hAnsi="Times New Roman"/>
          <w:sz w:val="18"/>
          <w:szCs w:val="18"/>
          <w:color w:val="auto"/>
        </w:rPr>
        <w:t xml:space="preserve"> </w:t>
      </w:r>
      <w:hyperlink r:id="rId246">
        <w:r>
          <w:rPr>
            <w:rFonts w:ascii="Times New Roman" w:cs="Times New Roman" w:eastAsia="Times New Roman" w:hAnsi="Times New Roman"/>
            <w:sz w:val="18"/>
            <w:szCs w:val="18"/>
            <w:color w:val="0000FF"/>
          </w:rPr>
          <w:t>Stock Plan (9)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06285" cy="2571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7">
                      <a:extLst>
                        <a:ext uri="{28A0092B-C50C-407E-A947-70E740481C1C}"/>
                      </a:extLst>
                    </a:blip>
                    <a:srcRect/>
                    <a:stretch>
                      <a:fillRect/>
                    </a:stretch>
                  </pic:blipFill>
                  <pic:spPr bwMode="auto">
                    <a:xfrm>
                      <a:off x="0" y="0"/>
                      <a:ext cx="7106285" cy="257175"/>
                    </a:xfrm>
                    <a:prstGeom prst="rect">
                      <a:avLst/>
                    </a:prstGeom>
                    <a:noFill/>
                  </pic:spPr>
                </pic:pic>
              </a:graphicData>
            </a:graphic>
          </wp:anchor>
        </w:drawing>
      </w:r>
    </w:p>
    <w:p>
      <w:pPr>
        <w:ind w:left="1960" w:hanging="529"/>
        <w:spacing w:after="0" w:line="234"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*10.54 </w:t>
      </w:r>
      <w:hyperlink r:id="rId248">
        <w:r>
          <w:rPr>
            <w:rFonts w:ascii="Times New Roman" w:cs="Times New Roman" w:eastAsia="Times New Roman" w:hAnsi="Times New Roman"/>
            <w:sz w:val="18"/>
            <w:szCs w:val="18"/>
            <w:color w:val="0000FF"/>
          </w:rPr>
          <w:t>Form of Fiscal 2015 Director Nonqualified Stock Option Agreement under the Brady Corporation 2012 Omnibus Incentive</w:t>
        </w:r>
      </w:hyperlink>
      <w:r>
        <w:rPr>
          <w:rFonts w:ascii="Times New Roman" w:cs="Times New Roman" w:eastAsia="Times New Roman" w:hAnsi="Times New Roman"/>
          <w:sz w:val="18"/>
          <w:szCs w:val="18"/>
          <w:color w:val="auto"/>
        </w:rPr>
        <w:t xml:space="preserve"> </w:t>
      </w:r>
      <w:hyperlink r:id="rId248">
        <w:r>
          <w:rPr>
            <w:rFonts w:ascii="Times New Roman" w:cs="Times New Roman" w:eastAsia="Times New Roman" w:hAnsi="Times New Roman"/>
            <w:sz w:val="18"/>
            <w:szCs w:val="18"/>
            <w:color w:val="0000FF"/>
          </w:rPr>
          <w:t>Stock Plan (9)</w:t>
        </w:r>
      </w:hyperlink>
    </w:p>
    <w:p>
      <w:pPr>
        <w:spacing w:after="0" w:line="1" w:lineRule="exact"/>
        <w:rPr>
          <w:sz w:val="20"/>
          <w:szCs w:val="20"/>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*10.55 </w:t>
      </w:r>
      <w:hyperlink r:id="rId197">
        <w:r>
          <w:rPr>
            <w:rFonts w:ascii="Times New Roman" w:cs="Times New Roman" w:eastAsia="Times New Roman" w:hAnsi="Times New Roman"/>
            <w:sz w:val="18"/>
            <w:szCs w:val="18"/>
            <w:color w:val="0000FF"/>
          </w:rPr>
          <w:t>Form of Fiscal 2015 Restricted Stock Unit Agreement under the Brady Corporation 2012 Omnibus Incentive Stock Plan (9)</w:t>
        </w:r>
      </w:hyperlink>
    </w:p>
    <w:p>
      <w:pPr>
        <w:spacing w:after="0" w:line="58" w:lineRule="exact"/>
        <w:rPr>
          <w:sz w:val="20"/>
          <w:szCs w:val="20"/>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*10.56 </w:t>
      </w:r>
      <w:hyperlink w:anchor="page135">
        <w:r>
          <w:rPr>
            <w:rFonts w:ascii="Times New Roman" w:cs="Times New Roman" w:eastAsia="Times New Roman" w:hAnsi="Times New Roman"/>
            <w:sz w:val="18"/>
            <w:szCs w:val="18"/>
            <w:color w:val="0000FF"/>
          </w:rPr>
          <w:t>Employment Agreement, dated as of September 4, 2014, with Pascal Deman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06285" cy="1714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9">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43" w:lineRule="exact"/>
        <w:rPr>
          <w:sz w:val="20"/>
          <w:szCs w:val="20"/>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*10.57 </w:t>
      </w:r>
      <w:hyperlink w:anchor="page139">
        <w:r>
          <w:rPr>
            <w:rFonts w:ascii="Times New Roman" w:cs="Times New Roman" w:eastAsia="Times New Roman" w:hAnsi="Times New Roman"/>
            <w:sz w:val="18"/>
            <w:szCs w:val="18"/>
            <w:color w:val="0000FF"/>
          </w:rPr>
          <w:t>Amendment to the Employment Agreement, dated January 7, 2020, with Pascal Deman</w:t>
        </w:r>
      </w:hyperlink>
    </w:p>
    <w:p>
      <w:pPr>
        <w:spacing w:after="0" w:line="63" w:lineRule="exact"/>
        <w:rPr>
          <w:sz w:val="20"/>
          <w:szCs w:val="20"/>
          <w:color w:val="auto"/>
        </w:rPr>
      </w:pPr>
    </w:p>
    <w:p>
      <w:pPr>
        <w:ind w:left="1960" w:hanging="287"/>
        <w:spacing w:after="0"/>
        <w:tabs>
          <w:tab w:leader="none" w:pos="1960" w:val="left"/>
        </w:tabs>
        <w:numPr>
          <w:ilvl w:val="0"/>
          <w:numId w:val="59"/>
        </w:numPr>
        <w:rPr>
          <w:rFonts w:ascii="Times New Roman" w:cs="Times New Roman" w:eastAsia="Times New Roman" w:hAnsi="Times New Roman"/>
          <w:sz w:val="18"/>
          <w:szCs w:val="18"/>
          <w:color w:val="0000FF"/>
        </w:rPr>
      </w:pPr>
      <w:hyperlink w:anchor="page144">
        <w:r>
          <w:rPr>
            <w:rFonts w:ascii="Times New Roman" w:cs="Times New Roman" w:eastAsia="Times New Roman" w:hAnsi="Times New Roman"/>
            <w:sz w:val="18"/>
            <w:szCs w:val="18"/>
            <w:color w:val="0000FF"/>
          </w:rPr>
          <w:t>Subsidiaries of Brady Corporation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06285" cy="1714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0">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43" w:lineRule="exact"/>
        <w:rPr>
          <w:sz w:val="20"/>
          <w:szCs w:val="20"/>
          <w:color w:val="auto"/>
        </w:rPr>
      </w:pPr>
    </w:p>
    <w:p>
      <w:pPr>
        <w:ind w:left="1540" w:right="3140" w:firstLine="133"/>
        <w:spacing w:after="0" w:line="313" w:lineRule="auto"/>
        <w:tabs>
          <w:tab w:leader="none" w:pos="1958" w:val="left"/>
        </w:tabs>
        <w:numPr>
          <w:ilvl w:val="2"/>
          <w:numId w:val="60"/>
        </w:numPr>
        <w:rPr>
          <w:rFonts w:ascii="Times New Roman" w:cs="Times New Roman" w:eastAsia="Times New Roman" w:hAnsi="Times New Roman"/>
          <w:sz w:val="18"/>
          <w:szCs w:val="18"/>
          <w:color w:val="000000"/>
        </w:rPr>
      </w:pPr>
      <w:hyperlink w:anchor="page147">
        <w:r>
          <w:rPr>
            <w:rFonts w:ascii="Times New Roman" w:cs="Times New Roman" w:eastAsia="Times New Roman" w:hAnsi="Times New Roman"/>
            <w:sz w:val="18"/>
            <w:szCs w:val="18"/>
            <w:color w:val="0000FF"/>
          </w:rPr>
          <w:t>Consent of Deloitte &amp; Touche LLP, Independent Registered Public Accounting Firm</w:t>
        </w:r>
      </w:hyperlink>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31.1 </w:t>
      </w:r>
      <w:hyperlink w:anchor="page148">
        <w:r>
          <w:rPr>
            <w:rFonts w:ascii="Times New Roman" w:cs="Times New Roman" w:eastAsia="Times New Roman" w:hAnsi="Times New Roman"/>
            <w:sz w:val="18"/>
            <w:szCs w:val="18"/>
            <w:color w:val="0000FF"/>
          </w:rPr>
          <w:t>Rule 13a-14(a)/15d-14(a) Certification of J. Michael Nauman</w:t>
        </w:r>
      </w:hyperlink>
    </w:p>
    <w:p>
      <w:pPr>
        <w:ind w:left="1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31.2 </w:t>
      </w:r>
      <w:hyperlink w:anchor="page149">
        <w:r>
          <w:rPr>
            <w:rFonts w:ascii="Times New Roman" w:cs="Times New Roman" w:eastAsia="Times New Roman" w:hAnsi="Times New Roman"/>
            <w:sz w:val="18"/>
            <w:szCs w:val="18"/>
            <w:color w:val="0000FF"/>
          </w:rPr>
          <w:t>Rule 13a-14(a)/15d-14(a) Certification of Aaron J. Pearce</w:t>
        </w:r>
      </w:hyperlink>
    </w:p>
    <w:p>
      <w:pPr>
        <w:spacing w:after="0" w:line="63" w:lineRule="exact"/>
        <w:rPr>
          <w:rFonts w:ascii="Times New Roman" w:cs="Times New Roman" w:eastAsia="Times New Roman" w:hAnsi="Times New Roman"/>
          <w:sz w:val="18"/>
          <w:szCs w:val="18"/>
          <w:color w:val="auto"/>
        </w:rPr>
      </w:pPr>
    </w:p>
    <w:p>
      <w:pPr>
        <w:ind w:left="1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32.1 </w:t>
      </w:r>
      <w:hyperlink w:anchor="page150">
        <w:r>
          <w:rPr>
            <w:rFonts w:ascii="Times New Roman" w:cs="Times New Roman" w:eastAsia="Times New Roman" w:hAnsi="Times New Roman"/>
            <w:sz w:val="18"/>
            <w:szCs w:val="18"/>
            <w:color w:val="0000FF"/>
          </w:rPr>
          <w:t>Section 1350 Certification of J. Michael Nauman</w:t>
        </w:r>
      </w:hyperlink>
    </w:p>
    <w:p>
      <w:pPr>
        <w:spacing w:after="0" w:line="63" w:lineRule="exact"/>
        <w:rPr>
          <w:rFonts w:ascii="Times New Roman" w:cs="Times New Roman" w:eastAsia="Times New Roman" w:hAnsi="Times New Roman"/>
          <w:sz w:val="18"/>
          <w:szCs w:val="18"/>
          <w:color w:val="auto"/>
        </w:rPr>
      </w:pPr>
    </w:p>
    <w:p>
      <w:pPr>
        <w:ind w:left="1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32.2 </w:t>
      </w:r>
      <w:hyperlink w:anchor="page151">
        <w:r>
          <w:rPr>
            <w:rFonts w:ascii="Times New Roman" w:cs="Times New Roman" w:eastAsia="Times New Roman" w:hAnsi="Times New Roman"/>
            <w:sz w:val="18"/>
            <w:szCs w:val="18"/>
            <w:color w:val="0000FF"/>
          </w:rPr>
          <w:t>Section 1350 Certification of Aaron J. Pearce</w:t>
        </w:r>
      </w:hyperlink>
    </w:p>
    <w:p>
      <w:pPr>
        <w:spacing w:after="0" w:line="76" w:lineRule="exact"/>
        <w:rPr>
          <w:rFonts w:ascii="Times New Roman" w:cs="Times New Roman" w:eastAsia="Times New Roman" w:hAnsi="Times New Roman"/>
          <w:sz w:val="18"/>
          <w:szCs w:val="18"/>
          <w:color w:val="auto"/>
        </w:rPr>
      </w:pPr>
    </w:p>
    <w:p>
      <w:pPr>
        <w:ind w:left="1960" w:hanging="377"/>
        <w:spacing w:after="0"/>
        <w:tabs>
          <w:tab w:leader="none" w:pos="1960"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Interactive Data File</w:t>
      </w:r>
    </w:p>
    <w:p>
      <w:pPr>
        <w:spacing w:after="0" w:line="63" w:lineRule="exact"/>
        <w:rPr>
          <w:rFonts w:ascii="Times New Roman" w:cs="Times New Roman" w:eastAsia="Times New Roman" w:hAnsi="Times New Roman"/>
          <w:sz w:val="18"/>
          <w:szCs w:val="18"/>
          <w:color w:val="auto"/>
        </w:rPr>
      </w:pPr>
    </w:p>
    <w:p>
      <w:pPr>
        <w:ind w:left="1960" w:hanging="377"/>
        <w:spacing w:after="0"/>
        <w:tabs>
          <w:tab w:leader="none" w:pos="1960" w:val="left"/>
        </w:tabs>
        <w:numPr>
          <w:ilvl w:val="2"/>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Inline XBRL data (Contained in Exhibit 101)</w:t>
      </w:r>
    </w:p>
    <w:p>
      <w:pPr>
        <w:spacing w:after="0" w:line="333"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Management contract or compensatory plan or arrangement</w:t>
      </w:r>
    </w:p>
    <w:p>
      <w:pPr>
        <w:spacing w:after="0" w:line="144"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Registration Statement No. 333-04155 on Form S-3</w:t>
      </w:r>
    </w:p>
    <w:p>
      <w:pPr>
        <w:spacing w:after="0" w:line="27"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Annual Report on Form 10-K for the fiscal year ended July 31, 1989</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Annual Report on Form 10-K for the fiscal year ended July 31, 2019</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Annual Report on Form 10-K for the fiscal year ended July 31, 1992</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Current Report on Form 8-K filed February 25, 2014</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Annual Report on Form 10-K for the fiscal year ended July 31, 2014</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Annual Report on Form 10-K for the fiscal year ended July 31, 2008</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Quarterly Report on Form 10-Q for the fiscal quarter ended January 31, 2014</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Quarterly Report on Form 10-Q for the fiscal quarter ended April 30, 2011</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Annual Report on Form 10-K for the fiscal year ended July 31, 2009</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Current Report on Form 8-K filed May 14, 2010</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Annual Report on Form 10-K for the fiscal year ended July 31, 2015</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Current Report on Form 8-K filed September 27, 2010</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Current Report on Form 8-K filed September 16, 2020</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-4588510</wp:posOffset>
            </wp:positionV>
            <wp:extent cx="7106285" cy="1714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1">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-4245610</wp:posOffset>
            </wp:positionV>
            <wp:extent cx="7106285" cy="1714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2">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-3902710</wp:posOffset>
            </wp:positionV>
            <wp:extent cx="7106285" cy="1714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3">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200" w:lineRule="exact"/>
        <w:rPr>
          <w:rFonts w:ascii="Times New Roman" w:cs="Times New Roman" w:eastAsia="Times New Roman" w:hAnsi="Times New Roman"/>
          <w:sz w:val="18"/>
          <w:szCs w:val="18"/>
          <w:color w:val="auto"/>
        </w:rPr>
      </w:pPr>
    </w:p>
    <w:p>
      <w:pPr>
        <w:spacing w:after="0" w:line="324" w:lineRule="exact"/>
        <w:rPr>
          <w:rFonts w:ascii="Times New Roman" w:cs="Times New Roman" w:eastAsia="Times New Roman" w:hAnsi="Times New Roman"/>
          <w:sz w:val="18"/>
          <w:szCs w:val="18"/>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96" w:name="page97"/>
    <w:bookmarkEnd w:id="96"/>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20" w:hanging="472"/>
        <w:spacing w:after="0"/>
        <w:tabs>
          <w:tab w:leader="none" w:pos="5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7"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Quarterly Report on Form 10-Q for the fiscal quarter ended January 31, 2017</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Annual Report on Form 10-K for the fiscal year ended July 31, 2011</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Current Report on Form 8-K filed May 27, 2016</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Current Report on Form 8-K filed June 5, 2015</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Current Report on Form 8-K filed December 31, 2012</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Annual Report on Form 10-K for the fiscal year ended July 31, 2012</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Annual Report on Form 10-K for the fiscal year ended July 31, 2013</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Current Report on Form 8-K filed July 14, 2016</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Current Report on Form 8-K filed July 16, 2015</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Current Report on Form 8-K filed August 4, 2014</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Annual Report on Form 10-K for the fiscal year ended July 31, 2018</w:t>
      </w:r>
    </w:p>
    <w:p>
      <w:pPr>
        <w:spacing w:after="0" w:line="9" w:lineRule="exact"/>
        <w:rPr>
          <w:rFonts w:ascii="Times New Roman" w:cs="Times New Roman" w:eastAsia="Times New Roman" w:hAnsi="Times New Roman"/>
          <w:sz w:val="18"/>
          <w:szCs w:val="18"/>
          <w:color w:val="auto"/>
        </w:rPr>
      </w:pPr>
    </w:p>
    <w:p>
      <w:pPr>
        <w:ind w:left="520" w:hanging="472"/>
        <w:spacing w:after="0"/>
        <w:tabs>
          <w:tab w:leader="none" w:pos="5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Current Report on Form 8-K filed August 1, 2019</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i w:val="1"/>
          <w:iCs w:val="1"/>
          <w:color w:val="auto"/>
        </w:rPr>
        <w:t>Form 10-K Summary</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BRADY CORPORATION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SCHEDULE II — VALUATION AND QUALIFYING ACCOUNTS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Year ended July 31,</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380" w:type="dxa"/>
            <w:vAlign w:val="bottom"/>
          </w:tcPr>
          <w:p>
            <w:pPr>
              <w:spacing w:after="0"/>
              <w:rPr>
                <w:sz w:val="18"/>
                <w:szCs w:val="18"/>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2018</w:t>
            </w: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Valuation accounts deducted in balance sheet from assets to which they apply — Accounts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receivable — allowance for doubtful accounts:</w:t>
            </w: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Balances at beginning of period</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4,471</w:t>
            </w:r>
          </w:p>
        </w:tc>
        <w:tc>
          <w:tcPr>
            <w:tcW w:w="12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4,629</w:t>
            </w: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Additions — Charged to expense</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w:t>
            </w:r>
          </w:p>
        </w:tc>
        <w:tc>
          <w:tcPr>
            <w:tcW w:w="0" w:type="dxa"/>
            <w:vAlign w:val="bottom"/>
          </w:tcPr>
          <w:p>
            <w:pPr>
              <w:spacing w:after="0"/>
              <w:rPr>
                <w:sz w:val="1"/>
                <w:szCs w:val="1"/>
                <w:color w:val="auto"/>
              </w:rPr>
            </w:pPr>
          </w:p>
        </w:tc>
      </w:tr>
      <w:tr>
        <w:trPr>
          <w:trHeight w:val="223"/>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Deductions — Bad debts written off, net of recoveries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w:t>
            </w:r>
          </w:p>
        </w:tc>
        <w:tc>
          <w:tcPr>
            <w:tcW w:w="0" w:type="dxa"/>
            <w:vAlign w:val="bottom"/>
          </w:tcPr>
          <w:p>
            <w:pPr>
              <w:spacing w:after="0"/>
              <w:rPr>
                <w:sz w:val="1"/>
                <w:szCs w:val="1"/>
                <w:color w:val="auto"/>
              </w:rPr>
            </w:pPr>
          </w:p>
        </w:tc>
      </w:tr>
      <w:tr>
        <w:trPr>
          <w:trHeight w:val="33"/>
        </w:trPr>
        <w:tc>
          <w:tcPr>
            <w:tcW w:w="60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end of period</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4,471</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Inventory — Reserve for slow-moving inventory:</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60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beginning of period</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13,404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12,582</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14,322</w:t>
            </w:r>
          </w:p>
        </w:tc>
        <w:tc>
          <w:tcPr>
            <w:tcW w:w="0" w:type="dxa"/>
            <w:vAlign w:val="bottom"/>
          </w:tcPr>
          <w:p>
            <w:pPr>
              <w:spacing w:after="0"/>
              <w:rPr>
                <w:sz w:val="1"/>
                <w:szCs w:val="1"/>
                <w:color w:val="auto"/>
              </w:rPr>
            </w:pPr>
          </w:p>
        </w:tc>
      </w:tr>
      <w:tr>
        <w:trPr>
          <w:trHeight w:val="223"/>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Additions — Charged to expense</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2,797</w:t>
            </w: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Deductions — Inventory write-offs</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(2,346)</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(4,537)</w:t>
            </w:r>
          </w:p>
        </w:tc>
        <w:tc>
          <w:tcPr>
            <w:tcW w:w="0" w:type="dxa"/>
            <w:vAlign w:val="bottom"/>
          </w:tcPr>
          <w:p>
            <w:pPr>
              <w:spacing w:after="0"/>
              <w:rPr>
                <w:sz w:val="1"/>
                <w:szCs w:val="1"/>
                <w:color w:val="auto"/>
              </w:rPr>
            </w:pPr>
          </w:p>
        </w:tc>
      </w:tr>
      <w:tr>
        <w:trPr>
          <w:trHeight w:val="247"/>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Balances at end of period</w:t>
            </w: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16,309</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13,404</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12,582</w:t>
            </w:r>
          </w:p>
        </w:tc>
        <w:tc>
          <w:tcPr>
            <w:tcW w:w="0" w:type="dxa"/>
            <w:vAlign w:val="bottom"/>
          </w:tcPr>
          <w:p>
            <w:pPr>
              <w:spacing w:after="0"/>
              <w:rPr>
                <w:sz w:val="1"/>
                <w:szCs w:val="1"/>
                <w:color w:val="auto"/>
              </w:rPr>
            </w:pPr>
          </w:p>
        </w:tc>
      </w:tr>
      <w:tr>
        <w:trPr>
          <w:trHeight w:val="20"/>
        </w:trPr>
        <w:tc>
          <w:tcPr>
            <w:tcW w:w="60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Valuation allowances against deferred tax assets:</w:t>
            </w:r>
          </w:p>
        </w:tc>
        <w:tc>
          <w:tcPr>
            <w:tcW w:w="3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Balances at beginning of period</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60,073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56,866</w:t>
            </w:r>
          </w:p>
        </w:tc>
        <w:tc>
          <w:tcPr>
            <w:tcW w:w="12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38,563</w:t>
            </w: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Additions during year</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5,981</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24,184</w:t>
            </w:r>
          </w:p>
        </w:tc>
        <w:tc>
          <w:tcPr>
            <w:tcW w:w="0" w:type="dxa"/>
            <w:vAlign w:val="bottom"/>
          </w:tcPr>
          <w:p>
            <w:pPr>
              <w:spacing w:after="0"/>
              <w:rPr>
                <w:sz w:val="1"/>
                <w:szCs w:val="1"/>
                <w:color w:val="auto"/>
              </w:rPr>
            </w:pPr>
          </w:p>
        </w:tc>
      </w:tr>
      <w:tr>
        <w:trPr>
          <w:trHeight w:val="223"/>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Deductions — Valuation allowances reversed/utilized</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(5,881)</w:t>
            </w:r>
          </w:p>
        </w:tc>
        <w:tc>
          <w:tcPr>
            <w:tcW w:w="0" w:type="dxa"/>
            <w:vAlign w:val="bottom"/>
          </w:tcPr>
          <w:p>
            <w:pPr>
              <w:spacing w:after="0"/>
              <w:rPr>
                <w:sz w:val="1"/>
                <w:szCs w:val="1"/>
                <w:color w:val="auto"/>
              </w:rPr>
            </w:pPr>
          </w:p>
        </w:tc>
      </w:tr>
      <w:tr>
        <w:trPr>
          <w:trHeight w:val="33"/>
        </w:trPr>
        <w:tc>
          <w:tcPr>
            <w:tcW w:w="60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at end of period</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58,809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60,073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56,866</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-2836545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-2836545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97" w:name="page98"/>
    <w:bookmarkEnd w:id="97"/>
    <w:p>
      <w:pPr>
        <w:spacing w:after="0"/>
        <w:rPr>
          <w:rFonts w:ascii="Times New Roman" w:cs="Times New Roman" w:eastAsia="Times New Roman" w:hAnsi="Times New Roman"/>
          <w:sz w:val="14"/>
          <w:szCs w:val="14"/>
          <w:u w:val="single" w:color="auto"/>
          <w:color w:val="0000FF"/>
        </w:rPr>
      </w:pPr>
      <w:hyperlink w:anchor="page1">
        <w:r>
          <w:rPr>
            <w:rFonts w:ascii="Times New Roman" w:cs="Times New Roman" w:eastAsia="Times New Roman" w:hAnsi="Times New Roman"/>
            <w:sz w:val="14"/>
            <w:szCs w:val="14"/>
            <w:u w:val="single" w:color="auto"/>
            <w:color w:val="0000FF"/>
          </w:rPr>
          <w:t xml:space="preserve">Table of </w:t>
        </w:r>
        <w:r>
          <w:rPr>
            <w:rFonts w:ascii="Times New Roman" w:cs="Times New Roman" w:eastAsia="Times New Roman" w:hAnsi="Times New Roman"/>
            <w:sz w:val="14"/>
            <w:szCs w:val="14"/>
            <w:u w:val="single" w:color="auto"/>
            <w:color w:val="0000FF"/>
            <w:highlight w:val="white"/>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109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w:t>
            </w:r>
          </w:p>
        </w:tc>
      </w:tr>
      <w:tr>
        <w:trPr>
          <w:trHeight w:val="234"/>
        </w:trPr>
        <w:tc>
          <w:tcPr>
            <w:tcW w:w="11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its behalf by the undersigned, thereunto duly authorized this 16th day of September 2020.</w:t>
            </w:r>
          </w:p>
        </w:tc>
      </w:tr>
      <w:tr>
        <w:trPr>
          <w:trHeight w:val="256"/>
        </w:trPr>
        <w:tc>
          <w:tcPr>
            <w:tcW w:w="112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4"/>
                <w:szCs w:val="14"/>
                <w:color w:val="auto"/>
              </w:rPr>
              <w:t>RADY</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ORPORATION</w:t>
            </w:r>
          </w:p>
        </w:tc>
      </w:tr>
      <w:tr>
        <w:trPr>
          <w:trHeight w:val="270"/>
        </w:trPr>
        <w:tc>
          <w:tcPr>
            <w:tcW w:w="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By:</w:t>
            </w:r>
          </w:p>
        </w:tc>
        <w:tc>
          <w:tcPr>
            <w:tcW w:w="940" w:type="dxa"/>
            <w:vAlign w:val="bottom"/>
            <w:tcBorders>
              <w:bottom w:val="single" w:sz="8" w:color="CCEEFF"/>
            </w:tcBorders>
            <w:shd w:val="clear" w:color="auto" w:fill="CCEEFF"/>
          </w:tcPr>
          <w:p>
            <w:pPr>
              <w:spacing w:after="0"/>
              <w:rPr>
                <w:sz w:val="23"/>
                <w:szCs w:val="23"/>
                <w:color w:val="auto"/>
              </w:rPr>
            </w:pPr>
          </w:p>
        </w:tc>
        <w:tc>
          <w:tcPr>
            <w:tcW w:w="9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 AARON J. PEARCE</w:t>
            </w:r>
          </w:p>
        </w:tc>
        <w:tc>
          <w:tcPr>
            <w:tcW w:w="20" w:type="dxa"/>
            <w:vAlign w:val="bottom"/>
          </w:tcPr>
          <w:p>
            <w:pPr>
              <w:spacing w:after="0"/>
              <w:rPr>
                <w:sz w:val="23"/>
                <w:szCs w:val="23"/>
                <w:color w:val="auto"/>
              </w:rPr>
            </w:pPr>
          </w:p>
        </w:tc>
      </w:tr>
      <w:tr>
        <w:trPr>
          <w:trHeight w:val="237"/>
        </w:trPr>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9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Aaron J. Pearce</w:t>
            </w:r>
          </w:p>
        </w:tc>
        <w:tc>
          <w:tcPr>
            <w:tcW w:w="20" w:type="dxa"/>
            <w:vAlign w:val="bottom"/>
          </w:tcPr>
          <w:p>
            <w:pPr>
              <w:spacing w:after="0"/>
              <w:rPr>
                <w:sz w:val="20"/>
                <w:szCs w:val="20"/>
                <w:color w:val="auto"/>
              </w:rPr>
            </w:pPr>
          </w:p>
        </w:tc>
      </w:tr>
      <w:tr>
        <w:trPr>
          <w:trHeight w:val="27"/>
        </w:trPr>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00" w:type="dxa"/>
            <w:vAlign w:val="bottom"/>
            <w:gridSpan w:val="2"/>
          </w:tcPr>
          <w:p>
            <w:pPr>
              <w:spacing w:after="0"/>
              <w:rPr>
                <w:sz w:val="2"/>
                <w:szCs w:val="2"/>
                <w:color w:val="auto"/>
              </w:rPr>
            </w:pPr>
          </w:p>
        </w:tc>
      </w:tr>
      <w:tr>
        <w:trPr>
          <w:trHeight w:val="250"/>
        </w:trPr>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9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Financial Officer and Treasurer</w:t>
            </w:r>
          </w:p>
        </w:tc>
        <w:tc>
          <w:tcPr>
            <w:tcW w:w="20" w:type="dxa"/>
            <w:vAlign w:val="bottom"/>
          </w:tcPr>
          <w:p>
            <w:pPr>
              <w:spacing w:after="0"/>
              <w:rPr>
                <w:sz w:val="21"/>
                <w:szCs w:val="21"/>
                <w:color w:val="auto"/>
              </w:rPr>
            </w:pPr>
          </w:p>
        </w:tc>
      </w:tr>
      <w:tr>
        <w:trPr>
          <w:trHeight w:val="243"/>
        </w:trPr>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pacing w:after="0" w:line="171" w:lineRule="exact"/>
        <w:rPr>
          <w:sz w:val="20"/>
          <w:szCs w:val="20"/>
          <w:color w:val="auto"/>
        </w:rPr>
      </w:pPr>
    </w:p>
    <w:p>
      <w:pPr>
        <w:jc w:val="both"/>
        <w:ind w:right="20" w:firstLine="324"/>
        <w:spacing w:after="0" w:line="27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tbl>
      <w:tblPr>
        <w:tblLayout w:type="fixed"/>
        <w:tblInd w:w="0" w:type="dxa"/>
        <w:tblCellMar>
          <w:top w:w="0" w:type="dxa"/>
          <w:left w:w="0" w:type="dxa"/>
          <w:bottom w:w="0" w:type="dxa"/>
          <w:right w:w="0" w:type="dxa"/>
        </w:tblCellMar>
      </w:tblPr>
      <w:tr>
        <w:trPr>
          <w:trHeight w:val="195"/>
        </w:trPr>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420" w:type="dxa"/>
            <w:vAlign w:val="bottom"/>
            <w:tcBorders>
              <w:bottom w:val="single" w:sz="8" w:color="CCEEFF"/>
            </w:tcBorders>
          </w:tcPr>
          <w:p>
            <w:pPr>
              <w:spacing w:after="0"/>
              <w:rPr>
                <w:sz w:val="16"/>
                <w:szCs w:val="16"/>
                <w:color w:val="auto"/>
              </w:rPr>
            </w:pPr>
          </w:p>
        </w:tc>
        <w:tc>
          <w:tcPr>
            <w:tcW w:w="5180" w:type="dxa"/>
            <w:vAlign w:val="bottom"/>
            <w:tcBorders>
              <w:bottom w:val="single" w:sz="8" w:color="auto"/>
            </w:tcBorders>
          </w:tcPr>
          <w:p>
            <w:pPr>
              <w:ind w:left="244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249"/>
        </w:trPr>
        <w:tc>
          <w:tcPr>
            <w:tcW w:w="6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 J. MICHAEL NAUMAN</w:t>
            </w:r>
          </w:p>
        </w:tc>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 Director</w:t>
            </w:r>
          </w:p>
        </w:tc>
      </w:tr>
      <w:tr>
        <w:trPr>
          <w:trHeight w:val="270"/>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 Michael Nauman</w:t>
            </w: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r>
      <w:tr>
        <w:trPr>
          <w:trHeight w:val="250"/>
        </w:trPr>
        <w:tc>
          <w:tcPr>
            <w:tcW w:w="6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 ANN E. THORNTON</w:t>
            </w:r>
          </w:p>
        </w:tc>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Accounting Officer and Corporate Controller</w:t>
            </w:r>
          </w:p>
        </w:tc>
      </w:tr>
      <w:tr>
        <w:trPr>
          <w:trHeight w:val="243"/>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Ann E. Thornton</w:t>
            </w: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tc>
      </w:tr>
      <w:tr>
        <w:trPr>
          <w:trHeight w:val="27"/>
        </w:trPr>
        <w:tc>
          <w:tcPr>
            <w:tcW w:w="5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180" w:type="dxa"/>
            <w:vAlign w:val="bottom"/>
          </w:tcPr>
          <w:p>
            <w:pPr>
              <w:spacing w:after="0"/>
              <w:rPr>
                <w:sz w:val="2"/>
                <w:szCs w:val="2"/>
                <w:color w:val="auto"/>
              </w:rPr>
            </w:pPr>
          </w:p>
        </w:tc>
      </w:tr>
      <w:tr>
        <w:trPr>
          <w:trHeight w:val="250"/>
        </w:trPr>
        <w:tc>
          <w:tcPr>
            <w:tcW w:w="6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 PATRICK W. ALLENDER</w:t>
            </w:r>
          </w:p>
        </w:tc>
        <w:tc>
          <w:tcPr>
            <w:tcW w:w="5180" w:type="dxa"/>
            <w:vAlign w:val="bottom"/>
            <w:tcBorders>
              <w:bottom w:val="single" w:sz="8" w:color="CCEEFF"/>
            </w:tcBorders>
            <w:shd w:val="clear" w:color="auto" w:fill="CCEEFF"/>
          </w:tcPr>
          <w:p>
            <w:pPr>
              <w:spacing w:after="0"/>
              <w:rPr>
                <w:sz w:val="21"/>
                <w:szCs w:val="21"/>
                <w:color w:val="auto"/>
              </w:rPr>
            </w:pPr>
          </w:p>
        </w:tc>
      </w:tr>
      <w:tr>
        <w:trPr>
          <w:trHeight w:val="243"/>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Patrick W. Allender</w:t>
            </w: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7"/>
        </w:trPr>
        <w:tc>
          <w:tcPr>
            <w:tcW w:w="5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180" w:type="dxa"/>
            <w:vAlign w:val="bottom"/>
          </w:tcPr>
          <w:p>
            <w:pPr>
              <w:spacing w:after="0"/>
              <w:rPr>
                <w:sz w:val="2"/>
                <w:szCs w:val="2"/>
                <w:color w:val="auto"/>
              </w:rPr>
            </w:pPr>
          </w:p>
        </w:tc>
      </w:tr>
      <w:tr>
        <w:trPr>
          <w:trHeight w:val="250"/>
        </w:trPr>
        <w:tc>
          <w:tcPr>
            <w:tcW w:w="6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 GARY S. BALKEMA</w:t>
            </w:r>
          </w:p>
        </w:tc>
        <w:tc>
          <w:tcPr>
            <w:tcW w:w="5180" w:type="dxa"/>
            <w:vAlign w:val="bottom"/>
            <w:tcBorders>
              <w:bottom w:val="single" w:sz="8" w:color="CCEEFF"/>
            </w:tcBorders>
            <w:shd w:val="clear" w:color="auto" w:fill="CCEEFF"/>
          </w:tcPr>
          <w:p>
            <w:pPr>
              <w:spacing w:after="0"/>
              <w:rPr>
                <w:sz w:val="21"/>
                <w:szCs w:val="21"/>
                <w:color w:val="auto"/>
              </w:rPr>
            </w:pPr>
          </w:p>
        </w:tc>
      </w:tr>
      <w:tr>
        <w:trPr>
          <w:trHeight w:val="243"/>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Gary S. Balkema</w:t>
            </w: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7"/>
        </w:trPr>
        <w:tc>
          <w:tcPr>
            <w:tcW w:w="5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180" w:type="dxa"/>
            <w:vAlign w:val="bottom"/>
          </w:tcPr>
          <w:p>
            <w:pPr>
              <w:spacing w:after="0"/>
              <w:rPr>
                <w:sz w:val="2"/>
                <w:szCs w:val="2"/>
                <w:color w:val="auto"/>
              </w:rPr>
            </w:pPr>
          </w:p>
        </w:tc>
      </w:tr>
      <w:tr>
        <w:trPr>
          <w:trHeight w:val="250"/>
        </w:trPr>
        <w:tc>
          <w:tcPr>
            <w:tcW w:w="6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 DAVID S. BEM</w:t>
            </w:r>
          </w:p>
        </w:tc>
        <w:tc>
          <w:tcPr>
            <w:tcW w:w="5180" w:type="dxa"/>
            <w:vAlign w:val="bottom"/>
            <w:tcBorders>
              <w:bottom w:val="single" w:sz="8" w:color="CCEEFF"/>
            </w:tcBorders>
            <w:shd w:val="clear" w:color="auto" w:fill="CCEEFF"/>
          </w:tcPr>
          <w:p>
            <w:pPr>
              <w:spacing w:after="0"/>
              <w:rPr>
                <w:sz w:val="21"/>
                <w:szCs w:val="21"/>
                <w:color w:val="auto"/>
              </w:rPr>
            </w:pPr>
          </w:p>
        </w:tc>
      </w:tr>
      <w:tr>
        <w:trPr>
          <w:trHeight w:val="243"/>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David S. Bem</w:t>
            </w: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7"/>
        </w:trPr>
        <w:tc>
          <w:tcPr>
            <w:tcW w:w="5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180" w:type="dxa"/>
            <w:vAlign w:val="bottom"/>
          </w:tcPr>
          <w:p>
            <w:pPr>
              <w:spacing w:after="0"/>
              <w:rPr>
                <w:sz w:val="2"/>
                <w:szCs w:val="2"/>
                <w:color w:val="auto"/>
              </w:rPr>
            </w:pPr>
          </w:p>
        </w:tc>
      </w:tr>
      <w:tr>
        <w:trPr>
          <w:trHeight w:val="250"/>
        </w:trPr>
        <w:tc>
          <w:tcPr>
            <w:tcW w:w="6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 ELIZABETH P. BRUNO</w:t>
            </w:r>
          </w:p>
        </w:tc>
        <w:tc>
          <w:tcPr>
            <w:tcW w:w="5180" w:type="dxa"/>
            <w:vAlign w:val="bottom"/>
            <w:tcBorders>
              <w:bottom w:val="single" w:sz="8" w:color="CCEEFF"/>
            </w:tcBorders>
            <w:shd w:val="clear" w:color="auto" w:fill="CCEEFF"/>
          </w:tcPr>
          <w:p>
            <w:pPr>
              <w:spacing w:after="0"/>
              <w:rPr>
                <w:sz w:val="21"/>
                <w:szCs w:val="21"/>
                <w:color w:val="auto"/>
              </w:rPr>
            </w:pPr>
          </w:p>
        </w:tc>
      </w:tr>
      <w:tr>
        <w:trPr>
          <w:trHeight w:val="243"/>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Elizabeth P. Bruno</w:t>
            </w: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7"/>
        </w:trPr>
        <w:tc>
          <w:tcPr>
            <w:tcW w:w="5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180" w:type="dxa"/>
            <w:vAlign w:val="bottom"/>
          </w:tcPr>
          <w:p>
            <w:pPr>
              <w:spacing w:after="0"/>
              <w:rPr>
                <w:sz w:val="2"/>
                <w:szCs w:val="2"/>
                <w:color w:val="auto"/>
              </w:rPr>
            </w:pPr>
          </w:p>
        </w:tc>
      </w:tr>
      <w:tr>
        <w:trPr>
          <w:trHeight w:val="250"/>
        </w:trPr>
        <w:tc>
          <w:tcPr>
            <w:tcW w:w="6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 NANCY L. GIOIA</w:t>
            </w:r>
          </w:p>
        </w:tc>
        <w:tc>
          <w:tcPr>
            <w:tcW w:w="5180" w:type="dxa"/>
            <w:vAlign w:val="bottom"/>
            <w:tcBorders>
              <w:bottom w:val="single" w:sz="8" w:color="CCEEFF"/>
            </w:tcBorders>
            <w:shd w:val="clear" w:color="auto" w:fill="CCEEFF"/>
          </w:tcPr>
          <w:p>
            <w:pPr>
              <w:spacing w:after="0"/>
              <w:rPr>
                <w:sz w:val="21"/>
                <w:szCs w:val="21"/>
                <w:color w:val="auto"/>
              </w:rPr>
            </w:pPr>
          </w:p>
        </w:tc>
      </w:tr>
      <w:tr>
        <w:trPr>
          <w:trHeight w:val="243"/>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Nancy L. Gioia</w:t>
            </w: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7"/>
        </w:trPr>
        <w:tc>
          <w:tcPr>
            <w:tcW w:w="5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180" w:type="dxa"/>
            <w:vAlign w:val="bottom"/>
          </w:tcPr>
          <w:p>
            <w:pPr>
              <w:spacing w:after="0"/>
              <w:rPr>
                <w:sz w:val="2"/>
                <w:szCs w:val="2"/>
                <w:color w:val="auto"/>
              </w:rPr>
            </w:pPr>
          </w:p>
        </w:tc>
      </w:tr>
      <w:tr>
        <w:trPr>
          <w:trHeight w:val="250"/>
        </w:trPr>
        <w:tc>
          <w:tcPr>
            <w:tcW w:w="6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 CONRAD G. GOODKIND</w:t>
            </w:r>
          </w:p>
        </w:tc>
        <w:tc>
          <w:tcPr>
            <w:tcW w:w="5180" w:type="dxa"/>
            <w:vAlign w:val="bottom"/>
            <w:tcBorders>
              <w:bottom w:val="single" w:sz="8" w:color="CCEEFF"/>
            </w:tcBorders>
            <w:shd w:val="clear" w:color="auto" w:fill="CCEEFF"/>
          </w:tcPr>
          <w:p>
            <w:pPr>
              <w:spacing w:after="0"/>
              <w:rPr>
                <w:sz w:val="21"/>
                <w:szCs w:val="21"/>
                <w:color w:val="auto"/>
              </w:rPr>
            </w:pPr>
          </w:p>
        </w:tc>
      </w:tr>
      <w:tr>
        <w:trPr>
          <w:trHeight w:val="243"/>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Conrad G. Goodkind</w:t>
            </w: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7"/>
        </w:trPr>
        <w:tc>
          <w:tcPr>
            <w:tcW w:w="5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180" w:type="dxa"/>
            <w:vAlign w:val="bottom"/>
          </w:tcPr>
          <w:p>
            <w:pPr>
              <w:spacing w:after="0"/>
              <w:rPr>
                <w:sz w:val="2"/>
                <w:szCs w:val="2"/>
                <w:color w:val="auto"/>
              </w:rPr>
            </w:pPr>
          </w:p>
        </w:tc>
      </w:tr>
      <w:tr>
        <w:trPr>
          <w:trHeight w:val="250"/>
        </w:trPr>
        <w:tc>
          <w:tcPr>
            <w:tcW w:w="6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 FRANK W. HARRIS</w:t>
            </w:r>
          </w:p>
        </w:tc>
        <w:tc>
          <w:tcPr>
            <w:tcW w:w="5180" w:type="dxa"/>
            <w:vAlign w:val="bottom"/>
            <w:tcBorders>
              <w:bottom w:val="single" w:sz="8" w:color="CCEEFF"/>
            </w:tcBorders>
            <w:shd w:val="clear" w:color="auto" w:fill="CCEEFF"/>
          </w:tcPr>
          <w:p>
            <w:pPr>
              <w:spacing w:after="0"/>
              <w:rPr>
                <w:sz w:val="21"/>
                <w:szCs w:val="21"/>
                <w:color w:val="auto"/>
              </w:rPr>
            </w:pPr>
          </w:p>
        </w:tc>
      </w:tr>
      <w:tr>
        <w:trPr>
          <w:trHeight w:val="243"/>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Frank W. Harris</w:t>
            </w: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7"/>
        </w:trPr>
        <w:tc>
          <w:tcPr>
            <w:tcW w:w="5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180" w:type="dxa"/>
            <w:vAlign w:val="bottom"/>
          </w:tcPr>
          <w:p>
            <w:pPr>
              <w:spacing w:after="0"/>
              <w:rPr>
                <w:sz w:val="2"/>
                <w:szCs w:val="2"/>
                <w:color w:val="auto"/>
              </w:rPr>
            </w:pPr>
          </w:p>
        </w:tc>
      </w:tr>
      <w:tr>
        <w:trPr>
          <w:trHeight w:val="250"/>
        </w:trPr>
        <w:tc>
          <w:tcPr>
            <w:tcW w:w="6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 BRADLEY C. RICHARDSON</w:t>
            </w:r>
          </w:p>
        </w:tc>
        <w:tc>
          <w:tcPr>
            <w:tcW w:w="5180" w:type="dxa"/>
            <w:vAlign w:val="bottom"/>
            <w:tcBorders>
              <w:bottom w:val="single" w:sz="8" w:color="CCEEFF"/>
            </w:tcBorders>
            <w:shd w:val="clear" w:color="auto" w:fill="CCEEFF"/>
          </w:tcPr>
          <w:p>
            <w:pPr>
              <w:spacing w:after="0"/>
              <w:rPr>
                <w:sz w:val="21"/>
                <w:szCs w:val="21"/>
                <w:color w:val="auto"/>
              </w:rPr>
            </w:pPr>
          </w:p>
        </w:tc>
      </w:tr>
      <w:tr>
        <w:trPr>
          <w:trHeight w:val="243"/>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Bradley C. Richardson</w:t>
            </w: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7"/>
        </w:trPr>
        <w:tc>
          <w:tcPr>
            <w:tcW w:w="5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180" w:type="dxa"/>
            <w:vAlign w:val="bottom"/>
          </w:tcPr>
          <w:p>
            <w:pPr>
              <w:spacing w:after="0"/>
              <w:rPr>
                <w:sz w:val="2"/>
                <w:szCs w:val="2"/>
                <w:color w:val="auto"/>
              </w:rPr>
            </w:pPr>
          </w:p>
        </w:tc>
      </w:tr>
      <w:tr>
        <w:trPr>
          <w:trHeight w:val="250"/>
        </w:trPr>
        <w:tc>
          <w:tcPr>
            <w:tcW w:w="6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 MICHELLE E. WILLIAMS</w:t>
            </w:r>
          </w:p>
        </w:tc>
        <w:tc>
          <w:tcPr>
            <w:tcW w:w="5180" w:type="dxa"/>
            <w:vAlign w:val="bottom"/>
            <w:tcBorders>
              <w:bottom w:val="single" w:sz="8" w:color="CCEEFF"/>
            </w:tcBorders>
            <w:shd w:val="clear" w:color="auto" w:fill="CCEEFF"/>
          </w:tcPr>
          <w:p>
            <w:pPr>
              <w:spacing w:after="0"/>
              <w:rPr>
                <w:sz w:val="21"/>
                <w:szCs w:val="21"/>
                <w:color w:val="auto"/>
              </w:rPr>
            </w:pPr>
          </w:p>
        </w:tc>
      </w:tr>
      <w:tr>
        <w:trPr>
          <w:trHeight w:val="243"/>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Michelle E. Williams</w:t>
            </w: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0" w:lineRule="exact"/>
        <w:rPr>
          <w:sz w:val="20"/>
          <w:szCs w:val="20"/>
          <w:color w:val="auto"/>
        </w:rPr>
      </w:pPr>
    </w:p>
    <w:p>
      <w:pPr>
        <w:spacing w:after="0" w:line="214" w:lineRule="exact"/>
        <w:rPr>
          <w:sz w:val="20"/>
          <w:szCs w:val="20"/>
          <w:color w:val="auto"/>
        </w:rPr>
      </w:pPr>
    </w:p>
    <w:p>
      <w:pPr>
        <w:ind w:left="680" w:hanging="654"/>
        <w:spacing w:after="0"/>
        <w:tabs>
          <w:tab w:leader="none" w:pos="6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above signatures is affixed as of September 16,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240"/>
          </w:cols>
          <w:pgMar w:left="320" w:top="118"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BRADY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CHANGE OF CONTROL AGREEMENT</w:t>
      </w:r>
    </w:p>
    <w:p>
      <w:pPr>
        <w:spacing w:after="0" w:line="200" w:lineRule="exact"/>
        <w:rPr>
          <w:sz w:val="20"/>
          <w:szCs w:val="20"/>
          <w:color w:val="auto"/>
        </w:rPr>
      </w:pPr>
    </w:p>
    <w:p>
      <w:pPr>
        <w:spacing w:after="0" w:line="27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AGREEMENT, made as of January 7, 2020, between Brady Corporation, a Wisconsin corporation, (“Corporation”) and Pascal Deman (“Executive”).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Executive is now serving as an executive of the Corporation in a position of importance and responsibility; and</w:t>
      </w:r>
    </w:p>
    <w:p>
      <w:pPr>
        <w:spacing w:after="0" w:line="23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WHEREAS, the Executive possesses intimate knowledge of the business and affairs of the Corporation and its policies, markets and financial and human resources, and the Executive has acquired certain confidential information and data with respect to the Corporation; and</w:t>
      </w:r>
    </w:p>
    <w:p>
      <w:pPr>
        <w:spacing w:after="0" w:line="18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WHEREAS, the Corporation wishes to continue to receive the benefit of the Executive’s knowledge and experience and, as an inducement for continued service, is willing to offer the Executive certain payments due to severance as a result of change of control as set forth herein;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in consideration of the mutual promises and covenants set forth herein, the Executive and Corporation agree as follows:</w:t>
      </w:r>
    </w:p>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 DEFINITIONS.</w:t>
      </w:r>
    </w:p>
    <w:p>
      <w:pPr>
        <w:spacing w:after="0" w:line="279" w:lineRule="exact"/>
        <w:rPr>
          <w:sz w:val="20"/>
          <w:szCs w:val="20"/>
          <w:color w:val="auto"/>
        </w:rPr>
      </w:pPr>
    </w:p>
    <w:p>
      <w:pPr>
        <w:jc w:val="both"/>
        <w:ind w:firstLine="1223"/>
        <w:spacing w:after="0" w:line="250" w:lineRule="auto"/>
        <w:tabs>
          <w:tab w:leader="none" w:pos="145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of Control. For purposes of this Agreement, a “Change of Control” shall occur if and when any person or group of persons (as defined in Section 13(d)(3) of the Securities and Exchange Act of 1934) other than the members of the family of William H. Brady, Jr. and their descendants, or trusts for their benefit, and the William H. Brady, Jr. Family Trust, collectively, directly or indirectly controls in excess of 50% of the voting common stock of the Corporation.</w:t>
      </w:r>
    </w:p>
    <w:p>
      <w:pPr>
        <w:spacing w:after="0" w:line="231" w:lineRule="exact"/>
        <w:rPr>
          <w:rFonts w:ascii="Times New Roman" w:cs="Times New Roman" w:eastAsia="Times New Roman" w:hAnsi="Times New Roman"/>
          <w:sz w:val="18"/>
          <w:szCs w:val="18"/>
          <w:color w:val="auto"/>
        </w:rPr>
      </w:pPr>
    </w:p>
    <w:p>
      <w:pPr>
        <w:jc w:val="both"/>
        <w:ind w:firstLine="1223"/>
        <w:spacing w:after="0" w:line="241" w:lineRule="auto"/>
        <w:tabs>
          <w:tab w:leader="none" w:pos="149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Due to Change of Control. A “Termination Due to Change of Control” shall occur if within the 24-month period beginning with the date a Change of Control occurs (i) the Executive’s employment with the Corporation is involuntarily terminated (other than by reason of death, disability or Cause) or (ii) the Executive’s employment with the Corporation is voluntarily terminated by the Executive subsequent to (A) any reduction in the total of the Executive’s annual base salary (exclusive of fringe benefits) and the Executive’s target bonus in comparison with the Executive’s annual base salary and target bonus immediately prior to the date the Change of Control occurs, (B) a significant diminution in the responsibilities or authority of the Executive in comparison with the Executive’s responsibility and authority immediately prior to the date the Change of Control occurs, or (C) the imposition of a requirement by the Corporation that the Executive relocate to a principal work location more than 50 miles from the Executive’s principal work location immediately prior to the date the Change of Control occurs.</w:t>
      </w:r>
    </w:p>
    <w:p>
      <w:pPr>
        <w:spacing w:after="0" w:line="213" w:lineRule="exact"/>
        <w:rPr>
          <w:rFonts w:ascii="Times New Roman" w:cs="Times New Roman" w:eastAsia="Times New Roman" w:hAnsi="Times New Roman"/>
          <w:sz w:val="18"/>
          <w:szCs w:val="18"/>
          <w:color w:val="auto"/>
        </w:rPr>
      </w:pPr>
    </w:p>
    <w:p>
      <w:pPr>
        <w:jc w:val="both"/>
        <w:ind w:firstLine="1223"/>
        <w:spacing w:after="0" w:line="241" w:lineRule="auto"/>
        <w:tabs>
          <w:tab w:leader="none" w:pos="152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means (i) the Executive’s willful and continued failure to substantially perform the Executive’s duties with the Corporation (other than any such failure resulting from physical or mental incapacity) after written demand for performance is given to the Executive by the Corporation which specifically identifies the manner in which the Corporation believes the Executive has not substantially performed and a reasonable time to cure has transpired, (ii) the Executive’s conviction of (or plea of nolo contendere for the commission of) a felony, or (iii) the Executive’s commission of an act of dishonesty or of any willful act of misconduct which results in or could reasonably be expected to result in significant injury (monetarily or otherwise) to the Corporation, as determined in good faith by the Board of Directors of the Corporation.</w:t>
      </w:r>
    </w:p>
    <w:p>
      <w:pPr>
        <w:spacing w:after="0" w:line="210" w:lineRule="exact"/>
        <w:rPr>
          <w:rFonts w:ascii="Times New Roman" w:cs="Times New Roman" w:eastAsia="Times New Roman" w:hAnsi="Times New Roman"/>
          <w:sz w:val="18"/>
          <w:szCs w:val="18"/>
          <w:color w:val="auto"/>
        </w:rPr>
      </w:pPr>
    </w:p>
    <w:p>
      <w:pPr>
        <w:jc w:val="both"/>
        <w:ind w:firstLine="1223"/>
        <w:spacing w:after="0" w:line="277" w:lineRule="auto"/>
        <w:tabs>
          <w:tab w:leader="none" w:pos="153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“Beneficiary” means any one or more primary or secondary beneficiaries designated in writing by the Executive on a form provided by the Corporation to receive any benefits which may become payable under this Agreement on or after the Executive’s death. The Executive shall have the right to name, change or revoke the Executive’s designation of a Beneficiary on a form provided by the Corporation. The designation on file with the Corporation at the time of the Executive’s death shall be controlling. Should the Executive fail to make a valid Beneficiary designation or leave no named Beneficiary surviving, any benefits due shall be paid to the Executive’s spouse, if living; or if not living, then to the Executive’s estate.</w:t>
      </w:r>
    </w:p>
    <w:p>
      <w:pPr>
        <w:spacing w:after="0" w:line="182" w:lineRule="exact"/>
        <w:rPr>
          <w:rFonts w:ascii="Times New Roman" w:cs="Times New Roman" w:eastAsia="Times New Roman" w:hAnsi="Times New Roman"/>
          <w:sz w:val="18"/>
          <w:szCs w:val="18"/>
          <w:color w:val="auto"/>
        </w:rPr>
      </w:pPr>
    </w:p>
    <w:p>
      <w:pPr>
        <w:ind w:left="1520" w:hanging="297"/>
        <w:spacing w:after="0"/>
        <w:tabs>
          <w:tab w:leader="none" w:pos="15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means the Internal Revenue Code of 1986, as amended.</w:t>
      </w:r>
    </w:p>
    <w:p>
      <w:pPr>
        <w:sectPr>
          <w:pgSz w:w="11900" w:h="16838" w:orient="portrait"/>
          <w:cols w:equalWidth="0" w:num="1">
            <w:col w:w="11240"/>
          </w:cols>
          <w:pgMar w:left="320" w:top="887" w:right="339" w:bottom="1440" w:gutter="0" w:footer="0" w:header="0"/>
        </w:sectPr>
      </w:pPr>
    </w:p>
    <w:bookmarkStart w:id="99" w:name="page100"/>
    <w:bookmarkEnd w:id="99"/>
    <w:p>
      <w:pPr>
        <w:ind w:left="660"/>
        <w:spacing w:after="0"/>
        <w:rPr>
          <w:sz w:val="20"/>
          <w:szCs w:val="20"/>
          <w:color w:val="auto"/>
        </w:rPr>
      </w:pPr>
      <w:r>
        <w:rPr>
          <w:rFonts w:ascii="Times New Roman" w:cs="Times New Roman" w:eastAsia="Times New Roman" w:hAnsi="Times New Roman"/>
          <w:sz w:val="18"/>
          <w:szCs w:val="18"/>
          <w:color w:val="auto"/>
        </w:rPr>
        <w:t>SECTION 2. PAYMENTS UPON TERMINATION DUE TO CHANGE OF CONTROL.</w:t>
      </w:r>
    </w:p>
    <w:p>
      <w:pPr>
        <w:spacing w:after="0" w:line="252" w:lineRule="exact"/>
        <w:rPr>
          <w:sz w:val="20"/>
          <w:szCs w:val="20"/>
          <w:color w:val="auto"/>
        </w:rPr>
      </w:pPr>
    </w:p>
    <w:p>
      <w:pPr>
        <w:jc w:val="both"/>
        <w:ind w:firstLine="1223"/>
        <w:spacing w:after="0" w:line="224" w:lineRule="auto"/>
        <w:tabs>
          <w:tab w:leader="none" w:pos="153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Termination Due to Change of Control, the Executive shall be paid an amount equal to two times the annual base salary paid the Executive by the Corporation in effect immediately prior to the date the Change of Control occurs, and the average bonus payment received in the three years immediately prior to the date the Change of Control occurs. Such amount shall be paid in 24 monthly installments beginning on the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8"/>
          <w:szCs w:val="18"/>
          <w:color w:val="auto"/>
        </w:rPr>
        <w:t xml:space="preserve"> day of the month following the month in which the Executive’s employment with the Corporation terminates.</w:t>
      </w:r>
    </w:p>
    <w:p>
      <w:pPr>
        <w:spacing w:after="0" w:line="213" w:lineRule="exact"/>
        <w:rPr>
          <w:rFonts w:ascii="Times New Roman" w:cs="Times New Roman" w:eastAsia="Times New Roman" w:hAnsi="Times New Roman"/>
          <w:sz w:val="18"/>
          <w:szCs w:val="18"/>
          <w:color w:val="auto"/>
        </w:rPr>
      </w:pPr>
    </w:p>
    <w:p>
      <w:pPr>
        <w:jc w:val="both"/>
        <w:ind w:firstLine="1223"/>
        <w:spacing w:after="0" w:line="254" w:lineRule="auto"/>
        <w:tabs>
          <w:tab w:leader="none" w:pos="156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scheduled payments under paragraph (a) above would result in disallowance of any portion of the Corporation’s deduction therefore under Section 162(m) of the Code, the payments called for under paragraph (a) shall be limited to the amount which is deductible, with the balance to be paid during the first taxable year in which the Corporation reasonably anticipates that the deduction of such payment is not barred by Section 162(m). However, in such event, the Corporation shall pay the Executive on a quarterly basis an amount of interest based on the prime rate recomputed each quarter on the unpaid scheduled payments.</w:t>
      </w:r>
    </w:p>
    <w:p>
      <w:pPr>
        <w:spacing w:after="0" w:line="200" w:lineRule="exact"/>
        <w:rPr>
          <w:rFonts w:ascii="Times New Roman" w:cs="Times New Roman" w:eastAsia="Times New Roman" w:hAnsi="Times New Roman"/>
          <w:sz w:val="18"/>
          <w:szCs w:val="18"/>
          <w:color w:val="auto"/>
        </w:rPr>
      </w:pPr>
    </w:p>
    <w:p>
      <w:pPr>
        <w:jc w:val="both"/>
        <w:ind w:firstLine="1223"/>
        <w:spacing w:after="0" w:line="248" w:lineRule="auto"/>
        <w:tabs>
          <w:tab w:leader="none" w:pos="151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intended that (A) each payment or installment of payments provided under this Section 2 is a separate “payment” for purposes of Code Section 409A and (B) that the payments satisfy, to the greatest extent possible, the exemptions from the application of Code Section 409A, including those provided under Treasury Regulations 1.409A-1(b)(4) (regarding short-term deferrals), 1.409A-1(b)(9)(iii) (regarding the two-times, two year exception), and 1.409A-1(b)(9)(v) (regarding reimbursements and other separation pay). Notwithstanding anything to the contrary in this Agreement, if the Corporation determines that on the Termination Due to Change of Control the Executive is a “specified employee” (as such term is defined under Treasury Regulation 1.409A-1(i)(1)) of the Corporation and that any payments to be provided to Executive are or may become subject to the additional tax under Code Section 409A(a)(1)(B) or any other taxes or penalties imposed under Code Section 409A (“Section 409A Taxes”), then such payments shall be delayed until the date that is six (6) months after the Termination Due to Change of Control. Any delayed payments shall be made in a lump sum on the first day of the seventh month following the Termination Due to Change of Control, or such earlier date that, as determined by the Corporation, is sufficient to avoid the imposition of any Section 409A Taxes on Executive.</w:t>
      </w:r>
    </w:p>
    <w:p>
      <w:pPr>
        <w:spacing w:after="0" w:line="3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 EXCISE TAX, ATTORNEY FEES.</w:t>
      </w:r>
    </w:p>
    <w:p>
      <w:pPr>
        <w:spacing w:after="0" w:line="252" w:lineRule="exact"/>
        <w:rPr>
          <w:sz w:val="20"/>
          <w:szCs w:val="20"/>
          <w:color w:val="auto"/>
        </w:rPr>
      </w:pPr>
    </w:p>
    <w:p>
      <w:pPr>
        <w:jc w:val="both"/>
        <w:ind w:firstLine="1223"/>
        <w:spacing w:after="0" w:line="250" w:lineRule="auto"/>
        <w:tabs>
          <w:tab w:leader="none" w:pos="155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payments under Section 2 in combination with any other payments which the Executive has the right to receive from the Corporation (the “Total Payments”) would result in the Executive incurring an excise tax as a result of Section 280(G) of the Code, the Executive will be solely responsible for such excise tax.</w:t>
      </w:r>
    </w:p>
    <w:p>
      <w:pPr>
        <w:spacing w:after="0" w:line="203" w:lineRule="exact"/>
        <w:rPr>
          <w:rFonts w:ascii="Times New Roman" w:cs="Times New Roman" w:eastAsia="Times New Roman" w:hAnsi="Times New Roman"/>
          <w:sz w:val="18"/>
          <w:szCs w:val="18"/>
          <w:color w:val="auto"/>
        </w:rPr>
      </w:pPr>
    </w:p>
    <w:p>
      <w:pPr>
        <w:ind w:firstLine="1223"/>
        <w:spacing w:after="0" w:line="266" w:lineRule="auto"/>
        <w:tabs>
          <w:tab w:leader="none" w:pos="152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Executive is required to file a lawsuit to enforce the Executive’s rights under this Agreement and the Executive prevails in such lawsuit, the Corporation will reimburse the Executive for attorney fees incurred up to a maximum of $25,000.00.</w:t>
      </w:r>
    </w:p>
    <w:p>
      <w:pPr>
        <w:spacing w:after="0" w:line="2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 DEATH AFTER THE EXECUTIVE HAS BEGUN RECEIVING PAYMENTS.</w:t>
      </w:r>
    </w:p>
    <w:p>
      <w:pPr>
        <w:spacing w:after="0" w:line="25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Should the Executive die after Termination Due to Change of Control, but before receiving all payments due the Executive hereunder, any remaining payments due shall be made to the Executive’s Beneficiary.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 CONFIDENTIAL INFORMATION AGREEMENT.</w:t>
      </w:r>
    </w:p>
    <w:p>
      <w:pPr>
        <w:spacing w:after="0" w:line="252"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18"/>
          <w:szCs w:val="18"/>
          <w:color w:val="auto"/>
        </w:rPr>
        <w:t>The Executive has obligations under one or more separate confidential information agreements which continue beyond the Executive’s termination of employment. The payments to be made hereunder are conditioned upon the Executive’s compliance with the terms of such confidential information agreements. The payments made hereunder shall be reduced by any payments the Corporation makes to the Executive under any confidential information agreement. In the event the Executive violates the provisions of a confidential information agreement, no further payments shall be due hereunder and the Executive shall be obligated to repay all previous payments received hereunder.</w:t>
      </w:r>
    </w:p>
    <w:p>
      <w:pPr>
        <w:sectPr>
          <w:pgSz w:w="11900" w:h="16838" w:orient="portrait"/>
          <w:cols w:equalWidth="0" w:num="1">
            <w:col w:w="11240"/>
          </w:cols>
          <w:pgMar w:left="320" w:top="1134" w:right="339" w:bottom="1440" w:gutter="0" w:footer="0" w:header="0"/>
        </w:sectPr>
      </w:pPr>
    </w:p>
    <w:bookmarkStart w:id="100" w:name="page101"/>
    <w:bookmarkEnd w:id="100"/>
    <w:p>
      <w:pPr>
        <w:ind w:left="660"/>
        <w:spacing w:after="0"/>
        <w:rPr>
          <w:sz w:val="20"/>
          <w:szCs w:val="20"/>
          <w:color w:val="auto"/>
        </w:rPr>
      </w:pPr>
      <w:r>
        <w:rPr>
          <w:rFonts w:ascii="Times New Roman" w:cs="Times New Roman" w:eastAsia="Times New Roman" w:hAnsi="Times New Roman"/>
          <w:sz w:val="18"/>
          <w:szCs w:val="18"/>
          <w:color w:val="auto"/>
        </w:rPr>
        <w:t>SECTION 6. MISCELLANEOUS.</w:t>
      </w:r>
    </w:p>
    <w:p>
      <w:pPr>
        <w:spacing w:after="0" w:line="266" w:lineRule="exact"/>
        <w:rPr>
          <w:sz w:val="20"/>
          <w:szCs w:val="20"/>
          <w:color w:val="auto"/>
        </w:rPr>
      </w:pPr>
    </w:p>
    <w:p>
      <w:pPr>
        <w:jc w:val="both"/>
        <w:ind w:firstLine="1223"/>
        <w:spacing w:after="0" w:line="266" w:lineRule="auto"/>
        <w:tabs>
          <w:tab w:leader="none" w:pos="150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Non-Assignability. This Agreement is personal to the Executive and, without the prior written consent of the Corporation, shall not be assignable by the Executive otherwise than by will or the laws of descent and distribution. This Agreement shall inure to the benefit of and be binding upon the Corporation and its successors and assigns as well as its parents, subsidiaries, and affiliates, and shall also be enforceable by the Executive’s legal representatives.</w:t>
      </w:r>
    </w:p>
    <w:p>
      <w:pPr>
        <w:spacing w:after="0" w:line="189" w:lineRule="exact"/>
        <w:rPr>
          <w:rFonts w:ascii="Times New Roman" w:cs="Times New Roman" w:eastAsia="Times New Roman" w:hAnsi="Times New Roman"/>
          <w:sz w:val="18"/>
          <w:szCs w:val="18"/>
          <w:color w:val="auto"/>
        </w:rPr>
      </w:pPr>
    </w:p>
    <w:p>
      <w:pPr>
        <w:ind w:left="1520" w:hanging="297"/>
        <w:spacing w:after="0"/>
        <w:tabs>
          <w:tab w:leader="none" w:pos="15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will apply only if the Executive is still Vice President and General Manager, WPS on the date of Termination Due To</w:t>
      </w:r>
    </w:p>
    <w:p>
      <w:pPr>
        <w:spacing w:after="0" w:line="1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of Control.</w:t>
      </w:r>
    </w:p>
    <w:p>
      <w:pPr>
        <w:spacing w:after="0" w:line="245" w:lineRule="exact"/>
        <w:rPr>
          <w:rFonts w:ascii="Times New Roman" w:cs="Times New Roman" w:eastAsia="Times New Roman" w:hAnsi="Times New Roman"/>
          <w:sz w:val="18"/>
          <w:szCs w:val="18"/>
          <w:color w:val="auto"/>
        </w:rPr>
      </w:pPr>
    </w:p>
    <w:p>
      <w:pPr>
        <w:jc w:val="both"/>
        <w:ind w:firstLine="1223"/>
        <w:spacing w:after="0" w:line="258" w:lineRule="auto"/>
        <w:tabs>
          <w:tab w:leader="none" w:pos="151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Successors. The Corporation shall require any successor (whether direct or indirect, by purchase, merger, consolidation or otherwise) to all or substantially all of the business and/or assets of the Corporation expressly to assume and agree to perform this Agreement in the same manner and to the same extent that the Corporation would have been required to perform it if no such succession had taken place. As used in this Agreement, “Corporation” shall mean both the Corporation as defined above and any such successor that assumes and agrees to perform this Agreement, by operation of law or otherwise.</w:t>
      </w:r>
    </w:p>
    <w:p>
      <w:pPr>
        <w:spacing w:after="0" w:line="223" w:lineRule="exact"/>
        <w:rPr>
          <w:rFonts w:ascii="Times New Roman" w:cs="Times New Roman" w:eastAsia="Times New Roman" w:hAnsi="Times New Roman"/>
          <w:sz w:val="18"/>
          <w:szCs w:val="18"/>
          <w:color w:val="auto"/>
        </w:rPr>
      </w:pPr>
    </w:p>
    <w:p>
      <w:pPr>
        <w:jc w:val="both"/>
        <w:ind w:firstLine="1223"/>
        <w:spacing w:after="0" w:line="266" w:lineRule="auto"/>
        <w:tabs>
          <w:tab w:leader="none" w:pos="15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Governing Law and Forum. This Agreement shall be governed by, and construed in accordance with, the laws of the State of Wisconsin, without reference to principles of conflict of laws, to the extent not preempted by federal law. Any and all disputes between the parties regarding this Agreement shall be resolved solely by and exclusively in the state or federal courts of Wisconsin and the parties hereby consent to jurisdiction in that forum.</w:t>
      </w:r>
    </w:p>
    <w:p>
      <w:pPr>
        <w:spacing w:after="0" w:line="216" w:lineRule="exact"/>
        <w:rPr>
          <w:rFonts w:ascii="Times New Roman" w:cs="Times New Roman" w:eastAsia="Times New Roman" w:hAnsi="Times New Roman"/>
          <w:sz w:val="18"/>
          <w:szCs w:val="18"/>
          <w:color w:val="auto"/>
        </w:rPr>
      </w:pPr>
    </w:p>
    <w:p>
      <w:pPr>
        <w:ind w:right="20" w:firstLine="1223"/>
        <w:spacing w:after="0" w:line="282" w:lineRule="auto"/>
        <w:tabs>
          <w:tab w:leader="none" w:pos="153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Notices. All notices and other communications under this Agreement shall be in writing and shall be given by hand delivery to the other party or by registered or certified mail, return receipt requested, postage prepaid, addressed as follows: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Executive:</w:t>
      </w:r>
    </w:p>
    <w:p>
      <w:pPr>
        <w:spacing w:after="0" w:line="1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Pascal Deman</w:t>
      </w:r>
    </w:p>
    <w:p>
      <w:pPr>
        <w:ind w:left="3240"/>
        <w:spacing w:after="0" w:line="234" w:lineRule="auto"/>
        <w:rPr>
          <w:sz w:val="20"/>
          <w:szCs w:val="20"/>
          <w:color w:val="auto"/>
        </w:rPr>
      </w:pPr>
      <w:r>
        <w:rPr>
          <w:rFonts w:ascii="Times New Roman" w:cs="Times New Roman" w:eastAsia="Times New Roman" w:hAnsi="Times New Roman"/>
          <w:sz w:val="18"/>
          <w:szCs w:val="18"/>
          <w:color w:val="auto"/>
        </w:rPr>
        <w:t>Brady Groupe S.A.S</w:t>
      </w:r>
    </w:p>
    <w:p>
      <w:pPr>
        <w:ind w:left="3240"/>
        <w:spacing w:after="0" w:line="235" w:lineRule="auto"/>
        <w:rPr>
          <w:sz w:val="20"/>
          <w:szCs w:val="20"/>
          <w:color w:val="auto"/>
        </w:rPr>
      </w:pPr>
      <w:r>
        <w:rPr>
          <w:rFonts w:ascii="Times New Roman" w:cs="Times New Roman" w:eastAsia="Times New Roman" w:hAnsi="Times New Roman"/>
          <w:sz w:val="18"/>
          <w:szCs w:val="18"/>
          <w:color w:val="auto"/>
        </w:rPr>
        <w:t>45 Avenue de L’Europe, BP132</w:t>
      </w:r>
    </w:p>
    <w:p>
      <w:pPr>
        <w:ind w:left="3240"/>
        <w:spacing w:after="0" w:line="235" w:lineRule="auto"/>
        <w:rPr>
          <w:sz w:val="20"/>
          <w:szCs w:val="20"/>
          <w:color w:val="auto"/>
        </w:rPr>
      </w:pPr>
      <w:r>
        <w:rPr>
          <w:rFonts w:ascii="Times New Roman" w:cs="Times New Roman" w:eastAsia="Times New Roman" w:hAnsi="Times New Roman"/>
          <w:sz w:val="18"/>
          <w:szCs w:val="18"/>
          <w:color w:val="auto"/>
        </w:rPr>
        <w:t>59436 Roncq Cedex</w:t>
      </w:r>
    </w:p>
    <w:p>
      <w:pPr>
        <w:ind w:left="3240"/>
        <w:spacing w:after="0"/>
        <w:rPr>
          <w:sz w:val="20"/>
          <w:szCs w:val="20"/>
          <w:color w:val="auto"/>
        </w:rPr>
      </w:pPr>
      <w:r>
        <w:rPr>
          <w:rFonts w:ascii="Times New Roman" w:cs="Times New Roman" w:eastAsia="Times New Roman" w:hAnsi="Times New Roman"/>
          <w:sz w:val="18"/>
          <w:szCs w:val="18"/>
          <w:color w:val="auto"/>
        </w:rPr>
        <w:t>France</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Corporation:</w:t>
      </w:r>
    </w:p>
    <w:p>
      <w:pPr>
        <w:spacing w:after="0" w:line="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Brady Corporation</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6555 West Good Hope Road</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Milwaukee, Wisconsin 53223</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Attention: CEO</w:t>
      </w:r>
    </w:p>
    <w:p>
      <w:pPr>
        <w:spacing w:after="0" w:line="2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or to such other address as either party furnishes to the other in writing in accordance with this paragraph. Notices and communications shall be effective when actually received by the addressee.</w:t>
      </w:r>
    </w:p>
    <w:p>
      <w:pPr>
        <w:spacing w:after="0" w:line="189" w:lineRule="exact"/>
        <w:rPr>
          <w:sz w:val="20"/>
          <w:szCs w:val="20"/>
          <w:color w:val="auto"/>
        </w:rPr>
      </w:pPr>
    </w:p>
    <w:p>
      <w:pPr>
        <w:jc w:val="both"/>
        <w:ind w:firstLine="1223"/>
        <w:spacing w:after="0" w:line="276" w:lineRule="auto"/>
        <w:tabs>
          <w:tab w:leader="none" w:pos="148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The invalidity or unenforceability of any provision of this Agreement shall not affect the validity or enforceability of any other provision of this Agreement. If any provision of this Agreement shall be held invalid or unenforceable in part, the remaining portion of such provision, together with all other provisions of this Agreement, shall remain valid and enforceable and continue in full force and effect to the fullest extent consistent with law. The captions of this Agreement are not part of the provisions hereof and shall have no force or effect.</w:t>
      </w:r>
    </w:p>
    <w:p>
      <w:pPr>
        <w:spacing w:after="0" w:line="222" w:lineRule="exact"/>
        <w:rPr>
          <w:rFonts w:ascii="Times New Roman" w:cs="Times New Roman" w:eastAsia="Times New Roman" w:hAnsi="Times New Roman"/>
          <w:sz w:val="18"/>
          <w:szCs w:val="18"/>
          <w:color w:val="auto"/>
        </w:rPr>
      </w:pPr>
    </w:p>
    <w:p>
      <w:pPr>
        <w:jc w:val="both"/>
        <w:ind w:firstLine="1223"/>
        <w:spacing w:after="0" w:line="250" w:lineRule="auto"/>
        <w:tabs>
          <w:tab w:leader="none" w:pos="159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Guarantee of Employment. Nothing contained in this Agreement shall give the Executive the right to be retained in the employment of the Corporation or affect the right of the Corporation to dismiss the Executive.No Guarantee of Employment. Nothing contained in this Agreement shall give the Executive the right to be retained in the employment of the Corporation or affect the right of the Corporation to dismiss the Executive.</w:t>
      </w:r>
    </w:p>
    <w:p>
      <w:pPr>
        <w:spacing w:after="0" w:line="231" w:lineRule="exact"/>
        <w:rPr>
          <w:rFonts w:ascii="Times New Roman" w:cs="Times New Roman" w:eastAsia="Times New Roman" w:hAnsi="Times New Roman"/>
          <w:sz w:val="18"/>
          <w:szCs w:val="18"/>
          <w:color w:val="auto"/>
        </w:rPr>
      </w:pPr>
    </w:p>
    <w:p>
      <w:pPr>
        <w:jc w:val="both"/>
        <w:ind w:firstLine="1223"/>
        <w:spacing w:after="0" w:line="281" w:lineRule="auto"/>
        <w:tabs>
          <w:tab w:leader="none" w:pos="153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Entire Agreement. This Agreement may not be amended or modified except by a written agreement executed by the parties hereto or their respective successors and legal representatives. This Agreement contains the entire agreement between the parties on the subjects covered and replaces all prior writings, proposals, specifications or other oral or written materials relating thereto.</w:t>
      </w:r>
    </w:p>
    <w:p>
      <w:pPr>
        <w:sectPr>
          <w:pgSz w:w="11900" w:h="16838" w:orient="portrait"/>
          <w:cols w:equalWidth="0" w:num="1">
            <w:col w:w="11240"/>
          </w:cols>
          <w:pgMar w:left="320" w:top="891" w:right="339" w:bottom="1440" w:gutter="0" w:footer="0" w:header="0"/>
        </w:sectPr>
      </w:pPr>
    </w:p>
    <w:bookmarkStart w:id="101" w:name="page102"/>
    <w:bookmarkEnd w:id="101"/>
    <w:p>
      <w:pPr>
        <w:jc w:val="both"/>
        <w:ind w:firstLine="1223"/>
        <w:spacing w:after="0" w:line="258" w:lineRule="auto"/>
        <w:tabs>
          <w:tab w:leader="none" w:pos="14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on Other Plans. No amounts paid to the Executive under this Agreement will be taken into account as “wages”, “salary”, “base pay” or any other type of compensation when determining the amount of any payment or allocation, or for any other purpose, under any other qualified or nonqualified plan or agreement of the Corporation, except as otherwise may be specifically provided by such plan or agreement.</w:t>
      </w:r>
    </w:p>
    <w:p>
      <w:pPr>
        <w:spacing w:after="0" w:line="223" w:lineRule="exact"/>
        <w:rPr>
          <w:rFonts w:ascii="Times New Roman" w:cs="Times New Roman" w:eastAsia="Times New Roman" w:hAnsi="Times New Roman"/>
          <w:sz w:val="18"/>
          <w:szCs w:val="18"/>
          <w:color w:val="auto"/>
        </w:rPr>
      </w:pPr>
    </w:p>
    <w:p>
      <w:pPr>
        <w:ind w:firstLine="1223"/>
        <w:spacing w:after="0" w:line="313" w:lineRule="auto"/>
        <w:tabs>
          <w:tab w:leader="none" w:pos="153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Agreements. This Agreement supersedes any other severance arrangement or Change of Control Agreement between the Corporation and the Executive. This Agreement does not confer any payments or benefits other than the payments described in Sections 2 and 3 hereof.</w:t>
      </w:r>
    </w:p>
    <w:p>
      <w:pPr>
        <w:spacing w:after="0" w:line="189" w:lineRule="exact"/>
        <w:rPr>
          <w:rFonts w:ascii="Times New Roman" w:cs="Times New Roman" w:eastAsia="Times New Roman" w:hAnsi="Times New Roman"/>
          <w:sz w:val="18"/>
          <w:szCs w:val="18"/>
          <w:color w:val="auto"/>
        </w:rPr>
      </w:pPr>
    </w:p>
    <w:p>
      <w:pPr>
        <w:ind w:firstLine="1223"/>
        <w:spacing w:after="0" w:line="282" w:lineRule="auto"/>
        <w:tabs>
          <w:tab w:leader="none" w:pos="155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To the extent required by law, the Corporation shall withhold any taxes required to be withheld with respect to this Agreement by the federal, state or local government from payments made hereunder or from other amounts paid to the Executive by the Corporation.</w:t>
      </w:r>
    </w:p>
    <w:p>
      <w:pPr>
        <w:spacing w:after="0" w:line="202" w:lineRule="exact"/>
        <w:rPr>
          <w:rFonts w:ascii="Times New Roman" w:cs="Times New Roman" w:eastAsia="Times New Roman" w:hAnsi="Times New Roman"/>
          <w:sz w:val="18"/>
          <w:szCs w:val="18"/>
          <w:color w:val="auto"/>
        </w:rPr>
      </w:pPr>
    </w:p>
    <w:p>
      <w:pPr>
        <w:jc w:val="both"/>
        <w:ind w:firstLine="1223"/>
        <w:spacing w:after="0" w:line="266" w:lineRule="auto"/>
        <w:tabs>
          <w:tab w:leader="none" w:pos="147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of Payment. If the Executive or, if applicable, the Executive’s Beneficiary, is under legal disability, the Corporation may direct that payments be made to a relative of such person for the benefit of such person, without the intervention of any legal guardian or conservator, or to any legal guardian or conservator of such person. Any such distribution shall constitute a full discharge with respect to the Corporation and the Corporation shall not be required to see to the application of any distribution so made.</w:t>
      </w:r>
    </w:p>
    <w:p>
      <w:pPr>
        <w:spacing w:after="0" w:line="2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7. CLAIMS PROCEDURE.</w:t>
      </w:r>
    </w:p>
    <w:p>
      <w:pPr>
        <w:spacing w:after="0" w:line="279" w:lineRule="exact"/>
        <w:rPr>
          <w:sz w:val="20"/>
          <w:szCs w:val="20"/>
          <w:color w:val="auto"/>
        </w:rPr>
      </w:pPr>
    </w:p>
    <w:p>
      <w:pPr>
        <w:jc w:val="both"/>
        <w:ind w:firstLine="1223"/>
        <w:spacing w:after="0" w:line="258" w:lineRule="auto"/>
        <w:tabs>
          <w:tab w:leader="none" w:pos="151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 Review. If the Executive or the Executive’s Beneficiary (a “Claimant”) believes that he or she has been denied all or a portion of a benefit under this Agreement, he or she may file a written claim for benefits with the Corporation. The Corporation shall review the claim and notify the Claimant of the Corporation’s decision within 60 days of receipt of such claim, unless the Claimant receives written notice prior to the end of the 60-day period stating that special circumstances require an extension of the time for decision. The Corporation’s decision shall be in writing, sent by mail to the Claimant’s last known address, and if a denial of the claim, must contain the specific reasons for the denial, reference to pertinent provisions of this Agreement on which the denial is based, a designation of any additional material necessary to perfect the claim, and an explanation of the claim review procedure.</w:t>
      </w:r>
    </w:p>
    <w:p>
      <w:pPr>
        <w:spacing w:after="0" w:line="224" w:lineRule="exact"/>
        <w:rPr>
          <w:rFonts w:ascii="Times New Roman" w:cs="Times New Roman" w:eastAsia="Times New Roman" w:hAnsi="Times New Roman"/>
          <w:sz w:val="18"/>
          <w:szCs w:val="18"/>
          <w:color w:val="auto"/>
        </w:rPr>
      </w:pPr>
    </w:p>
    <w:p>
      <w:pPr>
        <w:jc w:val="both"/>
        <w:ind w:firstLine="1223"/>
        <w:spacing w:after="0" w:line="272" w:lineRule="auto"/>
        <w:tabs>
          <w:tab w:leader="none" w:pos="153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Appeal Procedure to the Board. A Claimant is entitled to request a review of any denial by the full Board by written request to the Chair of the Board within 60 days of receipt of the denial. Absent a request for review within the 60-day period, the claim will be deemed to be conclusively denied. The Board shall afford the Claimant the opportunity to review all pertinent documents and submit issues and comments in writing and shall render a review decision in writing, all within 60 days after receipt of a request for review (provided that, in special circumstances the Board may extend the time for decision by not more than 60 days upon written notice to the Claimant.) The Board’s review decision shall contain specific reasons for the decision and reference to the pertinent provisions of this Agreement.</w:t>
      </w:r>
    </w:p>
    <w:p>
      <w:pPr>
        <w:spacing w:after="0" w:line="186"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IN WITNESS WHEREOF, the Executive has signed this Agreement and, pursuant to the authorization of the Board, the Corporation has caused this Agreement to be signed, all as of the date first set forth above.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u w:val="single" w:color="auto"/>
          <w:color w:val="auto"/>
        </w:rPr>
        <w:t>/s/ PASCAL DEMAN</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Executive — Pascal Deman</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Vice President and General Manager, Workplace Safety</w:t>
      </w:r>
    </w:p>
    <w:p>
      <w:pPr>
        <w:spacing w:after="0" w:line="200" w:lineRule="exact"/>
        <w:rPr>
          <w:sz w:val="20"/>
          <w:szCs w:val="20"/>
          <w:color w:val="auto"/>
        </w:rPr>
      </w:pPr>
    </w:p>
    <w:p>
      <w:pPr>
        <w:spacing w:after="0" w:line="27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Brady Corporation</w:t>
      </w:r>
    </w:p>
    <w:p>
      <w:pPr>
        <w:spacing w:after="0" w:line="200" w:lineRule="exact"/>
        <w:rPr>
          <w:sz w:val="20"/>
          <w:szCs w:val="20"/>
          <w:color w:val="auto"/>
        </w:rPr>
      </w:pPr>
    </w:p>
    <w:p>
      <w:pPr>
        <w:spacing w:after="0" w:line="26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 MICHAEL NAUMAN</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J. Michael Nauman</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918"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color w:val="auto"/>
        </w:rPr>
        <w:t>EXHIBIT 10.10</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COMPLETE AND PERMANENT RELEASE AND RETIREMENT AGREEMENT</w:t>
      </w:r>
    </w:p>
    <w:p>
      <w:pPr>
        <w:spacing w:after="0" w:line="200" w:lineRule="exact"/>
        <w:rPr>
          <w:sz w:val="20"/>
          <w:szCs w:val="20"/>
          <w:color w:val="auto"/>
        </w:rPr>
      </w:pPr>
    </w:p>
    <w:p>
      <w:pPr>
        <w:spacing w:after="0" w:line="28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Effective on this 15th day of October, 2019 (“Effective Date”), Thomas Felmer (“Mr. Felmer” or “You”) and Brady Corporation (the “Company”) hereby enter into this Complete and Permanent Release and Retirement Agreement (this “Agreement”) to resolve all matters relating to Mr. Felmer’s employment with and retirement from the Company. Mr. Felmer and the Company hereby agree as follows:</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Retirement.</w:t>
      </w:r>
    </w:p>
    <w:p>
      <w:pPr>
        <w:spacing w:after="0" w:line="23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Effective as of 12:01 a.m. on January 2, 2020 (the “Separation Date”), Mr. Felmer does hereby resign (a) from his position as Senior Vice President, Brady Corporation and President – Workplace Safety, and (b) from all officer and director positions of all legal entities of the Company. From the Effective Date to the Separation Date, Mr. Felmer will remain employed by the Company and receive his current salary and fringe benefits. For a period of six months following the Separation Date (the “Transition Period”), at the request of the Company, Mr. Felmer will assist in the transition of duties to his successor, be available to consult on other issues and provide support to the Company in connection with the Avionos dispute and any other litigation or dispute (including providing testimony). Mr. Felmer agrees that during the period from the Effective Date to the Separation Date, he shall perform his duties with the same level of care, skill, and professionalism as he has applied in the performance of his job prior to the Effective Date. Following the Transition Period, Mr. Felmer will continue to provide support to the Company, upon the request of the Company, in connection with the Avionos dispute and any other litigation or dispute (including providing testimony).</w:t>
      </w:r>
    </w:p>
    <w:p>
      <w:pPr>
        <w:spacing w:after="0" w:line="21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Separation Date shall be deemed to be the “Qualifying Event” for insurance continuation and benefit plan purposes under state and federal law. As of the Effective Date, Mr. Felmer shall no longer be entitled to participate in any and all cash bonus or equity award programs with the Company, except as described in this Agreement.</w:t>
      </w:r>
    </w:p>
    <w:p>
      <w:pPr>
        <w:spacing w:after="0" w:line="123"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Any Company property over which Mr. Felmer has any control, is in Mr. Felmer’s possession or which was in Mr. Felmer’s possession or was otherwise entrusted to Mr. Felmer for use in his employment must and will be turned over and must either remain on Company premises or be turned over to the Company on the Separation Date. Notwithstanding the foregoing, the Company agrees that Mr. Felmer shall be entitled to retain his cell phone number. Mr. Felmer agrees to provide all codes, passwords, usernames, or other identification or information necessary to access any of the Company’s computer files, e-mail accounts, or voicemail systems and agrees to cooperate with the Company in an effort to transfer any files, data, systems, or other information to the Company or its designated agent or employee. Mr. Felmer also agrees that, as of the date of Separation Date, he will not access or attempt to access any computer, e-mail, voicemail, or other system of the Company.</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 Retirement Plan; Equity Agreements.</w:t>
      </w:r>
    </w:p>
    <w:p>
      <w:pPr>
        <w:spacing w:after="0" w:line="15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All of Mr. Felmer’s balances, including Company stock, within any Company retirement plan will be paid out in accordance with the provisions of each plan and Mr. Felmer’s instructions under such plans. Except as provided in Section 3 below, Mr. Felmer shall have all of his preexisting rights with respect to stock options, performance restricted stock units and restricted stock units in accordance with the equity plans and granting agreements governing such equity.</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 Severance Pay.</w:t>
      </w:r>
    </w:p>
    <w:p>
      <w:pPr>
        <w:spacing w:after="0" w:line="158"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Assuming Mr. Felmer accepts and does not revoke this Agreement, Mr. Felmer will be provided cash severance payments totaling $650,000.00, less required withholding, payable in equal installments over 24 months following the Separation Date in accordance with the Company’s normal payroll practices, with the first such payment to be made on the first pay date occurring after the Separation Date. Each severance installment payable under this Section 3 shall constitute a separate “payment” within the meaning of Treasury Regulation Section 1.409A-2(b)(2). Mr. Felmer will also receive payment for his accrued and unused vacation as of the Separation Date.</w:t>
      </w:r>
    </w:p>
    <w:p>
      <w:pPr>
        <w:spacing w:after="0" w:line="131"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 xml:space="preserve">Mr. Felmer will also be provided with the following: healthcare benefits under COBRA in accordance with the Company’s healthcare plans and applicable law, with the first 12 months of COBRA benefits provided at active employee rates and the remaining period of COBRA benefits will be at regular COBRA rates. </w:t>
      </w:r>
      <w:r>
        <w:rPr>
          <w:rFonts w:ascii="Times New Roman" w:cs="Times New Roman" w:eastAsia="Times New Roman" w:hAnsi="Times New Roman"/>
          <w:sz w:val="18"/>
          <w:szCs w:val="18"/>
          <w:color w:val="373739"/>
        </w:rPr>
        <w:t>In addition, Mr. Felmer will continue to receive financial and tax planning services through Ayco at the Company's expense through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73739"/>
        </w:rPr>
        <w:t>December 31, 2020.</w:t>
      </w:r>
    </w:p>
    <w:p>
      <w:pPr>
        <w:spacing w:after="0" w:line="1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Attached hereto as Exhibit A is a list of Mr. Felmer’s outstanding stock options, performance restricted stock units and restricted stock units. Mr. Felmer agrees that Exhibit A is a correct and complete list of his outstanding equity awards as of the date of this Agreement (the “Existing Equity Awards”).</w:t>
      </w:r>
    </w:p>
    <w:p>
      <w:pPr>
        <w:sectPr>
          <w:pgSz w:w="11900" w:h="16838" w:orient="portrait"/>
          <w:cols w:equalWidth="0" w:num="1">
            <w:col w:w="11240"/>
          </w:cols>
          <w:pgMar w:left="320" w:top="887" w:right="339" w:bottom="1440" w:gutter="0" w:footer="0" w:header="0"/>
        </w:sectPr>
      </w:pPr>
    </w:p>
    <w:bookmarkStart w:id="103" w:name="page104"/>
    <w:bookmarkEnd w:id="103"/>
    <w:p>
      <w:pPr>
        <w:ind w:left="660"/>
        <w:spacing w:after="0"/>
        <w:rPr>
          <w:sz w:val="20"/>
          <w:szCs w:val="20"/>
          <w:color w:val="auto"/>
        </w:rPr>
      </w:pPr>
      <w:r>
        <w:rPr>
          <w:rFonts w:ascii="Times New Roman" w:cs="Times New Roman" w:eastAsia="Times New Roman" w:hAnsi="Times New Roman"/>
          <w:sz w:val="18"/>
          <w:szCs w:val="18"/>
          <w:color w:val="auto"/>
        </w:rPr>
        <w:t>No changes shall be made to the terms of the Existing Equity Awards set forth in the applicable award agreement except as follows:</w:t>
      </w:r>
    </w:p>
    <w:p>
      <w:pPr>
        <w:spacing w:after="0" w:line="158" w:lineRule="exact"/>
        <w:rPr>
          <w:sz w:val="20"/>
          <w:szCs w:val="20"/>
          <w:color w:val="auto"/>
        </w:rPr>
      </w:pPr>
    </w:p>
    <w:p>
      <w:pPr>
        <w:jc w:val="both"/>
        <w:ind w:left="2920" w:hanging="320"/>
        <w:spacing w:after="0" w:line="242" w:lineRule="auto"/>
        <w:tabs>
          <w:tab w:leader="none" w:pos="293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on the Separation Date, (a) one hundred percent (100%) of Mr. Felmer’s then unvested stock options in his award granted on September 22, 2017 will vest; (b) fifty percent (50%) of Mr. Felmer’s then unvested stock options in his award granted on September 25, 2018 will vest; (c) one hundred percent (100%) of Mr. Felmer’s then unvested restricted stock units in his award granted on September 22, 2017 will vest; and (d) fifty percent (50%) of Mr. Felmer’s then unvested restricted stock units in his award granted on September 25, 2018 will vest.</w:t>
      </w:r>
    </w:p>
    <w:p>
      <w:pPr>
        <w:spacing w:after="0" w:line="130" w:lineRule="exact"/>
        <w:rPr>
          <w:rFonts w:ascii="Times New Roman" w:cs="Times New Roman" w:eastAsia="Times New Roman" w:hAnsi="Times New Roman"/>
          <w:sz w:val="18"/>
          <w:szCs w:val="18"/>
          <w:color w:val="auto"/>
        </w:rPr>
      </w:pPr>
    </w:p>
    <w:p>
      <w:pPr>
        <w:ind w:left="2900" w:hanging="300"/>
        <w:spacing w:after="0"/>
        <w:tabs>
          <w:tab w:leader="none" w:pos="29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unvested equity awards are forfeited as of the Separation Date.</w:t>
      </w:r>
    </w:p>
    <w:p>
      <w:pPr>
        <w:spacing w:after="0" w:line="15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Mr. Felmer acknowledges that previously granted equity awards, including but not limited to the Existing Equity Awards, also contain restrictions that are applicable following the Separation Date, and a breach of those provisions provides the Company with, among other things, the ability to recover the value of those awards.</w:t>
      </w:r>
    </w:p>
    <w:p>
      <w:pPr>
        <w:spacing w:after="0" w:line="12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the event that Mr. Felmer resigns from his position prior to the Separation Date, it shall constititue a material breach of this Agreement, and the Company shall be entitled to seek all relief and recover all damages available to it under any legal theory, and for its damages the Company shall have, in addition to other allowable damages, the right to be relieved of any of its obligations set forth in this Section 3.</w:t>
      </w:r>
    </w:p>
    <w:p>
      <w:pPr>
        <w:spacing w:after="0" w:line="1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 Adequate Consideration.</w:t>
      </w:r>
    </w:p>
    <w:p>
      <w:pPr>
        <w:spacing w:after="0" w:line="158"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Mr. Felmer acknowledges that the Company is under no pre-existing obligation to treat his equity awards in the manner described in Section 3 above and pay him any of the cash severance payments and other benefits described in Section 3 above, that no amounts are due and owing Mr. Felmer other than vested benefits to which he is otherwise entitled (“vested benefits”), and that the foregoing benefits are adequate consideration for Mr. Felmer’s commitments in this Agreement. The parties agree that the foregoing constitute all of the payments and benefits to be provided to Mr. Felmer under this Agreement, and that they are in full settlement of all payments and benefits, including but not limited to, claims for wages, vacation pay, sick pay, bonuses, incentive plans, commissions, relocation costs, severance payments, stock options, or any other compensation.</w:t>
      </w:r>
    </w:p>
    <w:p>
      <w:pPr>
        <w:spacing w:after="0" w:line="130" w:lineRule="exact"/>
        <w:rPr>
          <w:sz w:val="20"/>
          <w:szCs w:val="20"/>
          <w:color w:val="auto"/>
        </w:rPr>
      </w:pPr>
    </w:p>
    <w:p>
      <w:pPr>
        <w:ind w:left="880" w:hanging="224"/>
        <w:spacing w:after="0"/>
        <w:tabs>
          <w:tab w:leader="none" w:pos="88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of All Claims; Covenant Not to Sue.</w:t>
      </w:r>
    </w:p>
    <w:p>
      <w:pPr>
        <w:spacing w:after="0" w:line="157" w:lineRule="exact"/>
        <w:rPr>
          <w:rFonts w:ascii="Times New Roman" w:cs="Times New Roman" w:eastAsia="Times New Roman" w:hAnsi="Times New Roman"/>
          <w:sz w:val="18"/>
          <w:szCs w:val="18"/>
          <w:color w:val="auto"/>
        </w:rPr>
      </w:pPr>
    </w:p>
    <w:p>
      <w:pPr>
        <w:jc w:val="both"/>
        <w:ind w:firstLine="1304"/>
        <w:spacing w:after="0" w:line="250" w:lineRule="auto"/>
        <w:tabs>
          <w:tab w:leader="none" w:pos="1600" w:val="left"/>
        </w:tabs>
        <w:numPr>
          <w:ilvl w:val="2"/>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consideration of the payments and benefits described above, and to the fullest extent allowed by law, Mr. Felmer, for himself, his agents, spouse, heirs, successors and assigns (“Felmer Releasors”), hereby releases and forever discharges the Company, its shareholders, direct and indirect subsidiaries, related entities, predecessors, assigns, parents, successors, affiliates, Company benefit plans, Company fiduciaries, Company administrators and its and their directors, officers, employees (current and former), attorneys, agents, and all other representatives (“Company Releasees”), from any and all charges, claims, suits and expenses (including attorneys’ fees and costs), whether known or unknown, including, but not limited to, claims of age or other discrimination, breach of contract, wrongful discharge, constructive discharge, claims under the Wisconsin Fair Employment Act, § 111.31, et. seq. Wis. Stats.; Title VII of The Civil Rights Act of 1964, as amended, 42 U.S.C. § 2000e, et. seq .; the Age Discrimination in Employment Act, 29 U.S.C. § 621 et. seq.; the common law of Wisconsin, or any other federal, state or local law relating to employment (“Released Claims”). The Released Claims include any and all matters in connection with or relating in any way to Mr. Felmer’s employment with the Company and his retirement from the Company, provided, however, that nothing herein shall release, diminish, or otherwise affect Mr. Felmer’s vested benefits. Notwithstanding the foregoing, this release and waiver of claims does not waive, release or discharge: (i) claims arising after the execution of this Agreement; (ii) any right to file an administrative charge or complaint with the Equal Employment Opportunity Commission or other administrative agency, although he waives any right to monetary relief related to such a charge or administrative complaint; (iii) claims which cannot be waived by law, such as claims for workers’ compensation;</w:t>
      </w:r>
    </w:p>
    <w:p>
      <w:pPr>
        <w:spacing w:after="0" w:line="5" w:lineRule="exact"/>
        <w:rPr>
          <w:rFonts w:ascii="Times New Roman" w:cs="Times New Roman" w:eastAsia="Times New Roman" w:hAnsi="Times New Roman"/>
          <w:sz w:val="17"/>
          <w:szCs w:val="17"/>
          <w:color w:val="auto"/>
        </w:rPr>
      </w:pPr>
    </w:p>
    <w:p>
      <w:pPr>
        <w:ind w:right="20" w:firstLine="8"/>
        <w:spacing w:after="0" w:line="243" w:lineRule="auto"/>
        <w:tabs>
          <w:tab w:leader="none" w:pos="3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to enforce the terms of this Agreement; (v) claims for indemnification Mr. Felmer may have pursuant to the Company’s Bylaws, Articles of Incorporation or applicable laws; or (vi) claims to enforce rights to vested benefits, such as pension or retirement benefits (“Non-Released Claims”).</w:t>
      </w:r>
    </w:p>
    <w:p>
      <w:pPr>
        <w:spacing w:after="0" w:line="127" w:lineRule="exact"/>
        <w:rPr>
          <w:rFonts w:ascii="Times New Roman" w:cs="Times New Roman" w:eastAsia="Times New Roman" w:hAnsi="Times New Roman"/>
          <w:sz w:val="18"/>
          <w:szCs w:val="18"/>
          <w:color w:val="auto"/>
        </w:rPr>
      </w:pPr>
    </w:p>
    <w:p>
      <w:pPr>
        <w:jc w:val="both"/>
        <w:ind w:firstLine="1304"/>
        <w:spacing w:after="0" w:line="245" w:lineRule="auto"/>
        <w:tabs>
          <w:tab w:leader="none" w:pos="1602" w:val="left"/>
        </w:tabs>
        <w:numPr>
          <w:ilvl w:val="2"/>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Felmer Releasors hereby covenant not to sue and hereby release and discharge and agree to defend and indemnify the Company Releasees from any and all statutory and common law claims that they have or may have against the Company Releasees arising prior to or on the Effective Date of this Agreement, including, without limitation, any actual or potential claims relating to any actual or alleged violation by the Company Releasees of any federal, state or local statutes, any actual or potential claim of any type under Wisconsin law, any actual or potential claim for economic damages,</w:t>
      </w:r>
    </w:p>
    <w:p>
      <w:pPr>
        <w:sectPr>
          <w:pgSz w:w="11900" w:h="16838" w:orient="portrait"/>
          <w:cols w:equalWidth="0" w:num="1">
            <w:col w:w="11240"/>
          </w:cols>
          <w:pgMar w:left="320" w:top="891" w:right="339" w:bottom="1440" w:gutter="0" w:footer="0" w:header="0"/>
        </w:sectPr>
      </w:pPr>
    </w:p>
    <w:bookmarkStart w:id="104" w:name="page105"/>
    <w:bookmarkEnd w:id="104"/>
    <w:p>
      <w:pPr>
        <w:jc w:val="both"/>
        <w:spacing w:after="0" w:line="238" w:lineRule="auto"/>
        <w:rPr>
          <w:sz w:val="20"/>
          <w:szCs w:val="20"/>
          <w:color w:val="auto"/>
        </w:rPr>
      </w:pPr>
      <w:r>
        <w:rPr>
          <w:rFonts w:ascii="Times New Roman" w:cs="Times New Roman" w:eastAsia="Times New Roman" w:hAnsi="Times New Roman"/>
          <w:sz w:val="18"/>
          <w:szCs w:val="18"/>
          <w:color w:val="auto"/>
        </w:rPr>
        <w:t>intentional and/or negligent infliction of emotional distress, intentional and/or negligent misrepresentation, breach of contract, breach of the covenant of good faith and fair dealing, any actual or potential claim for unpaid wages, severance pay, bonus, sick leave, overtime wages, holiday pay, vacation pay, life insurance, health and medical insurance, or any other fringe benefit, and/or any actual or potential claim for attorneys’ fees, costs, disbursements and/or the like; provided, however, Non-Released Claims are excluded from this Section 5(b). You further agree that if you or any of the Felmer Releasors breach this Section 5(b), the Company shall be entitled to seek all relief and recover all damages available to it under any legal theory, including, but not limited to, the recovery of the value of all amounts paid as of the time of such breach, as well as the right to cease making further payments pursuant to this Agreement. However, the prior two sentences shall not apply to any action You may bring challenging the validity of this Release under the ADEA, which you may do without penalty. You further agree that notwithstanding any breach of this Section 5(b), you are and shall continue to be bound by the remaining provisions of this Agreement, including the non-disparagement, confidentiality, non-solicitation and non-competition clauses.</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 Non-Admission.</w:t>
      </w:r>
    </w:p>
    <w:p>
      <w:pPr>
        <w:spacing w:after="0" w:line="15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Mr. Felmer and the Company agree that this Complete and Permanent Release and Retirement Agreement shall not constitute an admission by the Company that it has acted wrongfully with respect to Mr. Felmer or that it has discriminated against him or against any other individual.</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 Confidential Agreement.</w:t>
      </w:r>
    </w:p>
    <w:p>
      <w:pPr>
        <w:spacing w:after="0" w:line="15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Except as permitted below, Mr. Felmer hereby agrees to keep the terms of this Complete and Permanent Release and Retirement Agreement confidential, and he agrees that he shall neither directly nor indirectly disclose the terms of this Agreement to any other person or entity except to his attorneys, tax preparers or financial advisors, and immediate family members, but only on the condition that they agree to abide by the terms of this confidentiality clause, unless compelled by law or until such time as it has been publicly disclosed by the Company.</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 Non-Disparagement and Social Media.</w:t>
      </w:r>
    </w:p>
    <w:p>
      <w:pPr>
        <w:spacing w:after="0" w:line="158"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Mr. Felmer agrees not to disparage the Company or any of its products, services, officers, directors, or employees on social media, on any public platform, or to persons internal or external to the Company when such comments have the potential to harm the Company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making disparaging comments about the Company to employees, distributors, customers, suppliers, etc.). For its part, the Company agrees that its officers and directors will at no time make or publish any communication (whether written or oral), or instigate, assist or participate in the making or publication of any communication (whether or not such communication legally constitutes libel or slander), which would disparage or harm Mr. Felmer in his business reputation. The foregoing is agreed, however, not to limit Mr. Felmer’s or the Company’s respective obligations to testify honestly and accurately in any legal proceeding. You expressly understand and agree that any breach of this paragraph by You shall constitute a material breach of this Agreement, which shall cause irreparable harm to the Company and, therefore, in the event of a breach of this Section 8, the Company shall be entitled to seek all relief and recover all damages available to it under any legal theory, including, but not limited to, the recovery of the value of all amounts paid as of the time of such breach, as well as the right to cease making further payments pursuant to this Agreement. Mr. Felmer further agrees that notwithstanding any breach on his part of this Section 8 at any time during the course of this Agreement, he is and shall continue to be bound the provisions of this Section 8 governing non-disparagement and all other provisions of this Agreement, including, without limitation, the confidentiality, non-solicitation and non-competition clauses under Section 9.</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 Confidentiality, Non-Solicitation and Non-Compete.</w:t>
      </w:r>
    </w:p>
    <w:p>
      <w:pPr>
        <w:spacing w:after="0" w:line="15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Mr. Felmer and the Company specifically agree that the treatment of his equity agreements and the payments under Section 3 above shall be deemed to fully satisfy any obligation the Company may have to provide salary payments to Mr. Felmer under any Confidential Information or Non-Compete Agreement he may have signed. For purposes of this Section 9, references to the Company shall include the Company and its affiliates. In addition, and as further consideration for this Agreement, Mr. Felmer agrees to, understands and acknowledges the following:</w:t>
      </w:r>
    </w:p>
    <w:p>
      <w:pPr>
        <w:spacing w:after="0" w:line="127" w:lineRule="exact"/>
        <w:rPr>
          <w:sz w:val="20"/>
          <w:szCs w:val="20"/>
          <w:color w:val="auto"/>
        </w:rPr>
      </w:pPr>
    </w:p>
    <w:p>
      <w:pPr>
        <w:jc w:val="both"/>
        <w:ind w:firstLine="1304"/>
        <w:spacing w:after="0" w:line="238" w:lineRule="auto"/>
        <w:tabs>
          <w:tab w:leader="none" w:pos="160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Mr. Felmer’s employment with the Company, the Company has, and will continue to provide Mr. Felmer with Confidential Information relating to the Company, its business and clients, the disclosure or misuse of which would cause severe and irreparable harm to the Company. During Mr. Felmer’s employment with the Company, and for a two (2)-year period thereafter, Mr. Felmer agrees not to use or disclose the Company’s Confidential Information except as necessary in executing Mr. Felmer’s duties for the Company. Mr. Felmer shall keep Confidential Information constituting a trade secret under applicable law confidential for so long as such information constitutes a trade secret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protection as to trade secrets shall not necessarily expire at the end of the two (2)-year period). Upon the termination of Mr. Felmer’s employment with the Company for any reason, Mr. Felmer shall immediately return to the Company all documents and materials that contain or constitute Confidential Information, in any form whatsoever, including but not limited to, all copies, abstracts, electronic versions, and summaries thereof. As to any electronically stored copies of Confidential Information, Mr. Felmer shall contact his supervisor or the Company’s General Counsel to discuss the proper method for returning such items.</w:t>
      </w:r>
    </w:p>
    <w:p>
      <w:pPr>
        <w:sectPr>
          <w:pgSz w:w="11900" w:h="16838" w:orient="portrait"/>
          <w:cols w:equalWidth="0" w:num="1">
            <w:col w:w="11240"/>
          </w:cols>
          <w:pgMar w:left="320" w:top="891" w:right="339" w:bottom="1440" w:gutter="0" w:footer="0" w:header="0"/>
        </w:sectPr>
      </w:pPr>
    </w:p>
    <w:bookmarkStart w:id="105" w:name="page106"/>
    <w:bookmarkEnd w:id="105"/>
    <w:p>
      <w:pPr>
        <w:jc w:val="both"/>
        <w:spacing w:after="0" w:line="238" w:lineRule="auto"/>
        <w:rPr>
          <w:sz w:val="20"/>
          <w:szCs w:val="20"/>
          <w:color w:val="auto"/>
        </w:rPr>
      </w:pPr>
      <w:r>
        <w:rPr>
          <w:rFonts w:ascii="Times New Roman" w:cs="Times New Roman" w:eastAsia="Times New Roman" w:hAnsi="Times New Roman"/>
          <w:sz w:val="18"/>
          <w:szCs w:val="18"/>
          <w:color w:val="auto"/>
        </w:rPr>
        <w:t>Mr. Felmer hereby consents and agrees that the Company may access any of Mr. Felmer’s personal computers and other electronic storage devices (including personal phones) and any electronic storage accounts (such as dropbox) so as to allow the Company to ascertain the presence of the Company’s Confidential Information and how such information has been used by Mr. Felmer and to remove any such items from such devices and accounts. Mr. Felmer further agrees that without the written consent of the Chief Executive Officer of the Company that Mr. Felmer will not disclose, use, copy or duplicate, or otherwise permit the use, disclosure, copying or duplication of any Confidential Information of the Company, other than in connection with the authorized activities conducted under this Agreement or in the course of Mr. Felmer’s employment with the Company. Mr. Felmer agrees to take all reasonable steps and precautions to prevent any unauthorized disclosure, use, copying or duplication of Confidential Information. For purposes of this Agreement, Confidential Information means any and all financial, technical, commercial or other information concerning the business and affairs of the Company that is confidential and proprietary to the Company, including without limitation,</w:t>
      </w:r>
    </w:p>
    <w:p>
      <w:pPr>
        <w:spacing w:after="0" w:line="137" w:lineRule="exact"/>
        <w:rPr>
          <w:sz w:val="20"/>
          <w:szCs w:val="20"/>
          <w:color w:val="auto"/>
        </w:rPr>
      </w:pPr>
    </w:p>
    <w:p>
      <w:pPr>
        <w:jc w:val="both"/>
        <w:ind w:left="2920" w:hanging="320"/>
        <w:spacing w:after="0" w:line="250" w:lineRule="auto"/>
        <w:tabs>
          <w:tab w:leader="none" w:pos="2948"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relating to the Company’s past and existing customers and vendors and development of prospective customers and vendors, including specific customer product requirements, pricing arrangements, payments terms, customer lists and other similar information;</w:t>
      </w:r>
    </w:p>
    <w:p>
      <w:pPr>
        <w:spacing w:after="0" w:line="122" w:lineRule="exact"/>
        <w:rPr>
          <w:rFonts w:ascii="Times New Roman" w:cs="Times New Roman" w:eastAsia="Times New Roman" w:hAnsi="Times New Roman"/>
          <w:sz w:val="18"/>
          <w:szCs w:val="18"/>
          <w:color w:val="auto"/>
        </w:rPr>
      </w:pPr>
    </w:p>
    <w:p>
      <w:pPr>
        <w:ind w:left="2920" w:right="20" w:hanging="320"/>
        <w:spacing w:after="0" w:line="266" w:lineRule="auto"/>
        <w:tabs>
          <w:tab w:leader="none" w:pos="2958"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inventions, designs, methods, discoveries, works of authorship, creations, improvements or ideas developed or otherwise produced, acquired or used by the Company;</w:t>
      </w:r>
    </w:p>
    <w:p>
      <w:pPr>
        <w:spacing w:after="0" w:line="108" w:lineRule="exact"/>
        <w:rPr>
          <w:rFonts w:ascii="Times New Roman" w:cs="Times New Roman" w:eastAsia="Times New Roman" w:hAnsi="Times New Roman"/>
          <w:sz w:val="18"/>
          <w:szCs w:val="18"/>
          <w:color w:val="auto"/>
        </w:rPr>
      </w:pPr>
    </w:p>
    <w:p>
      <w:pPr>
        <w:jc w:val="both"/>
        <w:ind w:left="2920" w:hanging="320"/>
        <w:spacing w:after="0" w:line="245" w:lineRule="auto"/>
        <w:tabs>
          <w:tab w:leader="none" w:pos="2956"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proprietary programs, processes or software, consisting of but not limited to, computer programs in source or object code and all related documentation and training materials, including all upgrades, updates, improvements, derivatives and modifications thereof and including programs and documentation in incomplete stages of design or research and development;</w:t>
      </w:r>
    </w:p>
    <w:p>
      <w:pPr>
        <w:spacing w:after="0" w:line="126" w:lineRule="exact"/>
        <w:rPr>
          <w:rFonts w:ascii="Times New Roman" w:cs="Times New Roman" w:eastAsia="Times New Roman" w:hAnsi="Times New Roman"/>
          <w:sz w:val="18"/>
          <w:szCs w:val="18"/>
          <w:color w:val="auto"/>
        </w:rPr>
      </w:pPr>
    </w:p>
    <w:p>
      <w:pPr>
        <w:jc w:val="both"/>
        <w:ind w:left="2920" w:hanging="320"/>
        <w:spacing w:after="0" w:line="250" w:lineRule="auto"/>
        <w:tabs>
          <w:tab w:leader="none" w:pos="2966"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matter of the Company’s patents, design patents, copyrights, trade secrets, trademarks, service marks, trade names, trade dress, manuals, operating instructions, training materials, and other industrial property, including such information in incomplete stages of design or research and development;</w:t>
      </w:r>
    </w:p>
    <w:p>
      <w:pPr>
        <w:spacing w:after="0" w:line="122" w:lineRule="exact"/>
        <w:rPr>
          <w:rFonts w:ascii="Times New Roman" w:cs="Times New Roman" w:eastAsia="Times New Roman" w:hAnsi="Times New Roman"/>
          <w:sz w:val="18"/>
          <w:szCs w:val="18"/>
          <w:color w:val="auto"/>
        </w:rPr>
      </w:pPr>
    </w:p>
    <w:p>
      <w:pPr>
        <w:jc w:val="both"/>
        <w:ind w:left="2920" w:hanging="320"/>
        <w:spacing w:after="0" w:line="250" w:lineRule="auto"/>
        <w:tabs>
          <w:tab w:leader="none" w:pos="2952"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confidential and proprietary information or documents relating to the Company’s products, business and marketing plans and techniques, sales and distribution networks and any other information or documents which the Company reasonably regards as being confidential; and</w:t>
      </w:r>
    </w:p>
    <w:p>
      <w:pPr>
        <w:spacing w:after="0" w:line="122" w:lineRule="exact"/>
        <w:rPr>
          <w:rFonts w:ascii="Times New Roman" w:cs="Times New Roman" w:eastAsia="Times New Roman" w:hAnsi="Times New Roman"/>
          <w:sz w:val="18"/>
          <w:szCs w:val="18"/>
          <w:color w:val="auto"/>
        </w:rPr>
      </w:pPr>
    </w:p>
    <w:p>
      <w:pPr>
        <w:jc w:val="both"/>
        <w:ind w:left="2920" w:right="20" w:hanging="320"/>
        <w:spacing w:after="0" w:line="245" w:lineRule="auto"/>
        <w:tabs>
          <w:tab w:leader="none" w:pos="3025"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Information does not include information which: (i) is already available to the public without wrongful act or breach by Mr. Felmer; (ii) becomes available to the public through no fault of Mr. Felmer; or (iii) is required to be disclosed pursuant to a court order or order of government authority, provided that Mr. Felmer promptly notifies the Company of such request so the Company may seek a protective order.</w:t>
      </w:r>
    </w:p>
    <w:p>
      <w:pPr>
        <w:spacing w:after="0" w:line="126" w:lineRule="exact"/>
        <w:rPr>
          <w:rFonts w:ascii="Times New Roman" w:cs="Times New Roman" w:eastAsia="Times New Roman" w:hAnsi="Times New Roman"/>
          <w:sz w:val="18"/>
          <w:szCs w:val="18"/>
          <w:color w:val="auto"/>
        </w:rPr>
      </w:pPr>
    </w:p>
    <w:p>
      <w:pPr>
        <w:jc w:val="both"/>
        <w:ind w:firstLine="1304"/>
        <w:spacing w:after="0" w:line="241" w:lineRule="auto"/>
        <w:tabs>
          <w:tab w:leader="none" w:pos="165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Post-Employment Customer Non-Solicitation Agreement</w:t>
      </w:r>
      <w:r>
        <w:rPr>
          <w:rFonts w:ascii="Times New Roman" w:cs="Times New Roman" w:eastAsia="Times New Roman" w:hAnsi="Times New Roman"/>
          <w:sz w:val="18"/>
          <w:szCs w:val="18"/>
          <w:color w:val="auto"/>
        </w:rPr>
        <w:t>. For two (2) years following the Separation Date, Mr. Felmer will not contact—or support others in contacting—customers of Company with whom Mr. Felmer had business contact during the last two (2) years of Mr. Felmer’s employment with the Company or is knowledgeable, either by virtue of having supervised or managed, directly or indirectly, at any time during the two (2) years preceding the Separation Date, the person or persons with responsibility for the customer, for the purpose of selling or providing products or services competitive with those offered by Company (“Competitive Products”). “Competitive Products” shall mean products and services competitive with those products and services for which Mr. Felmer was responsible during the last two (2) years of Mr. Felmer’s employment with Company.</w:t>
      </w:r>
    </w:p>
    <w:p>
      <w:pPr>
        <w:spacing w:after="0" w:line="129" w:lineRule="exact"/>
        <w:rPr>
          <w:rFonts w:ascii="Times New Roman" w:cs="Times New Roman" w:eastAsia="Times New Roman" w:hAnsi="Times New Roman"/>
          <w:sz w:val="18"/>
          <w:szCs w:val="18"/>
          <w:color w:val="auto"/>
        </w:rPr>
      </w:pPr>
    </w:p>
    <w:p>
      <w:pPr>
        <w:jc w:val="both"/>
        <w:ind w:firstLine="1304"/>
        <w:spacing w:after="0" w:line="245" w:lineRule="auto"/>
        <w:tabs>
          <w:tab w:leader="none" w:pos="158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Post-Separation Employment by Customers</w:t>
      </w:r>
      <w:r>
        <w:rPr>
          <w:rFonts w:ascii="Times New Roman" w:cs="Times New Roman" w:eastAsia="Times New Roman" w:hAnsi="Times New Roman"/>
          <w:sz w:val="18"/>
          <w:szCs w:val="18"/>
          <w:color w:val="auto"/>
        </w:rPr>
        <w:t>. For two (2) years following the Separation Date, Mr. Felmer will not accept employment with, or advise or consult to or with, any customers of the Company with whom Mr. Felmer had business contact during the last two (2) years of Mr. Felmer’s employment with the Company or is knowledgeable, either by virtue of having supervised or managed, directly or indirectly, at any time during the two (2) years preceding the Separation Date, the person or persons with responsibility for the customer.</w:t>
      </w:r>
    </w:p>
    <w:p>
      <w:pPr>
        <w:sectPr>
          <w:pgSz w:w="11900" w:h="16838" w:orient="portrait"/>
          <w:cols w:equalWidth="0" w:num="1">
            <w:col w:w="11240"/>
          </w:cols>
          <w:pgMar w:left="320" w:top="891" w:right="339" w:bottom="1440" w:gutter="0" w:footer="0" w:header="0"/>
        </w:sectPr>
      </w:pPr>
    </w:p>
    <w:bookmarkStart w:id="106" w:name="page107"/>
    <w:bookmarkEnd w:id="106"/>
    <w:p>
      <w:pPr>
        <w:jc w:val="both"/>
        <w:ind w:left="-1120" w:firstLine="1304"/>
        <w:spacing w:after="0" w:line="250" w:lineRule="auto"/>
        <w:tabs>
          <w:tab w:leader="none" w:pos="53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Post-Employment Non-Compete Agreement</w:t>
      </w:r>
      <w:r>
        <w:rPr>
          <w:rFonts w:ascii="Times New Roman" w:cs="Times New Roman" w:eastAsia="Times New Roman" w:hAnsi="Times New Roman"/>
          <w:sz w:val="18"/>
          <w:szCs w:val="18"/>
          <w:color w:val="auto"/>
        </w:rPr>
        <w:t>. For two (2) years following the Separation Date, Mr. Felmer will not, directly or indirectly provide services similar to any of those Mr. Felmer provided to the Company during the last two (2) years of Mr. Felmer’s employment with Company to a competitor of Company or a person or entity preparing to compete with Company.</w:t>
      </w:r>
    </w:p>
    <w:p>
      <w:pPr>
        <w:spacing w:after="0" w:line="122" w:lineRule="exact"/>
        <w:rPr>
          <w:rFonts w:ascii="Times New Roman" w:cs="Times New Roman" w:eastAsia="Times New Roman" w:hAnsi="Times New Roman"/>
          <w:sz w:val="18"/>
          <w:szCs w:val="18"/>
          <w:color w:val="auto"/>
        </w:rPr>
      </w:pPr>
    </w:p>
    <w:p>
      <w:pPr>
        <w:jc w:val="both"/>
        <w:ind w:left="-1120" w:firstLine="1304"/>
        <w:spacing w:after="0" w:line="245" w:lineRule="auto"/>
        <w:tabs>
          <w:tab w:leader="none" w:pos="47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Post-Employment Restriction on Working With Competitive Products</w:t>
      </w:r>
      <w:r>
        <w:rPr>
          <w:rFonts w:ascii="Times New Roman" w:cs="Times New Roman" w:eastAsia="Times New Roman" w:hAnsi="Times New Roman"/>
          <w:sz w:val="18"/>
          <w:szCs w:val="18"/>
          <w:color w:val="auto"/>
        </w:rPr>
        <w:t>. For two (2) years following the Separation Date, Mr. Felmer will not work in the sale, marketing, development, design, modification, improvement, or creation of products or services competitive with any products or services with which Mr. Felmer was involved in the sale, marketing, development, design, modification, improvement or creation for the Company during the last two (2) years of Mr. Felmer’s employment.</w:t>
      </w:r>
    </w:p>
    <w:p>
      <w:pPr>
        <w:spacing w:after="0" w:line="126" w:lineRule="exact"/>
        <w:rPr>
          <w:rFonts w:ascii="Times New Roman" w:cs="Times New Roman" w:eastAsia="Times New Roman" w:hAnsi="Times New Roman"/>
          <w:sz w:val="18"/>
          <w:szCs w:val="18"/>
          <w:color w:val="auto"/>
        </w:rPr>
      </w:pPr>
    </w:p>
    <w:p>
      <w:pPr>
        <w:jc w:val="both"/>
        <w:ind w:left="-1120" w:firstLine="1304"/>
        <w:spacing w:after="0" w:line="250" w:lineRule="auto"/>
        <w:tabs>
          <w:tab w:leader="none" w:pos="44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Post-Employment Restriction on Advising Investors</w:t>
      </w:r>
      <w:r>
        <w:rPr>
          <w:rFonts w:ascii="Times New Roman" w:cs="Times New Roman" w:eastAsia="Times New Roman" w:hAnsi="Times New Roman"/>
          <w:sz w:val="18"/>
          <w:szCs w:val="18"/>
          <w:color w:val="auto"/>
        </w:rPr>
        <w:t>. For two (2) years following the Separation Date, Mr. Felmer will not, directly or indirectly, advise a broker, investment bank, private equity firm or other investor regarding buying, investing in, or divesting from the Company or any of its competitors.</w:t>
      </w:r>
    </w:p>
    <w:p>
      <w:pPr>
        <w:spacing w:after="0" w:line="122" w:lineRule="exact"/>
        <w:rPr>
          <w:rFonts w:ascii="Times New Roman" w:cs="Times New Roman" w:eastAsia="Times New Roman" w:hAnsi="Times New Roman"/>
          <w:sz w:val="18"/>
          <w:szCs w:val="18"/>
          <w:color w:val="auto"/>
        </w:rPr>
      </w:pPr>
    </w:p>
    <w:p>
      <w:pPr>
        <w:jc w:val="both"/>
        <w:ind w:left="-1120" w:firstLine="1304"/>
        <w:spacing w:after="0" w:line="245" w:lineRule="auto"/>
        <w:tabs>
          <w:tab w:leader="none" w:pos="503"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Post-Employment Restriction on Soliciting Key Employees</w:t>
      </w:r>
      <w:r>
        <w:rPr>
          <w:rFonts w:ascii="Times New Roman" w:cs="Times New Roman" w:eastAsia="Times New Roman" w:hAnsi="Times New Roman"/>
          <w:sz w:val="18"/>
          <w:szCs w:val="18"/>
          <w:color w:val="auto"/>
        </w:rPr>
        <w:t>. For two (2) years following the Separation Date, Mr. Felmer will not solicit or encourage Key Employees of the Company to provide services to a competitor of the Company or to otherwise terminate their relationship with the Company. “Key Employees” are employees or contractors whom Mr. Felmer supervised, who supervised Mr. Felmer, or with whom Mr. Felmer had significant business contact during Mr. Felmer’s last two (2) years of employment with the Company.</w:t>
      </w:r>
    </w:p>
    <w:p>
      <w:pPr>
        <w:spacing w:after="0" w:line="126" w:lineRule="exact"/>
        <w:rPr>
          <w:rFonts w:ascii="Times New Roman" w:cs="Times New Roman" w:eastAsia="Times New Roman" w:hAnsi="Times New Roman"/>
          <w:sz w:val="18"/>
          <w:szCs w:val="18"/>
          <w:color w:val="auto"/>
        </w:rPr>
      </w:pPr>
    </w:p>
    <w:p>
      <w:pPr>
        <w:jc w:val="both"/>
        <w:ind w:left="-1120" w:firstLine="1304"/>
        <w:spacing w:after="0" w:line="242" w:lineRule="auto"/>
        <w:tabs>
          <w:tab w:leader="none" w:pos="47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Fiduciary Duties and Related Obligations</w:t>
      </w:r>
      <w:r>
        <w:rPr>
          <w:rFonts w:ascii="Times New Roman" w:cs="Times New Roman" w:eastAsia="Times New Roman" w:hAnsi="Times New Roman"/>
          <w:sz w:val="18"/>
          <w:szCs w:val="18"/>
          <w:color w:val="auto"/>
        </w:rPr>
        <w:t>. Mr. Felmer acknowledges and agrees that Mr. Felmer owes the Company fiduciary duties while employed by the Company. During Mr. Felmer’s employment with the Company, Mr. Felmer agrees not to take action that will harm the Company, such as, encouraging employees, vendors, suppliers, contractors, or customers to terminate their relationships with the Company, usurping a business opportunity from Company, engaging in conduct that would injure the Company’s reputation, providing services or assistance to a competitive enterprise, or otherwise competing with the Company.</w:t>
      </w:r>
    </w:p>
    <w:p>
      <w:pPr>
        <w:spacing w:after="0" w:line="130" w:lineRule="exact"/>
        <w:rPr>
          <w:rFonts w:ascii="Times New Roman" w:cs="Times New Roman" w:eastAsia="Times New Roman" w:hAnsi="Times New Roman"/>
          <w:sz w:val="18"/>
          <w:szCs w:val="18"/>
          <w:color w:val="auto"/>
        </w:rPr>
      </w:pPr>
    </w:p>
    <w:p>
      <w:pPr>
        <w:jc w:val="both"/>
        <w:ind w:left="-1120" w:firstLine="1304"/>
        <w:spacing w:after="0" w:line="250" w:lineRule="auto"/>
        <w:tabs>
          <w:tab w:leader="none" w:pos="43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Business Relationships</w:t>
      </w:r>
      <w:r>
        <w:rPr>
          <w:rFonts w:ascii="Times New Roman" w:cs="Times New Roman" w:eastAsia="Times New Roman" w:hAnsi="Times New Roman"/>
          <w:sz w:val="18"/>
          <w:szCs w:val="18"/>
          <w:color w:val="auto"/>
        </w:rPr>
        <w:t>. Mr. Felmer agrees, for a two (2)-year period following the Separation Date, not to encourage or advise any vendors, suppliers, or others possessing a business relationship with Company to terminate that relationship or to otherwise modify that relationship to the Company’s detriment.</w:t>
      </w:r>
    </w:p>
    <w:p>
      <w:pPr>
        <w:spacing w:after="0" w:line="122" w:lineRule="exact"/>
        <w:rPr>
          <w:rFonts w:ascii="Times New Roman" w:cs="Times New Roman" w:eastAsia="Times New Roman" w:hAnsi="Times New Roman"/>
          <w:sz w:val="18"/>
          <w:szCs w:val="18"/>
          <w:color w:val="auto"/>
        </w:rPr>
      </w:pPr>
    </w:p>
    <w:p>
      <w:pPr>
        <w:jc w:val="both"/>
        <w:ind w:left="-1120" w:firstLine="1304"/>
        <w:spacing w:after="0" w:line="250" w:lineRule="auto"/>
        <w:tabs>
          <w:tab w:leader="none" w:pos="44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Post-Employment Restriction on Soliciting Other Employees</w:t>
      </w:r>
      <w:r>
        <w:rPr>
          <w:rFonts w:ascii="Times New Roman" w:cs="Times New Roman" w:eastAsia="Times New Roman" w:hAnsi="Times New Roman"/>
          <w:sz w:val="18"/>
          <w:szCs w:val="18"/>
          <w:color w:val="auto"/>
        </w:rPr>
        <w:t>. For two (2) years following the Separation Date, Mr. Felmer will not solicit or encourage any employees of the Company, the identity and position of which Mr. Felmer was made aware of due to his job responsibilities at the Company, to provide services to a competitor of the Company or to otherwise terminate their relationship with the Company.</w:t>
      </w:r>
    </w:p>
    <w:p>
      <w:pPr>
        <w:spacing w:after="0" w:line="122" w:lineRule="exact"/>
        <w:rPr>
          <w:rFonts w:ascii="Times New Roman" w:cs="Times New Roman" w:eastAsia="Times New Roman" w:hAnsi="Times New Roman"/>
          <w:sz w:val="18"/>
          <w:szCs w:val="18"/>
          <w:color w:val="auto"/>
        </w:rPr>
      </w:pPr>
    </w:p>
    <w:p>
      <w:pPr>
        <w:jc w:val="both"/>
        <w:ind w:left="-1120" w:firstLine="1304"/>
        <w:spacing w:after="0"/>
        <w:tabs>
          <w:tab w:leader="none" w:pos="47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Offers</w:t>
      </w:r>
      <w:r>
        <w:rPr>
          <w:rFonts w:ascii="Times New Roman" w:cs="Times New Roman" w:eastAsia="Times New Roman" w:hAnsi="Times New Roman"/>
          <w:sz w:val="18"/>
          <w:szCs w:val="18"/>
          <w:color w:val="auto"/>
        </w:rPr>
        <w:t>. Mr. Felmer agrees that if he receives an employment, consulting, directorship or similar offer during the 24 months following the Separation Date, then before commencing such employment, consulting, directorship or similar arrangement, Mr. Felmer shall provide written notice to the Chief Executive Officer of the Company of the offer and sufficient details to permit the Company to determine whether the proposed arrangement would be a violation of this Agreement. The Company will then notify Mr. Felmer within seven (7) business days of receipt of such information whether the Company considers the proposed arrangement to be a breach of this Agreement. The provisions set forth in the sentences above shall also apply to each specific project or engagement in circumstances where Mr. Felmer is performing services for a broker, investment bank, private equity firm or other investment related entity during the 24 months following the Separation Date.</w:t>
      </w:r>
    </w:p>
    <w:p>
      <w:pPr>
        <w:spacing w:after="0" w:line="130" w:lineRule="exact"/>
        <w:rPr>
          <w:rFonts w:ascii="Times New Roman" w:cs="Times New Roman" w:eastAsia="Times New Roman" w:hAnsi="Times New Roman"/>
          <w:sz w:val="18"/>
          <w:szCs w:val="18"/>
          <w:color w:val="auto"/>
        </w:rPr>
      </w:pPr>
    </w:p>
    <w:p>
      <w:pPr>
        <w:ind w:left="440" w:hanging="256"/>
        <w:spacing w:after="0"/>
        <w:tabs>
          <w:tab w:leader="none" w:pos="4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Breach</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jc w:val="both"/>
        <w:ind w:left="1800" w:hanging="320"/>
        <w:spacing w:after="0" w:line="239" w:lineRule="auto"/>
        <w:tabs>
          <w:tab w:leader="none" w:pos="1845"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Felmer acknowledges and agrees that compliance with this Section 9 is necessary to protect the legitimate business interests of the Company. You expressly understand and agree that any breach of Section 9 by You shall constitute a material breach of this Agreement, which shall cause irreparable harm to the Company for which there will be no adequate remedy at law. In the event of a breach of Section 9, or any part thereof, the Company, and its successors and assigns, shall be entitled to institute and prosecute proceedings in any Court of competent jurisdiction for injunctive relief to enjoin Mr. Felmer from performing services in breach of Section 9, and for other and further relief as is proper under the circumstances. Mr. Felmer hereby agrees to submit to the jurisdiction of any Court of competent jurisdiction in any disputes that arise under this Agreement.</w:t>
      </w:r>
    </w:p>
    <w:p>
      <w:pPr>
        <w:sectPr>
          <w:pgSz w:w="11900" w:h="16838" w:orient="portrait"/>
          <w:cols w:equalWidth="0" w:num="1">
            <w:col w:w="10120"/>
          </w:cols>
          <w:pgMar w:left="1440" w:top="891" w:right="339" w:bottom="1440" w:gutter="0" w:footer="0" w:header="0"/>
        </w:sectPr>
      </w:pPr>
    </w:p>
    <w:bookmarkStart w:id="107" w:name="page108"/>
    <w:bookmarkEnd w:id="107"/>
    <w:p>
      <w:pPr>
        <w:jc w:val="both"/>
        <w:ind w:left="2920" w:hanging="320"/>
        <w:spacing w:after="0" w:line="237" w:lineRule="auto"/>
        <w:tabs>
          <w:tab w:leader="none" w:pos="2948"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breach of Section 9, the Company shall be entitled to seek all relief and recover all damages available to it under any legal theory, and for its damages the Company shall have, in addition to other allowable damages, the right to: (i) recover from Mr. Felmer all or part of the severance payments made to Mr. Felmer during the period of time in which Mr. Felmer was in breach of Section 9; (ii) be relieved of any future obligations to pay any additional severance payments pursuant to Section 3; and (iii) recover all or part of any equity awards (or the value of such awards) that became vested as a result of this Agreement. The Company shall also retain all rights to the injunctive relief provided for in subsection (i) above. In the event that Mr. Felmer should successfully pursue an argument that any provision in this Agreement is unreasonable and unenforceable, then the remaining provisions shall remain in full force and effect and the Company shall be entitled to recover from Mr. Felmer the value of the equity awards that became vested as a result of this Agreement and all severance payments made by the Company to Mr. Felmer and cease making further severance payments because, as Mr. Felmer acknowledges and agrees, the Company would never have agreed to make those severance payments to him if he had not agreed to all the terms, conditions and restrictions set forth in this Agreement, which he again acknowledges to be reasonable and necessary for the protection of the Company’s legitimate business interests. Finally, in the event of a breach of Section 9, the 24 month post-termination restriction period will be extended by a period of time equal to the period of time during which Mr. Felmer was in breach of Section 9.</w:t>
      </w:r>
    </w:p>
    <w:p>
      <w:pPr>
        <w:spacing w:after="0" w:line="131" w:lineRule="exact"/>
        <w:rPr>
          <w:rFonts w:ascii="Times New Roman" w:cs="Times New Roman" w:eastAsia="Times New Roman" w:hAnsi="Times New Roman"/>
          <w:sz w:val="18"/>
          <w:szCs w:val="18"/>
          <w:color w:val="auto"/>
        </w:rPr>
      </w:pPr>
    </w:p>
    <w:p>
      <w:pPr>
        <w:jc w:val="both"/>
        <w:ind w:left="2920" w:hanging="320"/>
        <w:spacing w:after="0" w:line="245" w:lineRule="auto"/>
        <w:tabs>
          <w:tab w:leader="none" w:pos="2911"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Felmer further agrees that notwithstanding any breach on his part of any portion of this Section 9 at any time during the course of this Agreement, he is and shall continue to be bound by the remaining provisions of this Section 9 governing confidentiality, non-solicitation and non-competition and all other provisions of this Agreement, including the non-disparagement clause under Section 8.</w:t>
      </w:r>
    </w:p>
    <w:p>
      <w:pPr>
        <w:spacing w:after="0" w:line="126" w:lineRule="exact"/>
        <w:rPr>
          <w:rFonts w:ascii="Times New Roman" w:cs="Times New Roman" w:eastAsia="Times New Roman" w:hAnsi="Times New Roman"/>
          <w:sz w:val="18"/>
          <w:szCs w:val="18"/>
          <w:color w:val="auto"/>
        </w:rPr>
      </w:pPr>
    </w:p>
    <w:p>
      <w:pPr>
        <w:ind w:left="2920" w:hanging="320"/>
        <w:spacing w:after="0" w:line="266" w:lineRule="auto"/>
        <w:tabs>
          <w:tab w:leader="none" w:pos="295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agrees that the terms of this Section 9 shall survive the termination of Employee’s employment with the Company.</w:t>
      </w:r>
    </w:p>
    <w:p>
      <w:pPr>
        <w:spacing w:after="0" w:line="108" w:lineRule="exact"/>
        <w:rPr>
          <w:rFonts w:ascii="Times New Roman" w:cs="Times New Roman" w:eastAsia="Times New Roman" w:hAnsi="Times New Roman"/>
          <w:sz w:val="18"/>
          <w:szCs w:val="18"/>
          <w:color w:val="auto"/>
        </w:rPr>
      </w:pPr>
    </w:p>
    <w:p>
      <w:pPr>
        <w:jc w:val="both"/>
        <w:ind w:left="2920" w:hanging="320"/>
        <w:spacing w:after="0" w:line="245" w:lineRule="auto"/>
        <w:tabs>
          <w:tab w:leader="none" w:pos="2994"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FELMER HAS READ THIS ENTIRE SECTION 9 AND AGREES THAT THE CONSIDERATION PROVIDED BY THE COMPANY IS FAIR AND REASONABLE AND FURTHER AGREES THAT GIVEN THE IMPORTANCE TO THE COMPANY OF ITS CONFIDENTIAL AND PROPRIETARY INFORMATION, THE FOREGOING RESTRICTIONS ON HIS ACTIVITIES ARE LIKEWISE FAIR AND REASONABLE.</w:t>
      </w:r>
    </w:p>
    <w:p>
      <w:pPr>
        <w:spacing w:after="0" w:line="126"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Assignment; Non-Waiver; Cumulation of Remedies and Attorney’s Fees and Costs.</w:t>
      </w:r>
    </w:p>
    <w:p>
      <w:pPr>
        <w:spacing w:after="0" w:line="15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 xml:space="preserve">If Mr. Felmer should die while any amounts are still payable to him pursuant to this Agreement, all such amounts, unless otherwise provided herein, shall be paid in accordance with the terms of this Agreement to Mr. Felmer’s devisee, legatee, or other designee, or if there be no such designee, to his estate. Mr. Felmer hereby informs the Company that such designee shall </w:t>
      </w:r>
      <w:r>
        <w:rPr>
          <w:rFonts w:ascii="Times New Roman" w:cs="Times New Roman" w:eastAsia="Times New Roman" w:hAnsi="Times New Roman"/>
          <w:sz w:val="18"/>
          <w:szCs w:val="18"/>
          <w:color w:val="373739"/>
        </w:rPr>
        <w:t>be the spouse of Mr. Felmer at Mr. Felmer’s time of death.</w:t>
      </w:r>
      <w:r>
        <w:rPr>
          <w:rFonts w:ascii="Times New Roman" w:cs="Times New Roman" w:eastAsia="Times New Roman" w:hAnsi="Times New Roman"/>
          <w:sz w:val="18"/>
          <w:szCs w:val="18"/>
          <w:color w:val="auto"/>
        </w:rPr>
        <w:t xml:space="preserve"> The failure by the Company at any time to enforce any of the provisions of this Agreement or any right or remedy available hereunder or at law or in equity will not constitute a waiver of such provision, right, or remedy, or affect the validity of this Agreement. The waiver of any default will not be deemed a continuing waiver. Except as expressly provided herein, all remedies available to the Company for breach of this Agreement or at law or in equity are cumulative and may be exercised concurrently or separately. In addition, the Company shall be entitled to recover all reasonable attorney’s fees and costs it incurs in enforcing any of its rights under this Agreement. Mr. Felmer agrees that the Company has a right to set off against any future severance payments any sums which the Company is entitled to recover due to Mr. Felmer’s breach of this Agreement.</w:t>
      </w:r>
    </w:p>
    <w:p>
      <w:pPr>
        <w:sectPr>
          <w:pgSz w:w="11900" w:h="16838" w:orient="portrait"/>
          <w:cols w:equalWidth="0" w:num="1">
            <w:col w:w="11240"/>
          </w:cols>
          <w:pgMar w:left="320" w:top="891" w:right="339" w:bottom="1440" w:gutter="0" w:footer="0" w:header="0"/>
        </w:sectPr>
      </w:pPr>
    </w:p>
    <w:bookmarkStart w:id="108" w:name="page109"/>
    <w:bookmarkEnd w:id="108"/>
    <w:p>
      <w:pPr>
        <w:ind w:left="660"/>
        <w:spacing w:after="0"/>
        <w:rPr>
          <w:sz w:val="20"/>
          <w:szCs w:val="20"/>
          <w:color w:val="auto"/>
        </w:rPr>
      </w:pPr>
      <w:r>
        <w:rPr>
          <w:rFonts w:ascii="Times New Roman" w:cs="Times New Roman" w:eastAsia="Times New Roman" w:hAnsi="Times New Roman"/>
          <w:sz w:val="18"/>
          <w:szCs w:val="18"/>
          <w:color w:val="auto"/>
        </w:rPr>
        <w:t>11. Section 409A.</w:t>
      </w:r>
    </w:p>
    <w:p>
      <w:pPr>
        <w:spacing w:after="0" w:line="158"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The intent of the parties is that the payments and benefits under this Agreement comply with or be exempt from Section 409A of the Internal Revenue Code of 1986, as amended, and the regulations and guidance promulgated thereunder (collectively, “Section 409A”) and, accordingly, to the maximum extent permitted, this Agreement shall be interpreted to be in compliance therewith. If Mr. Felmer or the Company believes, at any time, that any payment pursuant to this Agreement is subject to taxation under Section 409A of the Code, then (i) it shall advise the other and (ii) to the extent such correction is possible to avoid taxation under Section 409A without any material diminution in the value of the payments or benefits to Mr. Felmer, the Company and Mr. Felmer shall reasonably cooperate in good faith to take such steps as necessary, including amending (and, as required, consenting to the amendment of) the terms of any plan or program under which such payments are to be made, in the least restrictive manner necessary in order to comply with the provisions of Section 409A and the Section 409A Regulations in order to avoid taxation under Section 409A.</w:t>
      </w:r>
    </w:p>
    <w:p>
      <w:pPr>
        <w:spacing w:after="0" w:line="13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Notwithstanding anything contained herein to the contrary, if at Mr. Felmer’s separation from service, (a) he is a specified employee as defined in Section 409A and (b) any of the payments or benefits provided hereunder constitute deferred compensation under Section 409A, then, and only to the extent required by such provisions, the date of payment of such payments or benefits otherwise provided shall be delayed for a period of six months following the separation from service.</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 Advice of Counsel and Review of Agreement.</w:t>
      </w:r>
    </w:p>
    <w:p>
      <w:pPr>
        <w:spacing w:after="0" w:line="158"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Mr. Felmer acknowledges that this Agreement constitutes a voluntary waiver and release of all of his rights and claims under the Age Discrimination in Employment Act (“ADEA”), as amended, and its implementing regulations, and pursuant to the Older Workers Benefit Protection Act of 1990 (“OWBPA”), and he is executing this Agreement, including the waiver and release, in exchange for good and valuable consideration stated herein. Mr. Felmer is hereby advised to review this Agreement with legal counsel of his choice prior to signing it and by signing below acknowledges he has done so or waived his right to do so. Mr. Felmer is further advised that he has twenty-one (21) days during which to consider the provisions of this Agreement, although he may sign and return it sooner. He is further hereby advised that he has the right to revoke this Agreement for a period of seven (7) days after its execution by providing written notice of revocation to the Company. Mr. Felmer understands that this Agreement shall not become effective or enforceable until the eighth (8</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day following his execution of this Agreement.</w:t>
      </w:r>
    </w:p>
    <w:p>
      <w:pPr>
        <w:spacing w:after="0" w:line="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13. Entire Agreement; Severability; Counterparts; Law.</w:t>
      </w:r>
    </w:p>
    <w:p>
      <w:pPr>
        <w:spacing w:after="0" w:line="158"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This Complete and Permanent Release and Retirement Agreement sets forth the entire agreement between the parties and fully supersedes any and all prior agreements or understandings between Mr. Felmer and the Company. In the event that any clause, provision or paragraph of this Agreement is found to be void, invalid or unenforceable, such finding shall have no effect on the remainder of this Agreement, which shall continue to be in full force and effect. Each provision of this Agreement shall be valid and enforced to the fullest extent permitted by law. This Agreement may be executed in one or more counterparts or duplicate originals, all of which, taken together, shall constitute one and the same instrument. Facsimile or electronic signatures shall be equally binding as originals. This Agreement shall be governed and construed in accordance with the laws of the State of Wisconsin, and shall be binding upon the parties hereto and their respective successors and assigns.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15, 2019</w:t>
      </w:r>
    </w:p>
    <w:p>
      <w:pPr>
        <w:spacing w:after="0" w:line="11"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u w:val="single" w:color="auto"/>
          <w:color w:val="auto"/>
        </w:rPr>
        <w:t>/s/ THOMAS FELMER</w:t>
      </w:r>
    </w:p>
    <w:p>
      <w:pPr>
        <w:ind w:left="6980"/>
        <w:spacing w:after="0"/>
        <w:rPr>
          <w:sz w:val="20"/>
          <w:szCs w:val="20"/>
          <w:color w:val="auto"/>
        </w:rPr>
      </w:pPr>
      <w:r>
        <w:rPr>
          <w:rFonts w:ascii="Times New Roman" w:cs="Times New Roman" w:eastAsia="Times New Roman" w:hAnsi="Times New Roman"/>
          <w:sz w:val="18"/>
          <w:szCs w:val="18"/>
          <w:color w:val="auto"/>
        </w:rPr>
        <w:t>Thomas Felmer</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BRADY CORPORATION</w:t>
      </w:r>
    </w:p>
    <w:p>
      <w:pPr>
        <w:spacing w:after="0" w:line="200" w:lineRule="exact"/>
        <w:rPr>
          <w:sz w:val="20"/>
          <w:szCs w:val="20"/>
          <w:color w:val="auto"/>
        </w:rPr>
      </w:pPr>
    </w:p>
    <w:p>
      <w:pPr>
        <w:spacing w:after="0" w:line="268"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 MICHAEL NAUMAN</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Its Authorized Representative</w:t>
      </w:r>
    </w:p>
    <w:p>
      <w:pPr>
        <w:sectPr>
          <w:pgSz w:w="11900" w:h="16838" w:orient="portrait"/>
          <w:cols w:equalWidth="0" w:num="1">
            <w:col w:w="11240"/>
          </w:cols>
          <w:pgMar w:left="320" w:top="891" w:right="339" w:bottom="1440" w:gutter="0" w:footer="0" w:header="0"/>
        </w:sectPr>
      </w:pPr>
    </w:p>
    <w:bookmarkStart w:id="109" w:name="page110"/>
    <w:bookmarkEnd w:id="109"/>
    <w:p>
      <w:pPr>
        <w:jc w:val="center"/>
        <w:ind w:right="20"/>
        <w:spacing w:after="0"/>
        <w:rPr>
          <w:sz w:val="20"/>
          <w:szCs w:val="20"/>
          <w:color w:val="auto"/>
        </w:rPr>
      </w:pPr>
      <w:r>
        <w:rPr>
          <w:rFonts w:ascii="Times New Roman" w:cs="Times New Roman" w:eastAsia="Times New Roman" w:hAnsi="Times New Roman"/>
          <w:sz w:val="18"/>
          <w:szCs w:val="18"/>
          <w:color w:val="auto"/>
        </w:rPr>
        <w:t>Exhibit A</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Schedule of Outstanding Equity Awards</w:t>
      </w:r>
    </w:p>
    <w:p>
      <w:pPr>
        <w:spacing w:after="0" w:line="259"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26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Type</w:t>
            </w:r>
          </w:p>
        </w:tc>
        <w:tc>
          <w:tcPr>
            <w:tcW w:w="12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Grant Date</w:t>
            </w:r>
          </w:p>
        </w:tc>
        <w:tc>
          <w:tcPr>
            <w:tcW w:w="1240" w:type="dxa"/>
            <w:vAlign w:val="bottom"/>
            <w:tcBorders>
              <w:top w:val="single" w:sz="8" w:color="auto"/>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98"/>
              </w:rPr>
              <w:t>Exercise Price</w:t>
            </w:r>
          </w:p>
        </w:tc>
        <w:tc>
          <w:tcPr>
            <w:tcW w:w="12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Original Award</w:t>
            </w:r>
          </w:p>
        </w:tc>
        <w:tc>
          <w:tcPr>
            <w:tcW w:w="12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Options</w:t>
            </w:r>
          </w:p>
        </w:tc>
        <w:tc>
          <w:tcPr>
            <w:tcW w:w="12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Number of</w:t>
            </w:r>
          </w:p>
        </w:tc>
        <w:tc>
          <w:tcPr>
            <w:tcW w:w="12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Number Vested</w:t>
            </w:r>
          </w:p>
        </w:tc>
        <w:tc>
          <w:tcPr>
            <w:tcW w:w="12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Exercisable for</w:t>
            </w:r>
          </w:p>
        </w:tc>
        <w:tc>
          <w:tcPr>
            <w:tcW w:w="13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Forfeit on</w:t>
            </w:r>
          </w:p>
        </w:tc>
      </w:tr>
      <w:tr>
        <w:trPr>
          <w:trHeight w:val="203"/>
        </w:trPr>
        <w:tc>
          <w:tcPr>
            <w:tcW w:w="1260" w:type="dxa"/>
            <w:vAlign w:val="bottom"/>
            <w:tcBorders>
              <w:left w:val="single" w:sz="8" w:color="auto"/>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Amount</w:t>
            </w:r>
          </w:p>
        </w:tc>
        <w:tc>
          <w:tcPr>
            <w:tcW w:w="1240" w:type="dxa"/>
            <w:vAlign w:val="bottom"/>
            <w:tcBorders>
              <w:right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Previously</w:t>
            </w:r>
          </w:p>
        </w:tc>
        <w:tc>
          <w:tcPr>
            <w:tcW w:w="1240" w:type="dxa"/>
            <w:vAlign w:val="bottom"/>
            <w:tcBorders>
              <w:right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RSUs</w:t>
            </w:r>
          </w:p>
        </w:tc>
        <w:tc>
          <w:tcPr>
            <w:tcW w:w="1240" w:type="dxa"/>
            <w:vAlign w:val="bottom"/>
            <w:tcBorders>
              <w:right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at Separation</w:t>
            </w:r>
          </w:p>
        </w:tc>
        <w:tc>
          <w:tcPr>
            <w:tcW w:w="1260" w:type="dxa"/>
            <w:vAlign w:val="bottom"/>
            <w:tcBorders>
              <w:right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90 days post</w:t>
            </w:r>
          </w:p>
        </w:tc>
        <w:tc>
          <w:tcPr>
            <w:tcW w:w="1300" w:type="dxa"/>
            <w:vAlign w:val="bottom"/>
            <w:tcBorders>
              <w:right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Separation Date</w:t>
            </w:r>
          </w:p>
        </w:tc>
      </w:tr>
      <w:tr>
        <w:trPr>
          <w:trHeight w:val="203"/>
        </w:trPr>
        <w:tc>
          <w:tcPr>
            <w:tcW w:w="1260" w:type="dxa"/>
            <w:vAlign w:val="bottom"/>
            <w:tcBorders>
              <w:left w:val="single" w:sz="8" w:color="auto"/>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(Number of</w:t>
            </w:r>
          </w:p>
        </w:tc>
        <w:tc>
          <w:tcPr>
            <w:tcW w:w="1240" w:type="dxa"/>
            <w:vAlign w:val="bottom"/>
            <w:tcBorders>
              <w:right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Exercised</w:t>
            </w:r>
          </w:p>
        </w:tc>
        <w:tc>
          <w:tcPr>
            <w:tcW w:w="1240" w:type="dxa"/>
            <w:vAlign w:val="bottom"/>
            <w:tcBorders>
              <w:right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Previously</w:t>
            </w:r>
          </w:p>
        </w:tc>
        <w:tc>
          <w:tcPr>
            <w:tcW w:w="1240" w:type="dxa"/>
            <w:vAlign w:val="bottom"/>
            <w:tcBorders>
              <w:right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Date</w:t>
            </w:r>
          </w:p>
        </w:tc>
        <w:tc>
          <w:tcPr>
            <w:tcW w:w="1260" w:type="dxa"/>
            <w:vAlign w:val="bottom"/>
            <w:tcBorders>
              <w:right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Separation Date</w:t>
            </w:r>
          </w:p>
        </w:tc>
        <w:tc>
          <w:tcPr>
            <w:tcW w:w="1300" w:type="dxa"/>
            <w:vAlign w:val="bottom"/>
            <w:tcBorders>
              <w:right w:val="single" w:sz="8" w:color="auto"/>
            </w:tcBorders>
          </w:tcPr>
          <w:p>
            <w:pPr>
              <w:spacing w:after="0"/>
              <w:rPr>
                <w:sz w:val="17"/>
                <w:szCs w:val="17"/>
                <w:color w:val="auto"/>
              </w:rPr>
            </w:pPr>
          </w:p>
        </w:tc>
      </w:tr>
      <w:tr>
        <w:trPr>
          <w:trHeight w:val="241"/>
        </w:trPr>
        <w:tc>
          <w:tcPr>
            <w:tcW w:w="1260" w:type="dxa"/>
            <w:vAlign w:val="bottom"/>
            <w:tcBorders>
              <w:left w:val="single" w:sz="8" w:color="auto"/>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Shares/Options)</w:t>
            </w:r>
          </w:p>
        </w:tc>
        <w:tc>
          <w:tcPr>
            <w:tcW w:w="124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24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r>
      <w:tr>
        <w:trPr>
          <w:trHeight w:val="250"/>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Option</w:t>
            </w:r>
          </w:p>
        </w:tc>
        <w:tc>
          <w:tcPr>
            <w:tcW w:w="1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9/22/2017</w:t>
            </w: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$36.85</w:t>
            </w: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21,295</w:t>
            </w: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14,197</w:t>
            </w: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7,098</w:t>
            </w:r>
          </w:p>
        </w:tc>
        <w:tc>
          <w:tcPr>
            <w:tcW w:w="1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Yes</w:t>
            </w:r>
          </w:p>
        </w:tc>
        <w:tc>
          <w:tcPr>
            <w:tcW w:w="13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50"/>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Option</w:t>
            </w:r>
          </w:p>
        </w:tc>
        <w:tc>
          <w:tcPr>
            <w:tcW w:w="1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9/25/2018</w:t>
            </w: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$43.98</w:t>
            </w: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18,625</w:t>
            </w: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6,209</w:t>
            </w: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6,208</w:t>
            </w:r>
          </w:p>
        </w:tc>
        <w:tc>
          <w:tcPr>
            <w:tcW w:w="1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Yes</w:t>
            </w:r>
          </w:p>
        </w:tc>
        <w:tc>
          <w:tcPr>
            <w:tcW w:w="13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6,208</w:t>
            </w:r>
          </w:p>
        </w:tc>
      </w:tr>
      <w:tr>
        <w:trPr>
          <w:trHeight w:val="250"/>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RSU</w:t>
            </w:r>
          </w:p>
        </w:tc>
        <w:tc>
          <w:tcPr>
            <w:tcW w:w="1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9/22/2017</w:t>
            </w: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4,976</w:t>
            </w: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3,318</w:t>
            </w: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1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3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50"/>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RSU</w:t>
            </w:r>
          </w:p>
        </w:tc>
        <w:tc>
          <w:tcPr>
            <w:tcW w:w="1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9/25/2018</w:t>
            </w: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4,169</w:t>
            </w: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1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3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1,389</w:t>
            </w:r>
          </w:p>
        </w:tc>
      </w:tr>
      <w:tr>
        <w:trPr>
          <w:trHeight w:val="250"/>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RSU</w:t>
            </w:r>
          </w:p>
        </w:tc>
        <w:tc>
          <w:tcPr>
            <w:tcW w:w="1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9/20/2019</w:t>
            </w: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12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3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1"/>
        </w:trPr>
        <w:tc>
          <w:tcPr>
            <w:tcW w:w="12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Perf. RSU</w:t>
            </w:r>
          </w:p>
        </w:tc>
        <w:tc>
          <w:tcPr>
            <w:tcW w:w="12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2018-2020 perf.</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5,536</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3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5,536</w:t>
            </w:r>
          </w:p>
        </w:tc>
      </w:tr>
      <w:tr>
        <w:trPr>
          <w:trHeight w:val="241"/>
        </w:trPr>
        <w:tc>
          <w:tcPr>
            <w:tcW w:w="1260" w:type="dxa"/>
            <w:vAlign w:val="bottom"/>
            <w:tcBorders>
              <w:left w:val="single" w:sz="8" w:color="auto"/>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period</w:t>
            </w:r>
          </w:p>
        </w:tc>
        <w:tc>
          <w:tcPr>
            <w:tcW w:w="124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At target</w:t>
            </w:r>
          </w:p>
        </w:tc>
        <w:tc>
          <w:tcPr>
            <w:tcW w:w="124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r>
      <w:tr>
        <w:trPr>
          <w:trHeight w:val="211"/>
        </w:trPr>
        <w:tc>
          <w:tcPr>
            <w:tcW w:w="12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Perf. RSU</w:t>
            </w:r>
          </w:p>
        </w:tc>
        <w:tc>
          <w:tcPr>
            <w:tcW w:w="12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2019-2021 perf.</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4,863</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3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4,863</w:t>
            </w:r>
          </w:p>
        </w:tc>
      </w:tr>
      <w:tr>
        <w:trPr>
          <w:trHeight w:val="234"/>
        </w:trPr>
        <w:tc>
          <w:tcPr>
            <w:tcW w:w="1260" w:type="dxa"/>
            <w:vAlign w:val="bottom"/>
            <w:tcBorders>
              <w:left w:val="single" w:sz="8" w:color="auto"/>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period</w:t>
            </w:r>
          </w:p>
        </w:tc>
        <w:tc>
          <w:tcPr>
            <w:tcW w:w="124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At target</w:t>
            </w:r>
          </w:p>
        </w:tc>
        <w:tc>
          <w:tcPr>
            <w:tcW w:w="124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r>
      <w:tr>
        <w:trPr>
          <w:trHeight w:val="54"/>
        </w:trPr>
        <w:tc>
          <w:tcPr>
            <w:tcW w:w="1260" w:type="dxa"/>
            <w:vAlign w:val="bottom"/>
            <w:tcBorders>
              <w:left w:val="single" w:sz="8" w:color="auto"/>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r>
      <w:tr>
        <w:trPr>
          <w:trHeight w:val="205"/>
        </w:trPr>
        <w:tc>
          <w:tcPr>
            <w:tcW w:w="1260" w:type="dxa"/>
            <w:vAlign w:val="bottom"/>
            <w:tcBorders>
              <w:left w:val="single" w:sz="8" w:color="auto"/>
              <w:right w:val="single" w:sz="8" w:color="auto"/>
            </w:tcBorders>
          </w:tcPr>
          <w:p>
            <w:pPr>
              <w:ind w:left="40"/>
              <w:spacing w:after="0" w:line="205" w:lineRule="exact"/>
              <w:rPr>
                <w:sz w:val="20"/>
                <w:szCs w:val="20"/>
                <w:color w:val="auto"/>
              </w:rPr>
            </w:pPr>
            <w:r>
              <w:rPr>
                <w:rFonts w:ascii="Times New Roman" w:cs="Times New Roman" w:eastAsia="Times New Roman" w:hAnsi="Times New Roman"/>
                <w:sz w:val="18"/>
                <w:szCs w:val="18"/>
                <w:color w:val="auto"/>
              </w:rPr>
              <w:t>Perf. RSU</w:t>
            </w:r>
          </w:p>
        </w:tc>
        <w:tc>
          <w:tcPr>
            <w:tcW w:w="1240" w:type="dxa"/>
            <w:vAlign w:val="bottom"/>
            <w:tcBorders>
              <w:right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2020-2022 perf.</w:t>
            </w:r>
          </w:p>
        </w:tc>
        <w:tc>
          <w:tcPr>
            <w:tcW w:w="1240" w:type="dxa"/>
            <w:vAlign w:val="bottom"/>
            <w:tcBorders>
              <w:right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N/A</w:t>
            </w:r>
          </w:p>
        </w:tc>
        <w:tc>
          <w:tcPr>
            <w:tcW w:w="1240" w:type="dxa"/>
            <w:vAlign w:val="bottom"/>
            <w:tcBorders>
              <w:right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2,895</w:t>
            </w:r>
          </w:p>
        </w:tc>
        <w:tc>
          <w:tcPr>
            <w:tcW w:w="1240" w:type="dxa"/>
            <w:vAlign w:val="bottom"/>
            <w:tcBorders>
              <w:right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N/A</w:t>
            </w:r>
          </w:p>
        </w:tc>
        <w:tc>
          <w:tcPr>
            <w:tcW w:w="1240" w:type="dxa"/>
            <w:vAlign w:val="bottom"/>
            <w:tcBorders>
              <w:right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0</w:t>
            </w:r>
          </w:p>
        </w:tc>
        <w:tc>
          <w:tcPr>
            <w:tcW w:w="1240" w:type="dxa"/>
            <w:vAlign w:val="bottom"/>
            <w:tcBorders>
              <w:right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0</w:t>
            </w:r>
          </w:p>
        </w:tc>
        <w:tc>
          <w:tcPr>
            <w:tcW w:w="1260" w:type="dxa"/>
            <w:vAlign w:val="bottom"/>
            <w:tcBorders>
              <w:right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N/A</w:t>
            </w:r>
          </w:p>
        </w:tc>
        <w:tc>
          <w:tcPr>
            <w:tcW w:w="1300" w:type="dxa"/>
            <w:vAlign w:val="bottom"/>
            <w:tcBorders>
              <w:right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2,895</w:t>
            </w:r>
          </w:p>
        </w:tc>
      </w:tr>
      <w:tr>
        <w:trPr>
          <w:trHeight w:val="234"/>
        </w:trPr>
        <w:tc>
          <w:tcPr>
            <w:tcW w:w="1260" w:type="dxa"/>
            <w:vAlign w:val="bottom"/>
            <w:tcBorders>
              <w:left w:val="single" w:sz="8" w:color="auto"/>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period</w:t>
            </w:r>
          </w:p>
        </w:tc>
        <w:tc>
          <w:tcPr>
            <w:tcW w:w="124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At target</w:t>
            </w:r>
          </w:p>
        </w:tc>
        <w:tc>
          <w:tcPr>
            <w:tcW w:w="124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r>
      <w:tr>
        <w:trPr>
          <w:trHeight w:val="54"/>
        </w:trPr>
        <w:tc>
          <w:tcPr>
            <w:tcW w:w="1260" w:type="dxa"/>
            <w:vAlign w:val="bottom"/>
            <w:tcBorders>
              <w:left w:val="single" w:sz="8" w:color="auto"/>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r>
    </w:tbl>
    <w:p>
      <w:pPr>
        <w:sectPr>
          <w:pgSz w:w="11900" w:h="16838" w:orient="portrait"/>
          <w:cols w:equalWidth="0" w:num="1">
            <w:col w:w="11260"/>
          </w:cols>
          <w:pgMar w:left="320" w:top="1134" w:right="31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22"/>
          <w:szCs w:val="22"/>
          <w:b w:val="1"/>
          <w:bCs w:val="1"/>
          <w:color w:val="auto"/>
        </w:rPr>
        <w:t>EXHIBIT 10.11</w:t>
      </w:r>
    </w:p>
    <w:p>
      <w:pPr>
        <w:spacing w:after="0" w:line="24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b w:val="1"/>
          <w:bCs w:val="1"/>
          <w:u w:val="single" w:color="auto"/>
          <w:color w:val="auto"/>
        </w:rPr>
        <w:t>BRADY CORPORATION</w:t>
      </w:r>
    </w:p>
    <w:p>
      <w:pPr>
        <w:spacing w:after="0" w:line="3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b w:val="1"/>
          <w:bCs w:val="1"/>
          <w:u w:val="single" w:color="auto"/>
          <w:color w:val="auto"/>
        </w:rPr>
        <w:t>PERFORMANCE-BASED RESTRICTED STOCK UNITS</w:t>
      </w:r>
    </w:p>
    <w:p>
      <w:pPr>
        <w:spacing w:after="0" w:line="223" w:lineRule="exact"/>
        <w:rPr>
          <w:sz w:val="20"/>
          <w:szCs w:val="20"/>
          <w:color w:val="auto"/>
        </w:rPr>
      </w:pPr>
    </w:p>
    <w:p>
      <w:pPr>
        <w:jc w:val="both"/>
        <w:ind w:right="160" w:firstLine="648"/>
        <w:spacing w:after="0" w:line="262" w:lineRule="auto"/>
        <w:rPr>
          <w:sz w:val="20"/>
          <w:szCs w:val="20"/>
          <w:color w:val="auto"/>
        </w:rPr>
      </w:pPr>
      <w:r>
        <w:rPr>
          <w:rFonts w:ascii="Times New Roman" w:cs="Times New Roman" w:eastAsia="Times New Roman" w:hAnsi="Times New Roman"/>
          <w:sz w:val="21"/>
          <w:szCs w:val="21"/>
          <w:color w:val="auto"/>
        </w:rPr>
        <w:t>In accordance with the terms of the Brady Corporation 2017 Omnibus Incentive Plan (the "Plan"), the Management Development and Compensation Committee (the “Committee”) of the Brady Corporation Board of Directors hereby grants to you, _______________ (“Employee”), an award of Performance-Based Restricted Stock Units involving the number of such</w:t>
      </w:r>
    </w:p>
    <w:p>
      <w:pPr>
        <w:spacing w:after="0" w:line="3" w:lineRule="exact"/>
        <w:rPr>
          <w:sz w:val="20"/>
          <w:szCs w:val="20"/>
          <w:color w:val="auto"/>
        </w:rPr>
      </w:pPr>
    </w:p>
    <w:p>
      <w:pPr>
        <w:jc w:val="both"/>
        <w:ind w:right="160"/>
        <w:spacing w:after="0" w:line="245" w:lineRule="auto"/>
        <w:rPr>
          <w:sz w:val="20"/>
          <w:szCs w:val="20"/>
          <w:color w:val="auto"/>
        </w:rPr>
      </w:pPr>
      <w:r>
        <w:rPr>
          <w:rFonts w:ascii="Times New Roman" w:cs="Times New Roman" w:eastAsia="Times New Roman" w:hAnsi="Times New Roman"/>
          <w:sz w:val="22"/>
          <w:szCs w:val="22"/>
          <w:color w:val="auto"/>
        </w:rPr>
        <w:t>Units set forth in the table below. Brady Corporation’s (the “Corporation”) records shall be the official record of the grant described herein and, in the event of any conflict between this description and the Corporation’s records, the Corporation’s records shall control.</w:t>
      </w:r>
    </w:p>
    <w:p>
      <w:pPr>
        <w:spacing w:after="0" w:line="227" w:lineRule="exact"/>
        <w:rPr>
          <w:sz w:val="20"/>
          <w:szCs w:val="20"/>
          <w:color w:val="auto"/>
        </w:rPr>
      </w:pPr>
    </w:p>
    <w:p>
      <w:pPr>
        <w:ind w:left="40" w:right="180" w:firstLine="648"/>
        <w:spacing w:after="0" w:line="271" w:lineRule="auto"/>
        <w:rPr>
          <w:sz w:val="20"/>
          <w:szCs w:val="20"/>
          <w:color w:val="auto"/>
        </w:rPr>
      </w:pPr>
      <w:r>
        <w:rPr>
          <w:rFonts w:ascii="Times New Roman" w:cs="Times New Roman" w:eastAsia="Times New Roman" w:hAnsi="Times New Roman"/>
          <w:sz w:val="22"/>
          <w:szCs w:val="22"/>
          <w:color w:val="auto"/>
        </w:rPr>
        <w:t>The terms and conditions of this Award are set forth in this Agreement, the attached Exhibit A, Exhibit B and in the Plan document, a copy of which has been provided to you.</w:t>
      </w:r>
    </w:p>
    <w:p>
      <w:pPr>
        <w:spacing w:after="0" w:line="57" w:lineRule="exact"/>
        <w:rPr>
          <w:sz w:val="20"/>
          <w:szCs w:val="20"/>
          <w:color w:val="auto"/>
        </w:rPr>
      </w:pPr>
    </w:p>
    <w:tbl>
      <w:tblPr>
        <w:tblLayout w:type="fixed"/>
        <w:tblInd w:w="1170" w:type="dxa"/>
        <w:tblCellMar>
          <w:top w:w="0" w:type="dxa"/>
          <w:left w:w="0" w:type="dxa"/>
          <w:bottom w:w="0" w:type="dxa"/>
          <w:right w:w="0" w:type="dxa"/>
        </w:tblCellMar>
      </w:tblPr>
      <w:tr>
        <w:trPr>
          <w:trHeight w:val="256"/>
        </w:trPr>
        <w:tc>
          <w:tcPr>
            <w:tcW w:w="486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Number of Performance-based Restricted Stock Units</w:t>
            </w:r>
          </w:p>
        </w:tc>
        <w:tc>
          <w:tcPr>
            <w:tcW w:w="3740" w:type="dxa"/>
            <w:vAlign w:val="bottom"/>
            <w:tcBorders>
              <w:top w:val="single" w:sz="8" w:color="auto"/>
              <w:right w:val="single" w:sz="8" w:color="auto"/>
            </w:tcBorders>
          </w:tcPr>
          <w:p>
            <w:pPr>
              <w:spacing w:after="0"/>
              <w:rPr>
                <w:sz w:val="22"/>
                <w:szCs w:val="22"/>
                <w:color w:val="auto"/>
              </w:rPr>
            </w:pPr>
          </w:p>
        </w:tc>
      </w:tr>
      <w:tr>
        <w:trPr>
          <w:trHeight w:val="291"/>
        </w:trPr>
        <w:tc>
          <w:tcPr>
            <w:tcW w:w="48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Granted at Target (the “Units”):</w:t>
            </w:r>
          </w:p>
        </w:tc>
        <w:tc>
          <w:tcPr>
            <w:tcW w:w="3740" w:type="dxa"/>
            <w:vAlign w:val="bottom"/>
            <w:tcBorders>
              <w:bottom w:val="single" w:sz="8" w:color="auto"/>
              <w:right w:val="single" w:sz="8" w:color="auto"/>
            </w:tcBorders>
          </w:tcPr>
          <w:p>
            <w:pPr>
              <w:spacing w:after="0"/>
              <w:rPr>
                <w:sz w:val="24"/>
                <w:szCs w:val="24"/>
                <w:color w:val="auto"/>
              </w:rPr>
            </w:pPr>
          </w:p>
        </w:tc>
      </w:tr>
      <w:tr>
        <w:trPr>
          <w:trHeight w:val="291"/>
        </w:trPr>
        <w:tc>
          <w:tcPr>
            <w:tcW w:w="48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Grant Date:</w:t>
            </w:r>
          </w:p>
        </w:tc>
        <w:tc>
          <w:tcPr>
            <w:tcW w:w="3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August 1, 2020</w:t>
            </w:r>
          </w:p>
        </w:tc>
      </w:tr>
      <w:tr>
        <w:trPr>
          <w:trHeight w:val="243"/>
        </w:trPr>
        <w:tc>
          <w:tcPr>
            <w:tcW w:w="4860" w:type="dxa"/>
            <w:vAlign w:val="bottom"/>
            <w:tcBorders>
              <w:left w:val="single" w:sz="8" w:color="auto"/>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Scheduled Vesting Date:</w:t>
            </w:r>
          </w:p>
        </w:tc>
        <w:tc>
          <w:tcPr>
            <w:tcW w:w="3740" w:type="dxa"/>
            <w:vAlign w:val="bottom"/>
            <w:tcBorders>
              <w:right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rPr>
              <w:t>The date described in Section 2(a) of the</w:t>
            </w:r>
          </w:p>
        </w:tc>
      </w:tr>
      <w:tr>
        <w:trPr>
          <w:trHeight w:val="291"/>
        </w:trPr>
        <w:tc>
          <w:tcPr>
            <w:tcW w:w="4860" w:type="dxa"/>
            <w:vAlign w:val="bottom"/>
            <w:tcBorders>
              <w:left w:val="single" w:sz="8" w:color="auto"/>
              <w:bottom w:val="single" w:sz="8" w:color="auto"/>
              <w:right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Agreement</w:t>
            </w:r>
          </w:p>
        </w:tc>
      </w:tr>
      <w:tr>
        <w:trPr>
          <w:trHeight w:val="243"/>
        </w:trPr>
        <w:tc>
          <w:tcPr>
            <w:tcW w:w="4860" w:type="dxa"/>
            <w:vAlign w:val="bottom"/>
            <w:tcBorders>
              <w:left w:val="single" w:sz="8" w:color="auto"/>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Performance Period:</w:t>
            </w:r>
          </w:p>
        </w:tc>
        <w:tc>
          <w:tcPr>
            <w:tcW w:w="3740" w:type="dxa"/>
            <w:vAlign w:val="bottom"/>
            <w:tcBorders>
              <w:right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rPr>
              <w:t>The performance period will commence</w:t>
            </w:r>
          </w:p>
        </w:tc>
      </w:tr>
      <w:tr>
        <w:trPr>
          <w:trHeight w:val="243"/>
        </w:trPr>
        <w:tc>
          <w:tcPr>
            <w:tcW w:w="4860" w:type="dxa"/>
            <w:vAlign w:val="bottom"/>
            <w:tcBorders>
              <w:left w:val="single" w:sz="8" w:color="auto"/>
              <w:right w:val="single" w:sz="8" w:color="auto"/>
            </w:tcBorders>
          </w:tcPr>
          <w:p>
            <w:pPr>
              <w:spacing w:after="0"/>
              <w:rPr>
                <w:sz w:val="21"/>
                <w:szCs w:val="21"/>
                <w:color w:val="auto"/>
              </w:rPr>
            </w:pPr>
          </w:p>
        </w:tc>
        <w:tc>
          <w:tcPr>
            <w:tcW w:w="3740" w:type="dxa"/>
            <w:vAlign w:val="bottom"/>
            <w:tcBorders>
              <w:right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rPr>
              <w:t>on August 1, 2020 and will end on July</w:t>
            </w:r>
          </w:p>
        </w:tc>
      </w:tr>
      <w:tr>
        <w:trPr>
          <w:trHeight w:val="291"/>
        </w:trPr>
        <w:tc>
          <w:tcPr>
            <w:tcW w:w="4860" w:type="dxa"/>
            <w:vAlign w:val="bottom"/>
            <w:tcBorders>
              <w:left w:val="single" w:sz="8" w:color="auto"/>
              <w:bottom w:val="single" w:sz="8" w:color="auto"/>
              <w:right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31, 2023.</w:t>
            </w:r>
          </w:p>
        </w:tc>
      </w:tr>
      <w:tr>
        <w:trPr>
          <w:trHeight w:val="290"/>
        </w:trPr>
        <w:tc>
          <w:tcPr>
            <w:tcW w:w="48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Performance Goals:</w:t>
            </w:r>
          </w:p>
        </w:tc>
        <w:tc>
          <w:tcPr>
            <w:tcW w:w="3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See Exhibit A</w:t>
            </w:r>
          </w:p>
        </w:tc>
      </w:tr>
    </w:tbl>
    <w:p>
      <w:pPr>
        <w:spacing w:after="0" w:line="378" w:lineRule="exact"/>
        <w:rPr>
          <w:sz w:val="20"/>
          <w:szCs w:val="20"/>
          <w:color w:val="auto"/>
        </w:rPr>
      </w:pPr>
    </w:p>
    <w:p>
      <w:pPr>
        <w:ind w:left="40" w:right="160"/>
        <w:spacing w:after="0" w:line="271" w:lineRule="auto"/>
        <w:rPr>
          <w:sz w:val="20"/>
          <w:szCs w:val="20"/>
          <w:color w:val="auto"/>
        </w:rPr>
      </w:pPr>
      <w:r>
        <w:rPr>
          <w:rFonts w:ascii="Times New Roman" w:cs="Times New Roman" w:eastAsia="Times New Roman" w:hAnsi="Times New Roman"/>
          <w:sz w:val="22"/>
          <w:szCs w:val="22"/>
          <w:color w:val="auto"/>
        </w:rPr>
        <w:t>All terms, provisions and conditions applicable to Performance-based Restricted Stock Unit Awards set forth in the Plan and not set forth in this Agreement are incorporated by reference into this Agreement.</w:t>
      </w:r>
    </w:p>
    <w:p>
      <w:pPr>
        <w:spacing w:after="0" w:line="181" w:lineRule="exact"/>
        <w:rPr>
          <w:sz w:val="20"/>
          <w:szCs w:val="20"/>
          <w:color w:val="auto"/>
        </w:rPr>
      </w:pPr>
    </w:p>
    <w:p>
      <w:pPr>
        <w:ind w:left="680" w:hanging="650"/>
        <w:spacing w:after="0"/>
        <w:tabs>
          <w:tab w:leader="none" w:pos="680" w:val="left"/>
        </w:tabs>
        <w:numPr>
          <w:ilvl w:val="0"/>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Award of Performance Restricted Stock Units</w:t>
      </w:r>
    </w:p>
    <w:p>
      <w:pPr>
        <w:spacing w:after="0" w:line="251" w:lineRule="exact"/>
        <w:rPr>
          <w:sz w:val="20"/>
          <w:szCs w:val="20"/>
          <w:color w:val="auto"/>
        </w:rPr>
      </w:pPr>
    </w:p>
    <w:p>
      <w:pPr>
        <w:jc w:val="both"/>
        <w:ind w:left="640"/>
        <w:spacing w:after="0" w:line="263" w:lineRule="auto"/>
        <w:rPr>
          <w:sz w:val="20"/>
          <w:szCs w:val="20"/>
          <w:color w:val="auto"/>
        </w:rPr>
      </w:pPr>
      <w:r>
        <w:rPr>
          <w:rFonts w:ascii="Times New Roman" w:cs="Times New Roman" w:eastAsia="Times New Roman" w:hAnsi="Times New Roman"/>
          <w:sz w:val="21"/>
          <w:szCs w:val="21"/>
          <w:color w:val="auto"/>
        </w:rPr>
        <w:t>The Corporation hereby confirms the grant to you, as of the Grant Date and subject to the terms and conditions of this Agreement and the Plan, of the number of Performance Restricted Stock Units identified in the table above (the "Units"). Each Unit represents the right to receive one Share of the Corporation’s Class A Nonvoting Common Stock of the Corporation, $.01 par value. The Units granted to you will be credited to an account in your name maintained by the Corporation. This account shall be unfunded and maintained for bookkeeping purposes only, with the Units simply representing an unfunded and unsecured obligation of the Corporation until they become vested or have been forfeited.</w:t>
      </w:r>
    </w:p>
    <w:p>
      <w:pPr>
        <w:spacing w:after="0" w:line="190" w:lineRule="exact"/>
        <w:rPr>
          <w:sz w:val="20"/>
          <w:szCs w:val="20"/>
          <w:color w:val="auto"/>
        </w:rPr>
      </w:pPr>
    </w:p>
    <w:p>
      <w:pPr>
        <w:ind w:left="680" w:hanging="650"/>
        <w:spacing w:after="0"/>
        <w:tabs>
          <w:tab w:leader="none" w:pos="680" w:val="left"/>
        </w:tabs>
        <w:numPr>
          <w:ilvl w:val="0"/>
          <w:numId w:val="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Vesting and Forfeiture of Units</w:t>
      </w:r>
    </w:p>
    <w:p>
      <w:pPr>
        <w:spacing w:after="0" w:line="264" w:lineRule="exact"/>
        <w:rPr>
          <w:rFonts w:ascii="Times New Roman" w:cs="Times New Roman" w:eastAsia="Times New Roman" w:hAnsi="Times New Roman"/>
          <w:sz w:val="22"/>
          <w:szCs w:val="22"/>
          <w:b w:val="1"/>
          <w:bCs w:val="1"/>
          <w:color w:val="auto"/>
        </w:rPr>
      </w:pPr>
    </w:p>
    <w:p>
      <w:pPr>
        <w:jc w:val="both"/>
        <w:ind w:left="680"/>
        <w:spacing w:after="0" w:line="257"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Units shall vest at the earliest of the following times and to the degree specified. For purposes of this Section 2, use of the terms “employment” and “employed” refers to providing services to the Corporation and its Affiliates in the capacity of an Employee.</w:t>
      </w:r>
    </w:p>
    <w:p>
      <w:pPr>
        <w:sectPr>
          <w:pgSz w:w="11900" w:h="16838" w:orient="portrait"/>
          <w:cols w:equalWidth="0" w:num="1">
            <w:col w:w="11060"/>
          </w:cols>
          <w:pgMar w:left="500" w:top="891" w:right="339" w:bottom="1440" w:gutter="0" w:footer="0" w:header="0"/>
        </w:sectPr>
      </w:pPr>
    </w:p>
    <w:bookmarkStart w:id="111" w:name="page112"/>
    <w:bookmarkEnd w:id="111"/>
    <w:p>
      <w:pPr>
        <w:jc w:val="both"/>
        <w:ind w:left="643" w:hanging="643"/>
        <w:spacing w:after="0" w:line="247" w:lineRule="auto"/>
        <w:tabs>
          <w:tab w:leader="none" w:pos="637" w:val="left"/>
        </w:tabs>
        <w:numPr>
          <w:ilvl w:val="0"/>
          <w:numId w:val="84"/>
        </w:numPr>
        <w:rPr>
          <w:rFonts w:ascii="Arial" w:cs="Arial" w:eastAsia="Arial" w:hAnsi="Arial"/>
          <w:sz w:val="22"/>
          <w:szCs w:val="22"/>
          <w:color w:val="auto"/>
        </w:rPr>
      </w:pPr>
      <w:r>
        <w:rPr>
          <w:rFonts w:ascii="Times New Roman" w:cs="Times New Roman" w:eastAsia="Times New Roman" w:hAnsi="Times New Roman"/>
          <w:sz w:val="22"/>
          <w:szCs w:val="22"/>
          <w:i w:val="1"/>
          <w:iCs w:val="1"/>
          <w:color w:val="auto"/>
        </w:rPr>
        <w:t xml:space="preserve">Scheduled Vesting. </w:t>
      </w:r>
      <w:r>
        <w:rPr>
          <w:rFonts w:ascii="Times New Roman" w:cs="Times New Roman" w:eastAsia="Times New Roman" w:hAnsi="Times New Roman"/>
          <w:sz w:val="22"/>
          <w:szCs w:val="22"/>
          <w:color w:val="auto"/>
        </w:rPr>
        <w:t>The number of Units that have been earned during the Performance Period shall be eligible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vest on the Scheduled Vesting Date, so long as the Employee’s employment has been continuous since the Grant Date. The actual number of earned Units that will vest on the Scheduled Vesting Date will be determined by the Committee as provided in Exhibit A. For these purposes, the “Scheduled Vesting Date” means the date the Committee certifies (i) the degree to which the applicable performance goals for the Performance Period have been satisfied, and (ii) the number of Units that have been earned during the Performance Period as provided in Exhibit A, which certification shall occur no later than October 15 of the fiscal year immediately following the fiscal year during which the Performance Period ended.</w:t>
      </w:r>
    </w:p>
    <w:p>
      <w:pPr>
        <w:spacing w:after="0" w:line="224" w:lineRule="exact"/>
        <w:rPr>
          <w:rFonts w:ascii="Arial" w:cs="Arial" w:eastAsia="Arial" w:hAnsi="Arial"/>
          <w:sz w:val="22"/>
          <w:szCs w:val="22"/>
          <w:color w:val="auto"/>
        </w:rPr>
      </w:pPr>
    </w:p>
    <w:p>
      <w:pPr>
        <w:jc w:val="both"/>
        <w:ind w:left="643" w:hanging="643"/>
        <w:spacing w:after="0" w:line="247" w:lineRule="auto"/>
        <w:tabs>
          <w:tab w:leader="none" w:pos="638"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Retirement. </w:t>
      </w:r>
      <w:r>
        <w:rPr>
          <w:rFonts w:ascii="Times New Roman" w:cs="Times New Roman" w:eastAsia="Times New Roman" w:hAnsi="Times New Roman"/>
          <w:sz w:val="22"/>
          <w:szCs w:val="22"/>
          <w:color w:val="auto"/>
        </w:rPr>
        <w:t>If employment is terminated as a result of the Employee’s retirement (after age 60 with five years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employment with the Corporation or a Subsidiary) and after the Employee has been employed for at least one year after the Grant Date, the Employee will receive a pro rata portion of the Units that would otherwise have been determined to vest on the Scheduled Vesting Date in accordance with Exhibit A if the Employee had remained continuously employed until the Scheduled Vesting Date. The pro rata portion shall be determined as follows: (a) if Employee is employed for at least one year, but less than two years after the Grant Date, the Employee shall earn 2/3 of the number of Units that would otherwise have been determined to vest and (b) if Employee is employed for at least two years after the Grant Date, the Employee shall earn 100% of the Units that would otherwise have been determined to vest.</w:t>
      </w:r>
    </w:p>
    <w:p>
      <w:pPr>
        <w:spacing w:after="0" w:line="208" w:lineRule="exact"/>
        <w:rPr>
          <w:rFonts w:ascii="Times New Roman" w:cs="Times New Roman" w:eastAsia="Times New Roman" w:hAnsi="Times New Roman"/>
          <w:sz w:val="22"/>
          <w:szCs w:val="22"/>
          <w:color w:val="auto"/>
        </w:rPr>
      </w:pPr>
    </w:p>
    <w:p>
      <w:pPr>
        <w:jc w:val="both"/>
        <w:ind w:left="643" w:hanging="643"/>
        <w:spacing w:after="0" w:line="263" w:lineRule="auto"/>
        <w:tabs>
          <w:tab w:leader="none" w:pos="640"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Death. </w:t>
      </w:r>
      <w:r>
        <w:rPr>
          <w:rFonts w:ascii="Times New Roman" w:cs="Times New Roman" w:eastAsia="Times New Roman" w:hAnsi="Times New Roman"/>
          <w:sz w:val="21"/>
          <w:szCs w:val="21"/>
          <w:color w:val="auto"/>
        </w:rPr>
        <w:t>If employment is terminated by the death of the Employee prior to the last day of the Performance Period,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 Units granted hereunder to the Employee shall be 100% vested at target. If employment is terminated by death on or after the last day of the Performance Period, the number of Units determined to have been earned as of the end of the Performance Period in accordance with Exhibit A shall vest. Vested Units shall be payable to the Employee’s personal representative or to the person to whom the Units are transferred under the Employee’s last will and testament or the applicable laws of descent and distribution within 60 days of the Employee's death.</w:t>
      </w:r>
    </w:p>
    <w:p>
      <w:pPr>
        <w:spacing w:after="0" w:line="194" w:lineRule="exact"/>
        <w:rPr>
          <w:rFonts w:ascii="Times New Roman" w:cs="Times New Roman" w:eastAsia="Times New Roman" w:hAnsi="Times New Roman"/>
          <w:sz w:val="21"/>
          <w:szCs w:val="21"/>
          <w:color w:val="auto"/>
        </w:rPr>
      </w:pPr>
    </w:p>
    <w:p>
      <w:pPr>
        <w:jc w:val="both"/>
        <w:ind w:left="643" w:hanging="643"/>
        <w:spacing w:after="0" w:line="251" w:lineRule="auto"/>
        <w:tabs>
          <w:tab w:leader="none" w:pos="638"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Disability. </w:t>
      </w:r>
      <w:r>
        <w:rPr>
          <w:rFonts w:ascii="Times New Roman" w:cs="Times New Roman" w:eastAsia="Times New Roman" w:hAnsi="Times New Roman"/>
          <w:sz w:val="22"/>
          <w:szCs w:val="22"/>
          <w:color w:val="auto"/>
        </w:rPr>
        <w:t>If employment is terminated as a result of the Disability of the Employee prior to the last day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Performance Period, the Units granted hereunder to the Employee shall be 100% vested at target and payable within 60 days of the Employee's Disability. If employment is terminated by Disability on or after the last day of the Performance Period, the number of Units determined to have been earned as of the end of the Performance Period in accordance with Exhibit A shall vest.</w:t>
      </w:r>
    </w:p>
    <w:p>
      <w:pPr>
        <w:spacing w:after="0" w:line="202" w:lineRule="exact"/>
        <w:rPr>
          <w:rFonts w:ascii="Times New Roman" w:cs="Times New Roman" w:eastAsia="Times New Roman" w:hAnsi="Times New Roman"/>
          <w:sz w:val="22"/>
          <w:szCs w:val="22"/>
          <w:color w:val="auto"/>
        </w:rPr>
      </w:pPr>
    </w:p>
    <w:p>
      <w:pPr>
        <w:ind w:left="643" w:right="80" w:hanging="643"/>
        <w:spacing w:after="0" w:line="275" w:lineRule="auto"/>
        <w:tabs>
          <w:tab w:leader="none" w:pos="64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Change in Control. </w:t>
      </w:r>
      <w:r>
        <w:rPr>
          <w:rFonts w:ascii="Times New Roman" w:cs="Times New Roman" w:eastAsia="Times New Roman" w:hAnsi="Times New Roman"/>
          <w:sz w:val="22"/>
          <w:szCs w:val="22"/>
          <w:color w:val="auto"/>
        </w:rPr>
        <w:t>If a Change in Control occurs while the Employee continues to be employed, then the Units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vest as of the Date of the Change in Control to the extent provided below:</w:t>
      </w:r>
    </w:p>
    <w:p>
      <w:pPr>
        <w:spacing w:after="0" w:line="180" w:lineRule="exact"/>
        <w:rPr>
          <w:rFonts w:ascii="Times New Roman" w:cs="Times New Roman" w:eastAsia="Times New Roman" w:hAnsi="Times New Roman"/>
          <w:sz w:val="22"/>
          <w:szCs w:val="22"/>
          <w:color w:val="auto"/>
        </w:rPr>
      </w:pPr>
    </w:p>
    <w:p>
      <w:pPr>
        <w:jc w:val="both"/>
        <w:ind w:left="1303" w:right="80" w:hanging="859"/>
        <w:spacing w:after="0" w:line="257" w:lineRule="auto"/>
        <w:tabs>
          <w:tab w:leader="none" w:pos="1303"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Change in Control occurs on or after the last day of the Performance Period, the number of Units determined to have been earned as of the end of the Performance Period in accordance with Exhibit A shall vest.</w:t>
      </w:r>
    </w:p>
    <w:p>
      <w:pPr>
        <w:sectPr>
          <w:pgSz w:w="11900" w:h="16838" w:orient="portrait"/>
          <w:cols w:equalWidth="0" w:num="1">
            <w:col w:w="10503"/>
          </w:cols>
          <w:pgMar w:left="1057" w:top="891" w:right="339" w:bottom="1440" w:gutter="0" w:footer="0" w:header="0"/>
        </w:sectPr>
      </w:pPr>
    </w:p>
    <w:bookmarkStart w:id="112" w:name="page113"/>
    <w:bookmarkEnd w:id="112"/>
    <w:p>
      <w:pPr>
        <w:ind w:left="1951" w:right="80" w:hanging="918"/>
        <w:spacing w:after="0" w:line="271" w:lineRule="auto"/>
        <w:tabs>
          <w:tab w:leader="none" w:pos="1951" w:val="left"/>
        </w:tabs>
        <w:numPr>
          <w:ilvl w:val="2"/>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 Change in Control prior to the end of the Performance Period, the Units shall become 100% vested at target and the conditions described under Section 2 and Exhibit A shall cease to apply.</w:t>
      </w:r>
    </w:p>
    <w:p>
      <w:pPr>
        <w:spacing w:after="0" w:line="184" w:lineRule="exact"/>
        <w:rPr>
          <w:rFonts w:ascii="Times New Roman" w:cs="Times New Roman" w:eastAsia="Times New Roman" w:hAnsi="Times New Roman"/>
          <w:sz w:val="22"/>
          <w:szCs w:val="22"/>
          <w:color w:val="auto"/>
        </w:rPr>
      </w:pPr>
    </w:p>
    <w:p>
      <w:pPr>
        <w:jc w:val="both"/>
        <w:ind w:left="1951" w:right="80" w:hanging="978"/>
        <w:spacing w:after="0" w:line="257" w:lineRule="auto"/>
        <w:tabs>
          <w:tab w:leader="none" w:pos="1951" w:val="left"/>
        </w:tabs>
        <w:numPr>
          <w:ilvl w:val="2"/>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Award, the term "Change in Control" shall have the meaning set forth in Exhibit B. No event described in Section 13.05 of the Plan shall cause the Units to become vested unless such event is a Change in Control.</w:t>
      </w:r>
    </w:p>
    <w:p>
      <w:pPr>
        <w:spacing w:after="0" w:line="195" w:lineRule="exact"/>
        <w:rPr>
          <w:rFonts w:ascii="Times New Roman" w:cs="Times New Roman" w:eastAsia="Times New Roman" w:hAnsi="Times New Roman"/>
          <w:sz w:val="22"/>
          <w:szCs w:val="22"/>
          <w:color w:val="auto"/>
        </w:rPr>
      </w:pPr>
    </w:p>
    <w:p>
      <w:pPr>
        <w:jc w:val="both"/>
        <w:ind w:left="1291" w:right="120" w:hanging="643"/>
        <w:spacing w:after="0" w:line="259" w:lineRule="auto"/>
        <w:tabs>
          <w:tab w:leader="none" w:pos="1291"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Forfeiture of Unvested Units. </w:t>
      </w:r>
      <w:r>
        <w:rPr>
          <w:rFonts w:ascii="Times New Roman" w:cs="Times New Roman" w:eastAsia="Times New Roman" w:hAnsi="Times New Roman"/>
          <w:sz w:val="22"/>
          <w:szCs w:val="22"/>
          <w:color w:val="auto"/>
        </w:rPr>
        <w:t>If employment is terminated prior to the Scheduled Vesting Date under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circumstances other than as set forth in Sections 2(a) through (e), all unvested Units shall immediately be forfeited.</w:t>
      </w:r>
    </w:p>
    <w:p>
      <w:pPr>
        <w:spacing w:after="0" w:line="193" w:lineRule="exact"/>
        <w:rPr>
          <w:rFonts w:ascii="Times New Roman" w:cs="Times New Roman" w:eastAsia="Times New Roman" w:hAnsi="Times New Roman"/>
          <w:sz w:val="22"/>
          <w:szCs w:val="22"/>
          <w:color w:val="auto"/>
        </w:rPr>
      </w:pPr>
    </w:p>
    <w:p>
      <w:pPr>
        <w:ind w:left="651" w:hanging="651"/>
        <w:spacing w:after="0"/>
        <w:tabs>
          <w:tab w:leader="none" w:pos="651" w:val="left"/>
        </w:tabs>
        <w:numPr>
          <w:ilvl w:val="0"/>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Settlement of Units</w:t>
      </w:r>
    </w:p>
    <w:p>
      <w:pPr>
        <w:spacing w:after="0" w:line="264" w:lineRule="exact"/>
        <w:rPr>
          <w:rFonts w:ascii="Times New Roman" w:cs="Times New Roman" w:eastAsia="Times New Roman" w:hAnsi="Times New Roman"/>
          <w:sz w:val="22"/>
          <w:szCs w:val="22"/>
          <w:b w:val="1"/>
          <w:bCs w:val="1"/>
          <w:color w:val="auto"/>
        </w:rPr>
      </w:pPr>
    </w:p>
    <w:p>
      <w:pPr>
        <w:jc w:val="both"/>
        <w:ind w:left="651"/>
        <w:spacing w:after="0" w:line="246"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After any Units vest pursuant to Appendix A or Section 2 of this Agreement, the Corporation shall, as soon as practicable (but no later than October 15 of the year following the fiscal year in which such Units vest), cause to be issued and delivered to the Employee, or to the Employee’s designated beneficiary or estate in the event of death, one Share in payment and settlement of each vested Unit. Delivery of the Shares shall be effected by the electronic delivery of the Shares to a designated brokerage account, shall be subject to satisfaction of withholding tax obligations as provided in Section 4 and compliance with all applicable legal requirements as provided in Section 13.03 of the Plan, and shall be in complete satisfaction and settlement of such vested Units. The Corporation will pay any original issue or transfer taxes with respect to the issuance and delivery of the Shares to the Employee, and all fees and expenses incurred by it in connection therewith.</w:t>
      </w:r>
    </w:p>
    <w:p>
      <w:pPr>
        <w:spacing w:after="0" w:line="213" w:lineRule="exact"/>
        <w:rPr>
          <w:rFonts w:ascii="Times New Roman" w:cs="Times New Roman" w:eastAsia="Times New Roman" w:hAnsi="Times New Roman"/>
          <w:sz w:val="22"/>
          <w:szCs w:val="22"/>
          <w:b w:val="1"/>
          <w:bCs w:val="1"/>
          <w:color w:val="auto"/>
        </w:rPr>
      </w:pPr>
    </w:p>
    <w:p>
      <w:pPr>
        <w:ind w:left="651" w:hanging="651"/>
        <w:spacing w:after="0"/>
        <w:tabs>
          <w:tab w:leader="none" w:pos="651" w:val="left"/>
        </w:tabs>
        <w:numPr>
          <w:ilvl w:val="0"/>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Withholding Taxes</w:t>
      </w:r>
    </w:p>
    <w:p>
      <w:pPr>
        <w:spacing w:after="0" w:line="250" w:lineRule="exact"/>
        <w:rPr>
          <w:rFonts w:ascii="Times New Roman" w:cs="Times New Roman" w:eastAsia="Times New Roman" w:hAnsi="Times New Roman"/>
          <w:sz w:val="22"/>
          <w:szCs w:val="22"/>
          <w:b w:val="1"/>
          <w:bCs w:val="1"/>
          <w:color w:val="auto"/>
        </w:rPr>
      </w:pPr>
    </w:p>
    <w:p>
      <w:pPr>
        <w:jc w:val="both"/>
        <w:ind w:left="651"/>
        <w:spacing w:after="0" w:line="246"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Corporation may require, as a condition to the issuance of a stock certificate, that the Employee concurrently pay to the Corporation (either in cash or, at the request of Employee, but subject to such rules and regulations as the Administrator may adopt from time to time, in Shares of Delivered Stock) the entire amount or a portion of any taxes which the Corporation is required to withhold by reason of the vesting or settlement of the Units, in such amount as the Administrator or the Corporation in its discretion may determine. If and to the extent that withholding of any federal, state or local tax is required in connection with the vesting or settlement of the Units, the Employee may, subject to such rules and regulations as the Corporation may adopt from time to time, elect to have the Corporation hold back from the Shares to be issued upon the vesting or settlement of the Units, Shares, the Fair Market Value of which is to be applied to the Employee's withholding obligations; provided that the Shares withheld may not have a Fair Market Value exceeding the maximum statutory tax rates in the Employee’s applicable jurisdictions.</w:t>
      </w:r>
    </w:p>
    <w:p>
      <w:pPr>
        <w:spacing w:after="0" w:line="210" w:lineRule="exact"/>
        <w:rPr>
          <w:rFonts w:ascii="Times New Roman" w:cs="Times New Roman" w:eastAsia="Times New Roman" w:hAnsi="Times New Roman"/>
          <w:sz w:val="22"/>
          <w:szCs w:val="22"/>
          <w:b w:val="1"/>
          <w:bCs w:val="1"/>
          <w:color w:val="auto"/>
        </w:rPr>
      </w:pPr>
    </w:p>
    <w:p>
      <w:pPr>
        <w:ind w:left="651" w:hanging="651"/>
        <w:spacing w:after="0"/>
        <w:tabs>
          <w:tab w:leader="none" w:pos="651" w:val="left"/>
        </w:tabs>
        <w:numPr>
          <w:ilvl w:val="0"/>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Dividends</w:t>
      </w:r>
    </w:p>
    <w:p>
      <w:pPr>
        <w:spacing w:after="0" w:line="304" w:lineRule="exact"/>
        <w:rPr>
          <w:rFonts w:ascii="Times New Roman" w:cs="Times New Roman" w:eastAsia="Times New Roman" w:hAnsi="Times New Roman"/>
          <w:sz w:val="22"/>
          <w:szCs w:val="22"/>
          <w:b w:val="1"/>
          <w:bCs w:val="1"/>
          <w:color w:val="auto"/>
        </w:rPr>
      </w:pPr>
    </w:p>
    <w:p>
      <w:pPr>
        <w:ind w:left="651"/>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 dividends will be paid or accrued on any Performance-based Restricted Stock Units prior to the issuance of Shares.</w:t>
      </w:r>
    </w:p>
    <w:p>
      <w:pPr>
        <w:sectPr>
          <w:pgSz w:w="11900" w:h="16838" w:orient="portrait"/>
          <w:cols w:equalWidth="0" w:num="1">
            <w:col w:w="11151"/>
          </w:cols>
          <w:pgMar w:left="409" w:top="895" w:right="339" w:bottom="1440" w:gutter="0" w:footer="0" w:header="0"/>
        </w:sectPr>
      </w:pPr>
    </w:p>
    <w:bookmarkStart w:id="113" w:name="page114"/>
    <w:bookmarkEnd w:id="113"/>
    <w:p>
      <w:pPr>
        <w:ind w:left="651" w:hanging="651"/>
        <w:spacing w:after="0"/>
        <w:tabs>
          <w:tab w:leader="none" w:pos="651" w:val="left"/>
        </w:tabs>
        <w:numPr>
          <w:ilvl w:val="0"/>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Shareholder Rights</w:t>
      </w:r>
    </w:p>
    <w:p>
      <w:pPr>
        <w:spacing w:after="0" w:line="250" w:lineRule="exact"/>
        <w:rPr>
          <w:rFonts w:ascii="Times New Roman" w:cs="Times New Roman" w:eastAsia="Times New Roman" w:hAnsi="Times New Roman"/>
          <w:sz w:val="22"/>
          <w:szCs w:val="22"/>
          <w:b w:val="1"/>
          <w:bCs w:val="1"/>
          <w:color w:val="auto"/>
        </w:rPr>
      </w:pPr>
    </w:p>
    <w:p>
      <w:pPr>
        <w:jc w:val="both"/>
        <w:ind w:left="651"/>
        <w:spacing w:after="0" w:line="252"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Units subject to this Award do not entitle the Employee to any rights of a shareholder of the Corporation’s Class A Nonvoting Common Stock. The Employee will not have any of the rights of a shareholder of the Corporation in connection with the grant of Units subject to this Agreement unless and until Shares are issued to the Employee upon settlement of the Units as provided in Section 3.</w:t>
      </w:r>
    </w:p>
    <w:p>
      <w:pPr>
        <w:spacing w:after="0" w:line="215" w:lineRule="exact"/>
        <w:rPr>
          <w:rFonts w:ascii="Times New Roman" w:cs="Times New Roman" w:eastAsia="Times New Roman" w:hAnsi="Times New Roman"/>
          <w:sz w:val="22"/>
          <w:szCs w:val="22"/>
          <w:b w:val="1"/>
          <w:bCs w:val="1"/>
          <w:color w:val="auto"/>
        </w:rPr>
      </w:pPr>
    </w:p>
    <w:p>
      <w:pPr>
        <w:ind w:left="651" w:hanging="651"/>
        <w:spacing w:after="0"/>
        <w:tabs>
          <w:tab w:leader="none" w:pos="651" w:val="left"/>
        </w:tabs>
        <w:numPr>
          <w:ilvl w:val="0"/>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Transfer Restrictions</w:t>
      </w:r>
    </w:p>
    <w:p>
      <w:pPr>
        <w:spacing w:after="0" w:line="250" w:lineRule="exact"/>
        <w:rPr>
          <w:rFonts w:ascii="Times New Roman" w:cs="Times New Roman" w:eastAsia="Times New Roman" w:hAnsi="Times New Roman"/>
          <w:sz w:val="22"/>
          <w:szCs w:val="22"/>
          <w:b w:val="1"/>
          <w:bCs w:val="1"/>
          <w:color w:val="auto"/>
        </w:rPr>
      </w:pPr>
    </w:p>
    <w:p>
      <w:pPr>
        <w:jc w:val="both"/>
        <w:ind w:left="651"/>
        <w:spacing w:after="0" w:line="275"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This Award is non-transferable and may not be assigned, pledged or hypothecated and shall not be subject to execution, attachment or similar process. Upon any attempt to effect any such disposition, or upon the levy of any such process, the Award shall immediately become null and void and the Performance-based Restricted Stock Units shall be forfeited.</w:t>
      </w:r>
    </w:p>
    <w:p>
      <w:pPr>
        <w:spacing w:after="0" w:line="178" w:lineRule="exact"/>
        <w:rPr>
          <w:rFonts w:ascii="Times New Roman" w:cs="Times New Roman" w:eastAsia="Times New Roman" w:hAnsi="Times New Roman"/>
          <w:sz w:val="22"/>
          <w:szCs w:val="22"/>
          <w:b w:val="1"/>
          <w:bCs w:val="1"/>
          <w:color w:val="auto"/>
        </w:rPr>
      </w:pPr>
    </w:p>
    <w:p>
      <w:pPr>
        <w:ind w:left="651" w:hanging="651"/>
        <w:spacing w:after="0"/>
        <w:tabs>
          <w:tab w:leader="none" w:pos="651" w:val="left"/>
        </w:tabs>
        <w:numPr>
          <w:ilvl w:val="0"/>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Confidentiality, Non-Solicitation and Non-Compete</w:t>
      </w:r>
    </w:p>
    <w:p>
      <w:pPr>
        <w:spacing w:after="0" w:line="318" w:lineRule="exact"/>
        <w:rPr>
          <w:rFonts w:ascii="Times New Roman" w:cs="Times New Roman" w:eastAsia="Times New Roman" w:hAnsi="Times New Roman"/>
          <w:sz w:val="22"/>
          <w:szCs w:val="22"/>
          <w:b w:val="1"/>
          <w:bCs w:val="1"/>
          <w:color w:val="auto"/>
        </w:rPr>
      </w:pPr>
    </w:p>
    <w:p>
      <w:pPr>
        <w:ind w:left="651"/>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As consideration for the grant of this Award, Employee agrees to, understands and acknowledges the following:</w:t>
      </w:r>
    </w:p>
    <w:p>
      <w:pPr>
        <w:spacing w:after="0" w:line="260" w:lineRule="exact"/>
        <w:rPr>
          <w:rFonts w:ascii="Times New Roman" w:cs="Times New Roman" w:eastAsia="Times New Roman" w:hAnsi="Times New Roman"/>
          <w:sz w:val="22"/>
          <w:szCs w:val="22"/>
          <w:b w:val="1"/>
          <w:bCs w:val="1"/>
          <w:color w:val="auto"/>
        </w:rPr>
      </w:pPr>
    </w:p>
    <w:p>
      <w:pPr>
        <w:jc w:val="both"/>
        <w:ind w:left="1291" w:hanging="643"/>
        <w:spacing w:after="0" w:line="244" w:lineRule="auto"/>
        <w:tabs>
          <w:tab w:leader="none" w:pos="1288"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Employee's employment with the Corporation and its Affiliates (the "Company"), the Company will provide Employee with Confidential Information relating to the Company, its business and clients, the disclosure or misuse of which would cause severe and irreparable harm to the Company. During Employee’s employment with Company, and for a two (2)-year period thereafter, Employee agrees not to use or disclose Company’s Confidential Information except as necessary in executing Employee’s duties for Company. Employee shall keep Confidential Information constituting a trade secret under applicable law confidential for so long as such information constitutes a trade secret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protection as to trade secrets shall not necessarily expire at the end of the two (2)-year period). Upon the termination of Employee's employment with the Company for any reason, Employee shall immediately return to the Company all documents and materials that contain or constitute Confidential Information, in any form whatsoever, including but not limited to, all copies, abstracts, electronic versions, and summaries thereof. As to any electronically stored copies of Confidential Information, Employee shall contact their supervisor or Company’s General Counsel to discuss the proper method for returning such items. Employee hereby consents and agrees that Company may access any of Employee’s personal computers and other electronic storage devices (including personal phones) and any electronic storage accounts (such as dropbox) so as to allow Company to ascertain the presence of Company’s Confidential Information and how such information has been used by Employee and to remove any such items from such devices and accounts. Employee further agrees that, without the written consent of the Chief Executive Officer of the Corporation or, in the case of the Chief Executive Officer of the Corporation, without the written approval of the Board of Directors of the Corporation, Employee will not disclose, use, copy or duplicate, or otherwise permit the use, disclosure, copying or duplication of any Confidential Information of the Company, other than in connection with the authorized activities conducted in the course of</w:t>
      </w:r>
    </w:p>
    <w:p>
      <w:pPr>
        <w:sectPr>
          <w:pgSz w:w="11900" w:h="16838" w:orient="portrait"/>
          <w:cols w:equalWidth="0" w:num="1">
            <w:col w:w="11151"/>
          </w:cols>
          <w:pgMar w:left="409" w:top="1377" w:right="339" w:bottom="1440" w:gutter="0" w:footer="0" w:header="0"/>
        </w:sectPr>
      </w:pPr>
    </w:p>
    <w:bookmarkStart w:id="114" w:name="page115"/>
    <w:bookmarkEnd w:id="114"/>
    <w:p>
      <w:pPr>
        <w:jc w:val="both"/>
        <w:ind w:left="643"/>
        <w:spacing w:after="0" w:line="250" w:lineRule="auto"/>
        <w:rPr>
          <w:sz w:val="20"/>
          <w:szCs w:val="20"/>
          <w:color w:val="auto"/>
        </w:rPr>
      </w:pPr>
      <w:r>
        <w:rPr>
          <w:rFonts w:ascii="Times New Roman" w:cs="Times New Roman" w:eastAsia="Times New Roman" w:hAnsi="Times New Roman"/>
          <w:sz w:val="22"/>
          <w:szCs w:val="22"/>
          <w:color w:val="auto"/>
        </w:rPr>
        <w:t>Employee's employment with the Company. Employee agrees to take all reasonable steps and precautions to prevent any unauthorized disclosure, use, copying or duplication of Confidential Information. For purposes of this Agreement, Confidential Information means any and all financial, technical, commercial or other information concerning the business and affairs of the Company that is confidential and proprietary to the Company, including without limitation,</w:t>
      </w:r>
    </w:p>
    <w:p>
      <w:pPr>
        <w:spacing w:after="0" w:line="221" w:lineRule="exact"/>
        <w:rPr>
          <w:sz w:val="20"/>
          <w:szCs w:val="20"/>
          <w:color w:val="auto"/>
        </w:rPr>
      </w:pPr>
    </w:p>
    <w:p>
      <w:pPr>
        <w:jc w:val="both"/>
        <w:ind w:left="1303" w:hanging="859"/>
        <w:spacing w:after="0" w:line="257" w:lineRule="auto"/>
        <w:tabs>
          <w:tab w:leader="none" w:pos="1303"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relating to the Company’s past and existing customers and vendors and development of prospective customers and vendors, including specific customer product requirements, pricing arrangements, payments terms, customer lists and other similar information;</w:t>
      </w:r>
    </w:p>
    <w:p>
      <w:pPr>
        <w:spacing w:after="0" w:line="199" w:lineRule="exact"/>
        <w:rPr>
          <w:rFonts w:ascii="Times New Roman" w:cs="Times New Roman" w:eastAsia="Times New Roman" w:hAnsi="Times New Roman"/>
          <w:sz w:val="22"/>
          <w:szCs w:val="22"/>
          <w:color w:val="auto"/>
        </w:rPr>
      </w:pPr>
    </w:p>
    <w:p>
      <w:pPr>
        <w:ind w:left="1303" w:hanging="918"/>
        <w:spacing w:after="0" w:line="271" w:lineRule="auto"/>
        <w:tabs>
          <w:tab w:leader="none" w:pos="1303"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inventions, designs, methods, discoveries, works of authorship, creations, improvements or ideas developed or otherwise produced, acquired or used by the Company;</w:t>
      </w:r>
    </w:p>
    <w:p>
      <w:pPr>
        <w:spacing w:after="0" w:line="184" w:lineRule="exact"/>
        <w:rPr>
          <w:rFonts w:ascii="Times New Roman" w:cs="Times New Roman" w:eastAsia="Times New Roman" w:hAnsi="Times New Roman"/>
          <w:sz w:val="22"/>
          <w:szCs w:val="22"/>
          <w:color w:val="auto"/>
        </w:rPr>
      </w:pPr>
    </w:p>
    <w:p>
      <w:pPr>
        <w:jc w:val="both"/>
        <w:ind w:left="1303" w:hanging="978"/>
        <w:spacing w:after="0" w:line="252" w:lineRule="auto"/>
        <w:tabs>
          <w:tab w:leader="none" w:pos="1303"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proprietary programs, processes or software, consisting of but not limited to, computer programs in source or object code and all related documentation and training materials, including all upgrades, updates, improvements, derivatives and modifications thereof and including programs and documentation in incomplete stages of design or research and development;</w:t>
      </w:r>
    </w:p>
    <w:p>
      <w:pPr>
        <w:spacing w:after="0" w:line="219" w:lineRule="exact"/>
        <w:rPr>
          <w:rFonts w:ascii="Times New Roman" w:cs="Times New Roman" w:eastAsia="Times New Roman" w:hAnsi="Times New Roman"/>
          <w:sz w:val="22"/>
          <w:szCs w:val="22"/>
          <w:color w:val="auto"/>
        </w:rPr>
      </w:pPr>
    </w:p>
    <w:p>
      <w:pPr>
        <w:jc w:val="both"/>
        <w:ind w:left="1303" w:hanging="967"/>
        <w:spacing w:after="0" w:line="275" w:lineRule="auto"/>
        <w:tabs>
          <w:tab w:leader="none" w:pos="1303" w:val="left"/>
        </w:tabs>
        <w:numPr>
          <w:ilvl w:val="1"/>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subject matter of the Company’s patents, design patents, copyrights, trade secrets, trademarks, service marks, trade names, trade dress, manuals, operating instructions, training materials, and other industrial property, including such information in incomplete stages of design or research and development; and</w:t>
      </w:r>
    </w:p>
    <w:p>
      <w:pPr>
        <w:spacing w:after="0" w:line="195" w:lineRule="exact"/>
        <w:rPr>
          <w:rFonts w:ascii="Times New Roman" w:cs="Times New Roman" w:eastAsia="Times New Roman" w:hAnsi="Times New Roman"/>
          <w:sz w:val="21"/>
          <w:szCs w:val="21"/>
          <w:color w:val="auto"/>
        </w:rPr>
      </w:pPr>
    </w:p>
    <w:p>
      <w:pPr>
        <w:jc w:val="both"/>
        <w:ind w:left="1303" w:hanging="906"/>
        <w:spacing w:after="0" w:line="257" w:lineRule="auto"/>
        <w:tabs>
          <w:tab w:leader="none" w:pos="1303"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confidential and proprietary information or documents relating to the Company’s products, business and marketing plans and techniques, sales and distribution networks and any other information or documents which the Company reasonably regards as being confidential.</w:t>
      </w:r>
    </w:p>
    <w:p>
      <w:pPr>
        <w:spacing w:after="0" w:line="199" w:lineRule="exact"/>
        <w:rPr>
          <w:rFonts w:ascii="Times New Roman" w:cs="Times New Roman" w:eastAsia="Times New Roman" w:hAnsi="Times New Roman"/>
          <w:sz w:val="22"/>
          <w:szCs w:val="22"/>
          <w:color w:val="auto"/>
        </w:rPr>
      </w:pPr>
    </w:p>
    <w:p>
      <w:pPr>
        <w:jc w:val="both"/>
        <w:ind w:left="1303" w:hanging="967"/>
        <w:spacing w:after="0" w:line="268" w:lineRule="auto"/>
        <w:tabs>
          <w:tab w:leader="none" w:pos="1303" w:val="left"/>
        </w:tabs>
        <w:numPr>
          <w:ilvl w:val="1"/>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Confidential Information does not include information which: (i) is already available to the public without wrongful act or breach by Employee; (ii) becomes available to the public through no fault of Employee; or (iii) is required to be disclosed pursuant to a court order or order of government authority, provided that Employee promptly notifies Company of such request so Company may seek a protective order.</w:t>
      </w:r>
    </w:p>
    <w:p>
      <w:pPr>
        <w:spacing w:after="0" w:line="190" w:lineRule="exact"/>
        <w:rPr>
          <w:rFonts w:ascii="Times New Roman" w:cs="Times New Roman" w:eastAsia="Times New Roman" w:hAnsi="Times New Roman"/>
          <w:sz w:val="21"/>
          <w:szCs w:val="21"/>
          <w:color w:val="auto"/>
        </w:rPr>
      </w:pPr>
    </w:p>
    <w:p>
      <w:pPr>
        <w:jc w:val="both"/>
        <w:ind w:left="643" w:hanging="643"/>
        <w:spacing w:after="0" w:line="248" w:lineRule="auto"/>
        <w:tabs>
          <w:tab w:leader="none" w:pos="638"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Post-Employment Customer Non-Solicitation Agreement</w:t>
      </w:r>
      <w:r>
        <w:rPr>
          <w:rFonts w:ascii="Times New Roman" w:cs="Times New Roman" w:eastAsia="Times New Roman" w:hAnsi="Times New Roman"/>
          <w:sz w:val="22"/>
          <w:szCs w:val="22"/>
          <w:color w:val="auto"/>
        </w:rPr>
        <w:t xml:space="preserve">. For one (1) year following Employee’s separation from Company, Employee will not </w:t>
      </w:r>
      <w:r>
        <w:rPr>
          <w:rFonts w:ascii="Times New Roman" w:cs="Times New Roman" w:eastAsia="Times New Roman" w:hAnsi="Times New Roman"/>
          <w:sz w:val="22"/>
          <w:szCs w:val="22"/>
          <w:color w:val="252525"/>
        </w:rPr>
        <w:t>contact—or support others in contacting—customers of Company with whom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252525"/>
        </w:rPr>
        <w:t>Employee had business contact during the last two (2) years of Employee’s employment with Company, for the purpose of selling or providing products or services competitive with those offered by Company (“</w:t>
      </w:r>
      <w:r>
        <w:rPr>
          <w:rFonts w:ascii="Times New Roman" w:cs="Times New Roman" w:eastAsia="Times New Roman" w:hAnsi="Times New Roman"/>
          <w:sz w:val="22"/>
          <w:szCs w:val="22"/>
          <w:color w:val="000000"/>
        </w:rPr>
        <w:t>Competitive</w:t>
      </w:r>
      <w:r>
        <w:rPr>
          <w:rFonts w:ascii="Times New Roman" w:cs="Times New Roman" w:eastAsia="Times New Roman" w:hAnsi="Times New Roman"/>
          <w:sz w:val="22"/>
          <w:szCs w:val="22"/>
          <w:color w:val="252525"/>
        </w:rPr>
        <w:t xml:space="preserve"> </w:t>
      </w:r>
      <w:r>
        <w:rPr>
          <w:rFonts w:ascii="Times New Roman" w:cs="Times New Roman" w:eastAsia="Times New Roman" w:hAnsi="Times New Roman"/>
          <w:sz w:val="22"/>
          <w:szCs w:val="22"/>
          <w:color w:val="000000"/>
        </w:rPr>
        <w:t>Products”). “Competitive Products” shall mean products and services competitive with those products and services for which Employee was responsible during the last two (2) years of Employee’s employment with Company.</w:t>
      </w:r>
    </w:p>
    <w:p>
      <w:pPr>
        <w:sectPr>
          <w:pgSz w:w="11900" w:h="16838" w:orient="portrait"/>
          <w:cols w:equalWidth="0" w:num="1">
            <w:col w:w="10503"/>
          </w:cols>
          <w:pgMar w:left="1057" w:top="895" w:right="339" w:bottom="1440" w:gutter="0" w:footer="0" w:header="0"/>
        </w:sectPr>
      </w:pPr>
    </w:p>
    <w:bookmarkStart w:id="115" w:name="page116"/>
    <w:bookmarkEnd w:id="115"/>
    <w:p>
      <w:pPr>
        <w:jc w:val="both"/>
        <w:ind w:left="643" w:hanging="643"/>
        <w:spacing w:after="0" w:line="248" w:lineRule="auto"/>
        <w:tabs>
          <w:tab w:leader="none" w:pos="64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Post-Employment Non-Solicitation Agreement Based Upon Customer Knowledge</w:t>
      </w:r>
      <w:r>
        <w:rPr>
          <w:rFonts w:ascii="Times New Roman" w:cs="Times New Roman" w:eastAsia="Times New Roman" w:hAnsi="Times New Roman"/>
          <w:sz w:val="22"/>
          <w:szCs w:val="22"/>
          <w:color w:val="auto"/>
        </w:rPr>
        <w:t xml:space="preserve">. For one (1) year following Employee’s separation from Company, Employee will not </w:t>
      </w:r>
      <w:r>
        <w:rPr>
          <w:rFonts w:ascii="Times New Roman" w:cs="Times New Roman" w:eastAsia="Times New Roman" w:hAnsi="Times New Roman"/>
          <w:sz w:val="22"/>
          <w:szCs w:val="22"/>
          <w:color w:val="252525"/>
        </w:rPr>
        <w:t>contact—or support others in contacting—customers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252525"/>
        </w:rPr>
        <w:t xml:space="preserve">of Company about whom Employee possesses Confidential Information or for whom Employee supervised others in serving during the last two (2) years of Employee’s employment with Company, for the purpose of selling or providing </w:t>
      </w:r>
      <w:r>
        <w:rPr>
          <w:rFonts w:ascii="Times New Roman" w:cs="Times New Roman" w:eastAsia="Times New Roman" w:hAnsi="Times New Roman"/>
          <w:sz w:val="22"/>
          <w:szCs w:val="22"/>
          <w:color w:val="000000"/>
        </w:rPr>
        <w:t>products or services competitive with those offered by Company (“Competitive Products”).</w:t>
      </w:r>
      <w:r>
        <w:rPr>
          <w:rFonts w:ascii="Times New Roman" w:cs="Times New Roman" w:eastAsia="Times New Roman" w:hAnsi="Times New Roman"/>
          <w:sz w:val="22"/>
          <w:szCs w:val="22"/>
          <w:color w:val="252525"/>
        </w:rPr>
        <w:t xml:space="preserve"> </w:t>
      </w:r>
      <w:r>
        <w:rPr>
          <w:rFonts w:ascii="Times New Roman" w:cs="Times New Roman" w:eastAsia="Times New Roman" w:hAnsi="Times New Roman"/>
          <w:sz w:val="22"/>
          <w:szCs w:val="22"/>
          <w:color w:val="000000"/>
        </w:rPr>
        <w:t>“Competitive Products” shall mean products and services competitive with those products and services for which Employee was responsible during the last two (2) years of Employee’s employment with Company.</w:t>
      </w:r>
    </w:p>
    <w:p>
      <w:pPr>
        <w:spacing w:after="0" w:line="208" w:lineRule="exact"/>
        <w:rPr>
          <w:rFonts w:ascii="Times New Roman" w:cs="Times New Roman" w:eastAsia="Times New Roman" w:hAnsi="Times New Roman"/>
          <w:sz w:val="22"/>
          <w:szCs w:val="22"/>
          <w:color w:val="auto"/>
        </w:rPr>
      </w:pPr>
    </w:p>
    <w:p>
      <w:pPr>
        <w:jc w:val="both"/>
        <w:ind w:left="643" w:hanging="643"/>
        <w:spacing w:after="0" w:line="247" w:lineRule="auto"/>
        <w:tabs>
          <w:tab w:leader="none" w:pos="638"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252525"/>
        </w:rPr>
        <w:t>Post-Employment Non-Compete Agreement</w:t>
      </w:r>
      <w:r>
        <w:rPr>
          <w:rFonts w:ascii="Times New Roman" w:cs="Times New Roman" w:eastAsia="Times New Roman" w:hAnsi="Times New Roman"/>
          <w:sz w:val="22"/>
          <w:szCs w:val="22"/>
          <w:color w:val="252525"/>
        </w:rPr>
        <w:t>. For one (1) year following Employee’s separation from Company, Employee will not, directly or indirectly, within the United States, provide services similar to any of those Employee provided to Company during the last two (2) years of Employee’s employment with Company to a competitor of Company or a person or entity preparing to compete with Company. If Employee’s services to Company at all times during their last two (2) years of employment were limited to particular subsidiaries or affiliates (Tricor Direct, Inc., Precision Dynamics Corporation, etc.) or divisions (WPS, IDS, PDC, etc.), then the term “competitor” as used in this paragraph will be limited to competitors of all such subsidiaries, affiliates, and divisions.</w:t>
      </w:r>
    </w:p>
    <w:p>
      <w:pPr>
        <w:spacing w:after="0" w:line="212" w:lineRule="exact"/>
        <w:rPr>
          <w:rFonts w:ascii="Times New Roman" w:cs="Times New Roman" w:eastAsia="Times New Roman" w:hAnsi="Times New Roman"/>
          <w:sz w:val="22"/>
          <w:szCs w:val="22"/>
          <w:color w:val="auto"/>
        </w:rPr>
      </w:pPr>
    </w:p>
    <w:p>
      <w:pPr>
        <w:jc w:val="both"/>
        <w:ind w:left="643" w:hanging="643"/>
        <w:spacing w:after="0" w:line="250" w:lineRule="auto"/>
        <w:tabs>
          <w:tab w:leader="none" w:pos="640" w:val="left"/>
        </w:tabs>
        <w:numPr>
          <w:ilvl w:val="0"/>
          <w:numId w:val="91"/>
        </w:numPr>
        <w:rPr>
          <w:rFonts w:ascii="Times New Roman" w:cs="Times New Roman" w:eastAsia="Times New Roman" w:hAnsi="Times New Roman"/>
          <w:sz w:val="22"/>
          <w:szCs w:val="22"/>
          <w:color w:val="252525"/>
        </w:rPr>
      </w:pPr>
      <w:r>
        <w:rPr>
          <w:rFonts w:ascii="Times New Roman" w:cs="Times New Roman" w:eastAsia="Times New Roman" w:hAnsi="Times New Roman"/>
          <w:sz w:val="22"/>
          <w:szCs w:val="22"/>
          <w:u w:val="single" w:color="auto"/>
          <w:color w:val="252525"/>
        </w:rPr>
        <w:t>Post-Employment Restriction on Working With Competitive Products</w:t>
      </w:r>
      <w:r>
        <w:rPr>
          <w:rFonts w:ascii="Times New Roman" w:cs="Times New Roman" w:eastAsia="Times New Roman" w:hAnsi="Times New Roman"/>
          <w:sz w:val="22"/>
          <w:szCs w:val="22"/>
          <w:color w:val="252525"/>
        </w:rPr>
        <w:t>. For one (1) year following Employee’s separation from Company, Employee will not, work in the development, design, modification, improvement, or creation of products or services competitive with any products or services with which Employee was involved in the development, design, modification, improvement or creation for Company during the last two (2) years of Employee’s employment.</w:t>
      </w:r>
    </w:p>
    <w:p>
      <w:pPr>
        <w:spacing w:after="0" w:line="207" w:lineRule="exact"/>
        <w:rPr>
          <w:rFonts w:ascii="Times New Roman" w:cs="Times New Roman" w:eastAsia="Times New Roman" w:hAnsi="Times New Roman"/>
          <w:sz w:val="22"/>
          <w:szCs w:val="22"/>
          <w:color w:val="252525"/>
        </w:rPr>
      </w:pPr>
    </w:p>
    <w:p>
      <w:pPr>
        <w:jc w:val="both"/>
        <w:ind w:left="643" w:hanging="643"/>
        <w:spacing w:after="0" w:line="257" w:lineRule="auto"/>
        <w:tabs>
          <w:tab w:leader="none" w:pos="643" w:val="left"/>
        </w:tabs>
        <w:numPr>
          <w:ilvl w:val="0"/>
          <w:numId w:val="91"/>
        </w:numPr>
        <w:rPr>
          <w:rFonts w:ascii="Times New Roman" w:cs="Times New Roman" w:eastAsia="Times New Roman" w:hAnsi="Times New Roman"/>
          <w:sz w:val="22"/>
          <w:szCs w:val="22"/>
          <w:color w:val="252525"/>
        </w:rPr>
      </w:pPr>
      <w:r>
        <w:rPr>
          <w:rFonts w:ascii="Times New Roman" w:cs="Times New Roman" w:eastAsia="Times New Roman" w:hAnsi="Times New Roman"/>
          <w:sz w:val="22"/>
          <w:szCs w:val="22"/>
          <w:u w:val="single" w:color="auto"/>
          <w:color w:val="252525"/>
        </w:rPr>
        <w:t>Post-Employment Restriction on Advising Investors</w:t>
      </w:r>
      <w:r>
        <w:rPr>
          <w:rFonts w:ascii="Times New Roman" w:cs="Times New Roman" w:eastAsia="Times New Roman" w:hAnsi="Times New Roman"/>
          <w:sz w:val="22"/>
          <w:szCs w:val="22"/>
          <w:color w:val="252525"/>
        </w:rPr>
        <w:t>. For one (1) year following Employee’s separation from Company, Employee will not, directly or indirectly, advise a private equity firm or other investor regarding buying, investing in, or divesting from Company or any of its competitors.</w:t>
      </w:r>
    </w:p>
    <w:p>
      <w:pPr>
        <w:spacing w:after="0" w:line="199" w:lineRule="exact"/>
        <w:rPr>
          <w:rFonts w:ascii="Times New Roman" w:cs="Times New Roman" w:eastAsia="Times New Roman" w:hAnsi="Times New Roman"/>
          <w:sz w:val="22"/>
          <w:szCs w:val="22"/>
          <w:color w:val="252525"/>
        </w:rPr>
      </w:pPr>
    </w:p>
    <w:p>
      <w:pPr>
        <w:jc w:val="both"/>
        <w:ind w:left="643" w:hanging="643"/>
        <w:spacing w:after="0" w:line="248" w:lineRule="auto"/>
        <w:tabs>
          <w:tab w:leader="none" w:pos="638" w:val="left"/>
        </w:tabs>
        <w:numPr>
          <w:ilvl w:val="0"/>
          <w:numId w:val="91"/>
        </w:numPr>
        <w:rPr>
          <w:rFonts w:ascii="Times New Roman" w:cs="Times New Roman" w:eastAsia="Times New Roman" w:hAnsi="Times New Roman"/>
          <w:sz w:val="22"/>
          <w:szCs w:val="22"/>
          <w:color w:val="252525"/>
        </w:rPr>
      </w:pPr>
      <w:r>
        <w:rPr>
          <w:rFonts w:ascii="Times New Roman" w:cs="Times New Roman" w:eastAsia="Times New Roman" w:hAnsi="Times New Roman"/>
          <w:sz w:val="22"/>
          <w:szCs w:val="22"/>
          <w:u w:val="single" w:color="auto"/>
          <w:color w:val="252525"/>
        </w:rPr>
        <w:t>Post-Employment Restriction on Soliciting Employees</w:t>
      </w:r>
      <w:r>
        <w:rPr>
          <w:rFonts w:ascii="Times New Roman" w:cs="Times New Roman" w:eastAsia="Times New Roman" w:hAnsi="Times New Roman"/>
          <w:sz w:val="22"/>
          <w:szCs w:val="22"/>
          <w:color w:val="252525"/>
        </w:rPr>
        <w:t>. For one (1) year following Employee’s separation from Company, Employee will not solicit or encourage Key Employees of Company to provide services to a competitor of Company or to otherwise terminate their relationship with Company. “Key Employees” are employees or contractors whom Employee supervised, who supervised Employee, or with whom Employee had significant business contact during Employee’s last year of employment with Company and who work for or serve Company as an engineer, manager, executive, sales employee, professional, or director.</w:t>
      </w:r>
    </w:p>
    <w:p>
      <w:pPr>
        <w:spacing w:after="0" w:line="213" w:lineRule="exact"/>
        <w:rPr>
          <w:rFonts w:ascii="Times New Roman" w:cs="Times New Roman" w:eastAsia="Times New Roman" w:hAnsi="Times New Roman"/>
          <w:sz w:val="22"/>
          <w:szCs w:val="22"/>
          <w:color w:val="252525"/>
        </w:rPr>
      </w:pPr>
    </w:p>
    <w:p>
      <w:pPr>
        <w:jc w:val="both"/>
        <w:ind w:left="643" w:hanging="643"/>
        <w:spacing w:after="0" w:line="248" w:lineRule="auto"/>
        <w:tabs>
          <w:tab w:leader="none" w:pos="638" w:val="left"/>
        </w:tabs>
        <w:numPr>
          <w:ilvl w:val="0"/>
          <w:numId w:val="91"/>
        </w:numPr>
        <w:rPr>
          <w:rFonts w:ascii="Times New Roman" w:cs="Times New Roman" w:eastAsia="Times New Roman" w:hAnsi="Times New Roman"/>
          <w:sz w:val="22"/>
          <w:szCs w:val="22"/>
          <w:color w:val="252525"/>
        </w:rPr>
      </w:pPr>
      <w:r>
        <w:rPr>
          <w:rFonts w:ascii="Times New Roman" w:cs="Times New Roman" w:eastAsia="Times New Roman" w:hAnsi="Times New Roman"/>
          <w:sz w:val="22"/>
          <w:szCs w:val="22"/>
          <w:u w:val="single" w:color="auto"/>
          <w:color w:val="252525"/>
        </w:rPr>
        <w:t>Duty of Loyalty and Related Obligations</w:t>
      </w:r>
      <w:r>
        <w:rPr>
          <w:rFonts w:ascii="Times New Roman" w:cs="Times New Roman" w:eastAsia="Times New Roman" w:hAnsi="Times New Roman"/>
          <w:sz w:val="22"/>
          <w:szCs w:val="22"/>
          <w:color w:val="252525"/>
        </w:rPr>
        <w:t>. Employee acknowledges and agrees that Employee owes Company a duty of loyalty while employed by Company. During Employee’s employment with Company, Employee agrees not to take action that will harm Company, such as, encouraging employees, vendors, suppliers, contractors, or customers to terminate their relationships with Company, usurping a business opportunity from Company, engaging in conduct that would injure Company’s reputation, providing services or assistance to a competitive enterprise, or otherwise competing with Company.</w:t>
      </w:r>
    </w:p>
    <w:p>
      <w:pPr>
        <w:sectPr>
          <w:pgSz w:w="11900" w:h="16838" w:orient="portrait"/>
          <w:cols w:equalWidth="0" w:num="1">
            <w:col w:w="10503"/>
          </w:cols>
          <w:pgMar w:left="1057" w:top="895" w:right="339" w:bottom="1440" w:gutter="0" w:footer="0" w:header="0"/>
        </w:sectPr>
      </w:pPr>
    </w:p>
    <w:bookmarkStart w:id="116" w:name="page117"/>
    <w:bookmarkEnd w:id="116"/>
    <w:p>
      <w:pPr>
        <w:jc w:val="both"/>
        <w:ind w:left="1291" w:hanging="643"/>
        <w:spacing w:after="0" w:line="252" w:lineRule="auto"/>
        <w:tabs>
          <w:tab w:leader="none" w:pos="1279" w:val="left"/>
        </w:tabs>
        <w:numPr>
          <w:ilvl w:val="1"/>
          <w:numId w:val="92"/>
        </w:numPr>
        <w:rPr>
          <w:rFonts w:ascii="Times New Roman" w:cs="Times New Roman" w:eastAsia="Times New Roman" w:hAnsi="Times New Roman"/>
          <w:sz w:val="22"/>
          <w:szCs w:val="22"/>
          <w:color w:val="252525"/>
        </w:rPr>
      </w:pPr>
      <w:r>
        <w:rPr>
          <w:rFonts w:ascii="Times New Roman" w:cs="Times New Roman" w:eastAsia="Times New Roman" w:hAnsi="Times New Roman"/>
          <w:sz w:val="22"/>
          <w:szCs w:val="22"/>
          <w:u w:val="single" w:color="auto"/>
          <w:color w:val="252525"/>
        </w:rPr>
        <w:t>Non-Disparagement and Social Media</w:t>
      </w:r>
      <w:r>
        <w:rPr>
          <w:rFonts w:ascii="Times New Roman" w:cs="Times New Roman" w:eastAsia="Times New Roman" w:hAnsi="Times New Roman"/>
          <w:sz w:val="22"/>
          <w:szCs w:val="22"/>
          <w:color w:val="252525"/>
        </w:rPr>
        <w:t>. Employee agrees not to disparage Company or any of its officers, directors, or employees on social media, on any public platform, or to persons external to Company when such comments have the potential to harm Company (</w:t>
      </w:r>
      <w:r>
        <w:rPr>
          <w:rFonts w:ascii="Times New Roman" w:cs="Times New Roman" w:eastAsia="Times New Roman" w:hAnsi="Times New Roman"/>
          <w:sz w:val="22"/>
          <w:szCs w:val="22"/>
          <w:i w:val="1"/>
          <w:iCs w:val="1"/>
          <w:color w:val="252525"/>
        </w:rPr>
        <w:t>i.e.</w:t>
      </w:r>
      <w:r>
        <w:rPr>
          <w:rFonts w:ascii="Times New Roman" w:cs="Times New Roman" w:eastAsia="Times New Roman" w:hAnsi="Times New Roman"/>
          <w:sz w:val="22"/>
          <w:szCs w:val="22"/>
          <w:color w:val="252525"/>
        </w:rPr>
        <w:t>, making disparaging comments about Company to distributors, customers, suppliers, etc.).</w:t>
      </w:r>
    </w:p>
    <w:p>
      <w:pPr>
        <w:spacing w:after="0" w:line="206" w:lineRule="exact"/>
        <w:rPr>
          <w:rFonts w:ascii="Times New Roman" w:cs="Times New Roman" w:eastAsia="Times New Roman" w:hAnsi="Times New Roman"/>
          <w:sz w:val="22"/>
          <w:szCs w:val="22"/>
          <w:color w:val="252525"/>
        </w:rPr>
      </w:pPr>
    </w:p>
    <w:p>
      <w:pPr>
        <w:jc w:val="both"/>
        <w:ind w:left="1291" w:hanging="643"/>
        <w:spacing w:after="0" w:line="257" w:lineRule="auto"/>
        <w:tabs>
          <w:tab w:leader="none" w:pos="1279" w:val="left"/>
        </w:tabs>
        <w:numPr>
          <w:ilvl w:val="1"/>
          <w:numId w:val="92"/>
        </w:numPr>
        <w:rPr>
          <w:rFonts w:ascii="Times New Roman" w:cs="Times New Roman" w:eastAsia="Times New Roman" w:hAnsi="Times New Roman"/>
          <w:sz w:val="22"/>
          <w:szCs w:val="22"/>
          <w:color w:val="252525"/>
        </w:rPr>
      </w:pPr>
      <w:r>
        <w:rPr>
          <w:rFonts w:ascii="Times New Roman" w:cs="Times New Roman" w:eastAsia="Times New Roman" w:hAnsi="Times New Roman"/>
          <w:sz w:val="22"/>
          <w:szCs w:val="22"/>
          <w:u w:val="single" w:color="auto"/>
          <w:color w:val="auto"/>
        </w:rPr>
        <w:t>Other Business Relationships.</w:t>
      </w:r>
      <w:r>
        <w:rPr>
          <w:rFonts w:ascii="Times New Roman" w:cs="Times New Roman" w:eastAsia="Times New Roman" w:hAnsi="Times New Roman"/>
          <w:sz w:val="22"/>
          <w:szCs w:val="22"/>
          <w:color w:val="auto"/>
        </w:rPr>
        <w:t xml:space="preserve"> Employee agrees, for a one (1)-year period following Employee’s separation from Company, not to encourage or advise any vendors, suppliers, or others possessing a business relationship with Company to terminate that relationship or to otherwise modify that relationship to Company’s detriment.</w:t>
      </w:r>
    </w:p>
    <w:p>
      <w:pPr>
        <w:spacing w:after="0" w:line="199" w:lineRule="exact"/>
        <w:rPr>
          <w:rFonts w:ascii="Times New Roman" w:cs="Times New Roman" w:eastAsia="Times New Roman" w:hAnsi="Times New Roman"/>
          <w:sz w:val="22"/>
          <w:szCs w:val="22"/>
          <w:color w:val="252525"/>
        </w:rPr>
      </w:pPr>
    </w:p>
    <w:p>
      <w:pPr>
        <w:jc w:val="both"/>
        <w:ind w:left="1291" w:hanging="643"/>
        <w:spacing w:after="0" w:line="246" w:lineRule="auto"/>
        <w:tabs>
          <w:tab w:leader="none" w:pos="1286"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acknowledges and agrees that compliance with this Section 8 is necessary to protect the Company, and that a breach of any of this Section 8 will result in irreparable and continuing damage to the Company for which there will be no adequate remedy at law. In the event of a breach of this Section 8, or any part thereof, the Company, and its successors and assigns, shall be entitled to injunctive relief and to such other and further relief as is proper under the circumstances. The Company shall institute and prosecute proceedings in any Court of competent jurisdiction either in law or in equity to obtain damages for any such breach of this Section 8, or to enjoin Employee from performing services in breach of Section 8(b) during the term of employment and for a period of 12 months following the termination of employment. Employee hereby agrees to submit to the jurisdiction of any Court of competent jurisdiction in any disputes that arise under this Agreement.</w:t>
      </w:r>
    </w:p>
    <w:p>
      <w:pPr>
        <w:spacing w:after="0" w:line="204" w:lineRule="exact"/>
        <w:rPr>
          <w:rFonts w:ascii="Times New Roman" w:cs="Times New Roman" w:eastAsia="Times New Roman" w:hAnsi="Times New Roman"/>
          <w:sz w:val="22"/>
          <w:szCs w:val="22"/>
          <w:color w:val="auto"/>
        </w:rPr>
      </w:pPr>
    </w:p>
    <w:p>
      <w:pPr>
        <w:jc w:val="both"/>
        <w:ind w:left="1291" w:hanging="643"/>
        <w:spacing w:after="0" w:line="239" w:lineRule="auto"/>
        <w:tabs>
          <w:tab w:leader="none" w:pos="1279"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further agrees that, in the event of a breach of this Section 8, the Corporation may elect to recover all or any part of the value of any amounts previously paid or payable or any Shares (or the value of any Shares) delivered or deliverable to Employee pursuant to any Company bonus program, this Agreement, and any other Company plan or arrangement.</w:t>
      </w:r>
    </w:p>
    <w:p>
      <w:pPr>
        <w:spacing w:after="0" w:line="220" w:lineRule="exact"/>
        <w:rPr>
          <w:rFonts w:ascii="Times New Roman" w:cs="Times New Roman" w:eastAsia="Times New Roman" w:hAnsi="Times New Roman"/>
          <w:sz w:val="22"/>
          <w:szCs w:val="22"/>
          <w:color w:val="auto"/>
        </w:rPr>
      </w:pPr>
    </w:p>
    <w:p>
      <w:pPr>
        <w:ind w:left="1291" w:hanging="643"/>
        <w:spacing w:after="0" w:line="271" w:lineRule="auto"/>
        <w:tabs>
          <w:tab w:leader="none" w:pos="1279"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agrees that the terms of this Section 8 shall survive the termination of Employee's employment with the Company.</w:t>
      </w:r>
    </w:p>
    <w:p>
      <w:pPr>
        <w:spacing w:after="0" w:line="184" w:lineRule="exact"/>
        <w:rPr>
          <w:rFonts w:ascii="Times New Roman" w:cs="Times New Roman" w:eastAsia="Times New Roman" w:hAnsi="Times New Roman"/>
          <w:sz w:val="22"/>
          <w:szCs w:val="22"/>
          <w:color w:val="auto"/>
        </w:rPr>
      </w:pPr>
    </w:p>
    <w:p>
      <w:pPr>
        <w:jc w:val="both"/>
        <w:ind w:left="1291" w:hanging="643"/>
        <w:spacing w:after="0" w:line="250" w:lineRule="auto"/>
        <w:tabs>
          <w:tab w:leader="none" w:pos="1286"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HAS READ THIS SECTION 8 AND AGREES THAT THE CONSIDERATION PROVIDED BY THE CORPORATION IS FAIR AND REASONABLE AND FURTHER AGREES THAT GIVEN THE IMPORTANCE TO THE COMPANY OF ITS CONFIDENTIAL AND PROPRIETARY INFORMATION, THE POST-EMPLOYMENT RESTRICTIONS ON EMPLOYEE'S ACTIVITIES ARE LIKEWISE FAIR AND REASONABLE.</w:t>
      </w:r>
    </w:p>
    <w:p>
      <w:pPr>
        <w:spacing w:after="0" w:line="203" w:lineRule="exact"/>
        <w:rPr>
          <w:rFonts w:ascii="Times New Roman" w:cs="Times New Roman" w:eastAsia="Times New Roman" w:hAnsi="Times New Roman"/>
          <w:sz w:val="22"/>
          <w:szCs w:val="22"/>
          <w:color w:val="auto"/>
        </w:rPr>
      </w:pPr>
    </w:p>
    <w:p>
      <w:pPr>
        <w:ind w:left="651" w:hanging="651"/>
        <w:spacing w:after="0"/>
        <w:tabs>
          <w:tab w:leader="none" w:pos="651"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Clawback</w:t>
      </w:r>
    </w:p>
    <w:p>
      <w:pPr>
        <w:spacing w:after="0" w:line="264" w:lineRule="exact"/>
        <w:rPr>
          <w:rFonts w:ascii="Times New Roman" w:cs="Times New Roman" w:eastAsia="Times New Roman" w:hAnsi="Times New Roman"/>
          <w:sz w:val="22"/>
          <w:szCs w:val="22"/>
          <w:color w:val="auto"/>
        </w:rPr>
      </w:pPr>
    </w:p>
    <w:p>
      <w:pPr>
        <w:jc w:val="both"/>
        <w:ind w:left="651"/>
        <w:spacing w:after="0" w:line="25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Award is subject to the terms of the Corporation's recoupment, clawback or similar policy as it may be in effect from time to time, as well as any similar provisions of applicable law, any of which could in certain circumstances require repayment or forfeiture of Awards or any Shares or other cash or property received with respect to the Awards (including any value received from a disposition of the Shares acquired upon payment of the Awards).</w:t>
      </w:r>
    </w:p>
    <w:p>
      <w:pPr>
        <w:sectPr>
          <w:pgSz w:w="11900" w:h="16838" w:orient="portrait"/>
          <w:cols w:equalWidth="0" w:num="1">
            <w:col w:w="11151"/>
          </w:cols>
          <w:pgMar w:left="409" w:top="1138" w:right="339" w:bottom="1440" w:gutter="0" w:footer="0" w:header="0"/>
        </w:sectPr>
      </w:pPr>
    </w:p>
    <w:bookmarkStart w:id="117" w:name="page118"/>
    <w:bookmarkEnd w:id="117"/>
    <w:p>
      <w:pPr>
        <w:ind w:left="651" w:hanging="651"/>
        <w:spacing w:after="0"/>
        <w:tabs>
          <w:tab w:leader="none" w:pos="651"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Binding Effect</w:t>
      </w:r>
    </w:p>
    <w:p>
      <w:pPr>
        <w:spacing w:after="0" w:line="250" w:lineRule="exact"/>
        <w:rPr>
          <w:rFonts w:ascii="Times New Roman" w:cs="Times New Roman" w:eastAsia="Times New Roman" w:hAnsi="Times New Roman"/>
          <w:sz w:val="22"/>
          <w:szCs w:val="22"/>
          <w:color w:val="auto"/>
        </w:rPr>
      </w:pPr>
    </w:p>
    <w:p>
      <w:pPr>
        <w:ind w:left="651" w:right="120"/>
        <w:spacing w:after="0" w:line="27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will be binding in all respects on heirs, representatives, successors and assigns of the Employee, and on the successors and assigns of the Corporation.</w:t>
      </w:r>
    </w:p>
    <w:p>
      <w:pPr>
        <w:spacing w:after="0" w:line="194" w:lineRule="exact"/>
        <w:rPr>
          <w:rFonts w:ascii="Times New Roman" w:cs="Times New Roman" w:eastAsia="Times New Roman" w:hAnsi="Times New Roman"/>
          <w:sz w:val="22"/>
          <w:szCs w:val="22"/>
          <w:color w:val="auto"/>
        </w:rPr>
      </w:pPr>
    </w:p>
    <w:p>
      <w:pPr>
        <w:ind w:left="631" w:hanging="631"/>
        <w:spacing w:after="0"/>
        <w:tabs>
          <w:tab w:leader="none" w:pos="631"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Provisions of Plan Controlling</w:t>
      </w:r>
    </w:p>
    <w:p>
      <w:pPr>
        <w:spacing w:after="0" w:line="250" w:lineRule="exact"/>
        <w:rPr>
          <w:rFonts w:ascii="Times New Roman" w:cs="Times New Roman" w:eastAsia="Times New Roman" w:hAnsi="Times New Roman"/>
          <w:sz w:val="22"/>
          <w:szCs w:val="22"/>
          <w:color w:val="auto"/>
        </w:rPr>
      </w:pPr>
    </w:p>
    <w:p>
      <w:pPr>
        <w:jc w:val="both"/>
        <w:ind w:left="651"/>
        <w:spacing w:after="0" w:line="25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Award is subject in all respects to the provisions of the Plan. In the event of any conflict between any provisions of this Award and the provisions of the Plan, the provisions of the Plan shall control, except to the extent the Plan permits the Committee to modify the terms of an Award grant and has done so herein. Terms defined in the Plan where used herein shall have the meanings as so defined. Employee acknowledges receipt of a copy of the Plan.</w:t>
      </w:r>
    </w:p>
    <w:p>
      <w:pPr>
        <w:spacing w:after="0" w:line="202" w:lineRule="exact"/>
        <w:rPr>
          <w:rFonts w:ascii="Times New Roman" w:cs="Times New Roman" w:eastAsia="Times New Roman" w:hAnsi="Times New Roman"/>
          <w:sz w:val="22"/>
          <w:szCs w:val="22"/>
          <w:color w:val="auto"/>
        </w:rPr>
      </w:pPr>
    </w:p>
    <w:p>
      <w:pPr>
        <w:ind w:left="651" w:hanging="651"/>
        <w:spacing w:after="0"/>
        <w:tabs>
          <w:tab w:leader="none" w:pos="651"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Wisconsin Contract</w:t>
      </w:r>
    </w:p>
    <w:p>
      <w:pPr>
        <w:spacing w:after="0" w:line="250" w:lineRule="exact"/>
        <w:rPr>
          <w:rFonts w:ascii="Times New Roman" w:cs="Times New Roman" w:eastAsia="Times New Roman" w:hAnsi="Times New Roman"/>
          <w:sz w:val="22"/>
          <w:szCs w:val="22"/>
          <w:color w:val="auto"/>
        </w:rPr>
      </w:pPr>
    </w:p>
    <w:p>
      <w:pPr>
        <w:ind w:left="651"/>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Award has been granted in Wisconsin and shall be construed under the laws of that state.</w:t>
      </w:r>
    </w:p>
    <w:p>
      <w:pPr>
        <w:spacing w:after="0" w:line="242" w:lineRule="exact"/>
        <w:rPr>
          <w:rFonts w:ascii="Times New Roman" w:cs="Times New Roman" w:eastAsia="Times New Roman" w:hAnsi="Times New Roman"/>
          <w:sz w:val="22"/>
          <w:szCs w:val="22"/>
          <w:color w:val="auto"/>
        </w:rPr>
      </w:pPr>
    </w:p>
    <w:p>
      <w:pPr>
        <w:ind w:left="651" w:hanging="651"/>
        <w:spacing w:after="0"/>
        <w:tabs>
          <w:tab w:leader="none" w:pos="651"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Severability</w:t>
      </w:r>
    </w:p>
    <w:p>
      <w:pPr>
        <w:spacing w:after="0" w:line="264" w:lineRule="exact"/>
        <w:rPr>
          <w:rFonts w:ascii="Times New Roman" w:cs="Times New Roman" w:eastAsia="Times New Roman" w:hAnsi="Times New Roman"/>
          <w:sz w:val="22"/>
          <w:szCs w:val="22"/>
          <w:color w:val="auto"/>
        </w:rPr>
      </w:pPr>
    </w:p>
    <w:p>
      <w:pPr>
        <w:jc w:val="both"/>
        <w:ind w:left="651"/>
        <w:spacing w:after="0" w:line="2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Wherever possible, each provision of this Award will be interpreted in such manner as to be effective and valid under applicable law, but if any provision hereof is held to be prohibited by or invalid under applicable law, such provision will be ineffective only to the extent of such prohibition or invalidity, without invalidating the remainder of such provision or the remaining provisions hereof. </w:t>
      </w:r>
      <w:r>
        <w:rPr>
          <w:rFonts w:ascii="Times New Roman" w:cs="Times New Roman" w:eastAsia="Times New Roman" w:hAnsi="Times New Roman"/>
          <w:sz w:val="22"/>
          <w:szCs w:val="22"/>
          <w:color w:val="252525"/>
        </w:rPr>
        <w:t>A court of competent jurisdiction is expressly authorized to modify overbroad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252525"/>
        </w:rPr>
        <w:t>provisions so as to make them enforceable to the maximum extent permitted by law and is further authorized to strike whole provisions that cannot be so modified.</w:t>
      </w:r>
    </w:p>
    <w:p>
      <w:pPr>
        <w:spacing w:after="0" w:line="263" w:lineRule="exact"/>
        <w:rPr>
          <w:rFonts w:ascii="Times New Roman" w:cs="Times New Roman" w:eastAsia="Times New Roman" w:hAnsi="Times New Roman"/>
          <w:sz w:val="22"/>
          <w:szCs w:val="22"/>
          <w:color w:val="auto"/>
        </w:rPr>
      </w:pPr>
    </w:p>
    <w:p>
      <w:pPr>
        <w:ind w:left="651" w:hanging="651"/>
        <w:spacing w:after="0"/>
        <w:tabs>
          <w:tab w:leader="none" w:pos="651"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Contract</w:t>
      </w:r>
    </w:p>
    <w:p>
      <w:pPr>
        <w:spacing w:after="0" w:line="318" w:lineRule="exact"/>
        <w:rPr>
          <w:rFonts w:ascii="Times New Roman" w:cs="Times New Roman" w:eastAsia="Times New Roman" w:hAnsi="Times New Roman"/>
          <w:sz w:val="22"/>
          <w:szCs w:val="22"/>
          <w:color w:val="auto"/>
        </w:rPr>
      </w:pPr>
    </w:p>
    <w:p>
      <w:pPr>
        <w:jc w:val="both"/>
        <w:ind w:left="651"/>
        <w:spacing w:after="0" w:line="25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in this Agreement is intended to change Employee’s status as an at-will employee. Employee understands that Employee is an at-will employee and that Employee’s employment can be terminated at any time, with or without notice or cause, by either Employee or Corporation.</w:t>
      </w:r>
    </w:p>
    <w:p>
      <w:pPr>
        <w:spacing w:after="0" w:line="249" w:lineRule="exact"/>
        <w:rPr>
          <w:rFonts w:ascii="Times New Roman" w:cs="Times New Roman" w:eastAsia="Times New Roman" w:hAnsi="Times New Roman"/>
          <w:sz w:val="22"/>
          <w:szCs w:val="22"/>
          <w:color w:val="auto"/>
        </w:rPr>
      </w:pPr>
    </w:p>
    <w:p>
      <w:pPr>
        <w:ind w:left="651" w:hanging="651"/>
        <w:spacing w:after="0"/>
        <w:tabs>
          <w:tab w:leader="none" w:pos="651"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Notice of Immunity</w:t>
      </w:r>
    </w:p>
    <w:p>
      <w:pPr>
        <w:spacing w:after="0" w:line="304" w:lineRule="exact"/>
        <w:rPr>
          <w:rFonts w:ascii="Times New Roman" w:cs="Times New Roman" w:eastAsia="Times New Roman" w:hAnsi="Times New Roman"/>
          <w:sz w:val="22"/>
          <w:szCs w:val="22"/>
          <w:color w:val="auto"/>
        </w:rPr>
      </w:pPr>
    </w:p>
    <w:p>
      <w:pPr>
        <w:ind w:left="651"/>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accordance with the Defend Trade Secrets Act, Employee is hereby advised that:</w:t>
      </w:r>
    </w:p>
    <w:p>
      <w:pPr>
        <w:spacing w:after="0" w:line="246" w:lineRule="exact"/>
        <w:rPr>
          <w:rFonts w:ascii="Times New Roman" w:cs="Times New Roman" w:eastAsia="Times New Roman" w:hAnsi="Times New Roman"/>
          <w:sz w:val="22"/>
          <w:szCs w:val="22"/>
          <w:color w:val="auto"/>
        </w:rPr>
      </w:pPr>
    </w:p>
    <w:p>
      <w:pPr>
        <w:jc w:val="both"/>
        <w:ind w:left="651" w:right="860"/>
        <w:spacing w:after="0" w:line="2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individual shall not be held criminally or civilly liable under any federal or state trade secret law for the disclosure of a trade secret that is made in confidence to a federal, state, or local government official or to an attorney solely for the purpose of reporting or investigating a suspected violation of law. An individual shall not be held criminally or civilly liable under any federal or state trade secret law for the disclosure of a trade secret that is made in a complaint or other document filed in a lawsuit or other proceeding, if such filing is made under seal. An individual who files a lawsuit for retaliation by an employer for reporting a suspected violation of law may disclose</w:t>
      </w:r>
    </w:p>
    <w:p>
      <w:pPr>
        <w:sectPr>
          <w:pgSz w:w="11900" w:h="16838" w:orient="portrait"/>
          <w:cols w:equalWidth="0" w:num="1">
            <w:col w:w="11151"/>
          </w:cols>
          <w:pgMar w:left="409" w:top="1377" w:right="339" w:bottom="1440" w:gutter="0" w:footer="0" w:header="0"/>
        </w:sectPr>
      </w:pPr>
    </w:p>
    <w:bookmarkStart w:id="118" w:name="page119"/>
    <w:bookmarkEnd w:id="118"/>
    <w:p>
      <w:pPr>
        <w:jc w:val="both"/>
        <w:spacing w:after="0" w:line="257" w:lineRule="auto"/>
        <w:rPr>
          <w:sz w:val="20"/>
          <w:szCs w:val="20"/>
          <w:color w:val="auto"/>
        </w:rPr>
      </w:pPr>
      <w:r>
        <w:rPr>
          <w:rFonts w:ascii="Times New Roman" w:cs="Times New Roman" w:eastAsia="Times New Roman" w:hAnsi="Times New Roman"/>
          <w:sz w:val="22"/>
          <w:szCs w:val="22"/>
          <w:color w:val="auto"/>
        </w:rPr>
        <w:t>the trade secret to the attorney of the individual and use the trade secret information in the court proceeding, if the individual files any document containing the trade secret under seal; and does not disclose the trade secret, except pursuant to court order.</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WITNESS WHEREOF, the Corporation has granted this Award as of the day and year first above written.</w:t>
      </w:r>
    </w:p>
    <w:p>
      <w:pPr>
        <w:spacing w:after="0" w:line="25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BRADY CORPORATION</w:t>
      </w:r>
    </w:p>
    <w:p>
      <w:pPr>
        <w:spacing w:after="0" w:line="25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J. MICHAEL NAUMAN</w:t>
      </w:r>
    </w:p>
    <w:p>
      <w:pPr>
        <w:spacing w:after="0" w:line="2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Name: J. Michael Nauman</w:t>
      </w:r>
    </w:p>
    <w:p>
      <w:pPr>
        <w:spacing w:after="0" w:line="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Its: President and Chief Executive Officer</w:t>
      </w:r>
    </w:p>
    <w:p>
      <w:pPr>
        <w:sectPr>
          <w:pgSz w:w="11900" w:h="16838" w:orient="portrait"/>
          <w:cols w:equalWidth="0" w:num="1">
            <w:col w:w="9640"/>
          </w:cols>
          <w:pgMar w:left="1060" w:top="895" w:right="119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Performance Goals</w:t>
      </w:r>
    </w:p>
    <w:p>
      <w:pPr>
        <w:sectPr>
          <w:pgSz w:w="11900" w:h="16838" w:orient="portrait"/>
          <w:cols w:equalWidth="0" w:num="1">
            <w:col w:w="9019"/>
          </w:cols>
          <w:pgMar w:left="1440" w:top="891" w:right="1440" w:bottom="1440" w:gutter="0" w:footer="0" w:header="0"/>
        </w:sectPr>
      </w:pPr>
    </w:p>
    <w:bookmarkStart w:id="120" w:name="page121"/>
    <w:bookmarkEnd w:id="120"/>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4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Change in Control Definition</w:t>
      </w:r>
    </w:p>
    <w:p>
      <w:pPr>
        <w:spacing w:after="0" w:line="200" w:lineRule="exact"/>
        <w:rPr>
          <w:sz w:val="20"/>
          <w:szCs w:val="20"/>
          <w:color w:val="auto"/>
        </w:rPr>
      </w:pPr>
    </w:p>
    <w:p>
      <w:pPr>
        <w:spacing w:after="0" w:line="2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b w:val="1"/>
          <w:bCs w:val="1"/>
          <w:color w:val="auto"/>
        </w:rPr>
        <w:t>“Change in Control”</w:t>
      </w:r>
      <w:r>
        <w:rPr>
          <w:rFonts w:ascii="Times New Roman" w:cs="Times New Roman" w:eastAsia="Times New Roman" w:hAnsi="Times New Roman"/>
          <w:sz w:val="22"/>
          <w:szCs w:val="22"/>
          <w:color w:val="auto"/>
        </w:rPr>
        <w:t xml:space="preserve"> means the occurrence of any one of the following events:</w:t>
      </w:r>
    </w:p>
    <w:p>
      <w:pPr>
        <w:spacing w:after="0" w:line="237" w:lineRule="exact"/>
        <w:rPr>
          <w:sz w:val="20"/>
          <w:szCs w:val="20"/>
          <w:color w:val="auto"/>
        </w:rPr>
      </w:pPr>
    </w:p>
    <w:p>
      <w:pPr>
        <w:ind w:left="1220" w:hanging="563"/>
        <w:spacing w:after="0"/>
        <w:tabs>
          <w:tab w:leader="none" w:pos="1220" w:val="left"/>
        </w:tabs>
        <w:numPr>
          <w:ilvl w:val="1"/>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direct or indirect acquisition by an individual, entity or group (within the meaning of Section 13(d)(3) or 14(d)</w:t>
      </w:r>
    </w:p>
    <w:p>
      <w:pPr>
        <w:spacing w:after="0" w:line="25" w:lineRule="exact"/>
        <w:rPr>
          <w:rFonts w:ascii="Times New Roman" w:cs="Times New Roman" w:eastAsia="Times New Roman" w:hAnsi="Times New Roman"/>
          <w:sz w:val="21"/>
          <w:szCs w:val="21"/>
          <w:color w:val="auto"/>
        </w:rPr>
      </w:pPr>
    </w:p>
    <w:p>
      <w:pPr>
        <w:jc w:val="both"/>
        <w:ind w:firstLine="9"/>
        <w:spacing w:after="0" w:line="241" w:lineRule="auto"/>
        <w:tabs>
          <w:tab w:leader="none" w:pos="312"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 the Securities Exchange Act of 1934, as amended (the “Exchange Act”)) (a “Person”) of beneficial ownership (within the meaning of Rule 13d-3 of the Exchange Act) of voting securities of the Company where such acquisition causes any such Person to own more than 50% of the combined voting power of the Company’s voting securities entitled to vote generally in the election of directors (the “Outstanding Company Voting Securities”); provided, however, that the following shall not be deemed to result in a Change in Control, (i) any acquisition or holding by the members of the family of William H. Brady Jr. and their descendants or trusts for their benefit, and the William H. Brady III Living Trust, (ii) any acquisition directly from the Company, other than an acquisition by virtue of the exercise of a conversion privilege unless the security being so converted was itself acquired directly from the Company, (iii) any acquisition by the Company or a wholly owned Subsidiary, (iv) any acquisition by any employee benefit plan (or related trust) sponsored or maintained by the Company or any entity controlled by the Company,</w:t>
      </w:r>
    </w:p>
    <w:p>
      <w:pPr>
        <w:spacing w:after="0" w:line="4" w:lineRule="exact"/>
        <w:rPr>
          <w:rFonts w:ascii="Times New Roman" w:cs="Times New Roman" w:eastAsia="Times New Roman" w:hAnsi="Times New Roman"/>
          <w:sz w:val="21"/>
          <w:szCs w:val="21"/>
          <w:color w:val="auto"/>
        </w:rPr>
      </w:pPr>
    </w:p>
    <w:p>
      <w:pPr>
        <w:spacing w:after="0" w:line="23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(v) any underwriter temporarily holding securities pursuant to an offering of such securities, or (vi) any acquisition by any entity pursuant to a transaction which complies with clauses (i), (ii) and (iii) of subsection (c) of this definition; or</w:t>
      </w:r>
    </w:p>
    <w:p>
      <w:pPr>
        <w:spacing w:after="0" w:line="205" w:lineRule="exact"/>
        <w:rPr>
          <w:rFonts w:ascii="Times New Roman" w:cs="Times New Roman" w:eastAsia="Times New Roman" w:hAnsi="Times New Roman"/>
          <w:sz w:val="21"/>
          <w:szCs w:val="21"/>
          <w:color w:val="auto"/>
        </w:rPr>
      </w:pPr>
    </w:p>
    <w:p>
      <w:pPr>
        <w:jc w:val="both"/>
        <w:ind w:firstLine="657"/>
        <w:spacing w:after="0" w:line="233" w:lineRule="auto"/>
        <w:tabs>
          <w:tab w:leader="none" w:pos="1210"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the composition of the Board such that the individuals who, as of August 1, 2016, constitute the Board (the “Incumbent Board”) cease for any reason to constitute a majority of the Board; provided, however, that any individual who becomes a member of the Board subsequent to August 1, 2016, whose election, or nomination for election by the Company’s shareholders, was approved by a vote of a majority of those individuals then comprising the Incumbent Board shall be considered as though such individual were a member of the Incumbent Board; but, provided further, that any such individual whose initial assumption of office occurs as a result of either an actual or threatened election contest with respect to the election or removal of directors or other actual or threatened solicitation of proxies or consents by or on behalf of a Person other than the Board shall not be so considered as a member of the Incumbent Board; provided, further, however, that a director who has been approved by members of the family of William H. Brady Jr. and their descendants or trusts for their benefit, and the William H. Brady III Living Trust while they beneficially own collectively more than 50% of the combined voting power of the then outstanding voting securities of the Company entitled to vote generally in the election of directors shall be deemed to be an Incumbent Director; or</w:t>
      </w:r>
    </w:p>
    <w:p>
      <w:pPr>
        <w:spacing w:after="0" w:line="211" w:lineRule="exact"/>
        <w:rPr>
          <w:rFonts w:ascii="Times New Roman" w:cs="Times New Roman" w:eastAsia="Times New Roman" w:hAnsi="Times New Roman"/>
          <w:sz w:val="22"/>
          <w:szCs w:val="22"/>
          <w:color w:val="auto"/>
        </w:rPr>
      </w:pPr>
    </w:p>
    <w:p>
      <w:pPr>
        <w:jc w:val="both"/>
        <w:ind w:firstLine="657"/>
        <w:spacing w:after="0" w:line="233" w:lineRule="auto"/>
        <w:tabs>
          <w:tab w:leader="none" w:pos="1212"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Approval by the shareholders of the Company and the subsequent consummation of a reorganization, merger or consolidation (a “Business Combination”), in each case, unless, following such Business Combination: (i) all or substantially all of the individuals and entities who were the beneficial owners, respectively, of the total number of outstanding shares of both Class A Common Stock and Class B Common Stock (the “Outstanding Company Common Stock”) and Outstanding Company Voting Securities immediately prior to such Business Combination beneficially own, directly or indirectly, more than fifty percent (50%) of, respectively, the then outstanding shares of common stock and the combined voting power of the then outstanding voting securities entitled to vote generally in the election of directors, as the case may be, of the corporation resulting from such Business Combination (including, without limitation, an entity which as a result of such transaction owns the Company or all or substantially all of the Company’s assets either directly or through one or more subsidiaries); (ii) no Person (excluding any employee benefit plan (or related trust) of the Company or such corporation resulting from such Business Combination) beneficially owns, directly or indirectly,</w:t>
      </w:r>
    </w:p>
    <w:p>
      <w:pPr>
        <w:sectPr>
          <w:pgSz w:w="11900" w:h="16838" w:orient="portrait"/>
          <w:cols w:equalWidth="0" w:num="1">
            <w:col w:w="11160"/>
          </w:cols>
          <w:pgMar w:left="400" w:top="891" w:right="339" w:bottom="1440" w:gutter="0" w:footer="0" w:header="0"/>
        </w:sectPr>
      </w:pPr>
    </w:p>
    <w:bookmarkStart w:id="121" w:name="page122"/>
    <w:bookmarkEnd w:id="121"/>
    <w:p>
      <w:pPr>
        <w:jc w:val="both"/>
        <w:spacing w:after="0" w:line="238" w:lineRule="auto"/>
        <w:rPr>
          <w:sz w:val="20"/>
          <w:szCs w:val="20"/>
          <w:color w:val="auto"/>
        </w:rPr>
      </w:pPr>
      <w:r>
        <w:rPr>
          <w:rFonts w:ascii="Times New Roman" w:cs="Times New Roman" w:eastAsia="Times New Roman" w:hAnsi="Times New Roman"/>
          <w:sz w:val="22"/>
          <w:szCs w:val="22"/>
          <w:color w:val="auto"/>
        </w:rPr>
        <w:t>fifty percent (50%) or more of, respectively, the then outstanding shares of common stock of the corporation resulting from such Business Combination or the combined voting power of the then outstanding voting securities of such corporation except to the extent that such ownership existed prior to the Business Combination; and (iii)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204" w:lineRule="exact"/>
        <w:rPr>
          <w:sz w:val="20"/>
          <w:szCs w:val="20"/>
          <w:color w:val="auto"/>
        </w:rPr>
      </w:pPr>
    </w:p>
    <w:p>
      <w:pPr>
        <w:ind w:left="1220" w:hanging="563"/>
        <w:spacing w:after="0"/>
        <w:tabs>
          <w:tab w:leader="none" w:pos="1220"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Approval by the shareholders of the Company and the subsequent consummation of</w:t>
      </w:r>
    </w:p>
    <w:p>
      <w:pPr>
        <w:spacing w:after="0" w:line="14" w:lineRule="exact"/>
        <w:rPr>
          <w:rFonts w:ascii="Times New Roman" w:cs="Times New Roman" w:eastAsia="Times New Roman" w:hAnsi="Times New Roman"/>
          <w:sz w:val="22"/>
          <w:szCs w:val="22"/>
          <w:color w:val="auto"/>
        </w:rPr>
      </w:pPr>
    </w:p>
    <w:p>
      <w:pPr>
        <w:jc w:val="both"/>
        <w:ind w:firstLine="9"/>
        <w:spacing w:after="0" w:line="231" w:lineRule="auto"/>
        <w:tabs>
          <w:tab w:leader="none" w:pos="258"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complete liquidation or dissolution of the Company or (ii) the sale or other disposition of all or substantially all of the assets of the Company, unless the sale or other disposition is to a corporation, with respect to which following such sale or other disposition, (A) all or substantially all of the individuals and entities who were the beneficial owners, respectively, of the total number of outstanding shares of both Outstanding Company Common Stock and Outstanding Company Voting Securities immediately prior to such sale or other disposition beneficially own, directly or indirectly, more than fifty percent (50%) of, respectively, the then outstanding shares of common stock and the combined voting power of the then outstanding voting securities entitled to vote generally in the election of directors of such other corporation, (B) no Person (excluding any employee benefit plan (or related trust) of the Company or such corporation) beneficially owns, directly or indirectly, fifty percent (50%) or more of, respectively, the then outstanding shares of common stock of such corporation or the combined voting power of the then outstanding voting securities of such corporation except to the extent that such ownership existed prior to the sale or other disposition, and (C) at least a majority of the members of the board of directors of such corporation were members of the Incumbent Board at the time of the execution of the initial agreement, or of the action of the Board, providing for such sale or other disposition of assets of the Company or were elected, appointed or nominated by the Board.</w:t>
      </w:r>
    </w:p>
    <w:p>
      <w:pPr>
        <w:spacing w:after="0" w:line="21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Notwithstanding the foregoing, for purposes of any Award subject to Section 409A of the Code, no Change in Control shall deemed to have occurred upon an event described in this definition unless the event constitutes a change in ownership of the Company, a change in effective control of the Company, a change in ownership of a substantial portion of the Company’s assets, each under Section 409A of the Code or otherwise constitutes a change on control within the meaning of Section 409A of the Code; provided, however, if the Company treats an event as a Change in Control that does not meet the requirements of Section 409A of the Code, such Award shall be paid when it would otherwise have been paid but for the Change in Control.</w:t>
      </w:r>
    </w:p>
    <w:p>
      <w:pPr>
        <w:sectPr>
          <w:pgSz w:w="11900" w:h="16838" w:orient="portrait"/>
          <w:cols w:equalWidth="0" w:num="1">
            <w:col w:w="11160"/>
          </w:cols>
          <w:pgMar w:left="400" w:top="882"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10.35</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BRADY CORPORATION</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ADDENDUM TO THE BRADY CORPORATION 2017 OMNIBUS INCENTIVE PLAN</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PARTICIPANTS IN FRANCE</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I. INTRODUCTION</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This Addendum contains the terms of Stock Options granted under the Brady Corporation 2017 Omnibus Incentive Plan (“the Plan”) to Eligible Participants in France.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rules contained in the Plan will apply to Options granted under this Addendum unless specifically stated otherwise.</w:t>
      </w:r>
    </w:p>
    <w:p>
      <w:pPr>
        <w:spacing w:after="0" w:line="23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This Addendum applies to Awards made to Eligible Participants who are working in France or are a French tax resident as defined by French tax legislation at Grant Date. Nevertheless, the Administrator may also consider applying the Addendum to Awards made to mobile employees moving to France after the Grant Date.</w:t>
      </w:r>
    </w:p>
    <w:p>
      <w:pPr>
        <w:spacing w:after="0" w:line="2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French Addendum contains the terms of “Nonqualified Stock Option Awards” or “Incentive Stock Options” which refer to Award of Stock Options granted in accordance with the Plan as amended and restated in the Addendum.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avoidance of doubt, these rules have been set in order to comply with the meaning of:</w:t>
      </w:r>
    </w:p>
    <w:p>
      <w:pPr>
        <w:spacing w:after="0" w:line="2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Articles L 225-177 to L 225-186-1 of the French Commercial Code for legal purposes;</w:t>
      </w:r>
    </w:p>
    <w:p>
      <w:pPr>
        <w:spacing w:after="0" w:line="15" w:lineRule="exact"/>
        <w:rPr>
          <w:sz w:val="20"/>
          <w:szCs w:val="20"/>
          <w:color w:val="auto"/>
        </w:rPr>
      </w:pPr>
    </w:p>
    <w:p>
      <w:pPr>
        <w:ind w:left="980"/>
        <w:spacing w:after="0" w:line="234" w:lineRule="auto"/>
        <w:rPr>
          <w:sz w:val="20"/>
          <w:szCs w:val="20"/>
          <w:color w:val="auto"/>
        </w:rPr>
      </w:pPr>
      <w:r>
        <w:rPr>
          <w:rFonts w:ascii="Times New Roman" w:cs="Times New Roman" w:eastAsia="Times New Roman" w:hAnsi="Times New Roman"/>
          <w:sz w:val="18"/>
          <w:szCs w:val="18"/>
          <w:color w:val="auto"/>
        </w:rPr>
        <w:t>–   Article 80 bis of the French General Tax Code for tax purposes;</w:t>
      </w:r>
    </w:p>
    <w:p>
      <w:pPr>
        <w:ind w:left="980"/>
        <w:spacing w:after="0"/>
        <w:rPr>
          <w:sz w:val="20"/>
          <w:szCs w:val="20"/>
          <w:color w:val="auto"/>
        </w:rPr>
      </w:pPr>
      <w:r>
        <w:rPr>
          <w:rFonts w:ascii="Times New Roman" w:cs="Times New Roman" w:eastAsia="Times New Roman" w:hAnsi="Times New Roman"/>
          <w:sz w:val="18"/>
          <w:szCs w:val="18"/>
          <w:color w:val="auto"/>
        </w:rPr>
        <w:t>–   Articles L242-1, II, 6° and L.137-13 of the French Social Security Code for social security purposes.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Consequently, the terms “Stock Options”, “Options”, “Nonqualified Stock Options”, “Incentive Stock Options” and “Awards” herein shall be construed and interpreted accordingly.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present French Addendum is not applicable to Restricted Stock Units, Restricted Stock, Stock Appreciation Rights, Unrestricted Stock and Cash Incentive Awards.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Rules governing Restricted Stock Units are subject to a different Addendum governing Free Shares Awards made to Participants in France.</w:t>
      </w:r>
    </w:p>
    <w:p>
      <w:pPr>
        <w:spacing w:after="0" w:line="23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terms and conditions of this Addendum are identical to the Plan except as provided below. They have to be read in conjunction with the Plan rules. In the event of any conflict between the terms and conditions of this Addendum and the Plan, the provisions of this Addendum shall prevail for the grants made hereunder.</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II. DEFINITIONS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“Award”, notwithstanding any other provision of the plan, the following provision is added in Section II, 2.04 of the Plan:</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Notwithstanding any provision of the Plan, “Award” means a grant of Stock Options subject to the restrictions stated in the Plan rules for Options as amended by this Addendum. Awards made under this Addendum cannot therefore take the form of Stock Appreciation Right, Restricted Stock, Restricted Stock Units, Unrestricted Stock, or Cash incentive Awards.</w:t>
      </w:r>
    </w:p>
    <w:p>
      <w:pPr>
        <w:spacing w:after="0" w:line="200" w:lineRule="exact"/>
        <w:rPr>
          <w:sz w:val="20"/>
          <w:szCs w:val="20"/>
          <w:color w:val="auto"/>
        </w:rPr>
      </w:pPr>
    </w:p>
    <w:p>
      <w:pPr>
        <w:ind w:firstLine="8"/>
        <w:spacing w:after="0" w:line="271" w:lineRule="auto"/>
        <w:tabs>
          <w:tab w:leader="none" w:pos="18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“Eligible Individual”, notwithstanding any other provision of the plan, the following provisions are added in Section II, 2.13 and Paragraph 5.01 of the Plan: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any provision of the Plan, the “Eligible Participants” in France to whom Stock Options may be granted according to Section VI of the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are defined as follows:</w:t>
      </w:r>
    </w:p>
    <w:p>
      <w:pPr>
        <w:spacing w:after="0" w:line="219" w:lineRule="exact"/>
        <w:rPr>
          <w:sz w:val="20"/>
          <w:szCs w:val="20"/>
          <w:color w:val="auto"/>
        </w:rPr>
      </w:pPr>
    </w:p>
    <w:p>
      <w:pPr>
        <w:ind w:left="580" w:hanging="242"/>
        <w:spacing w:after="0" w:line="266" w:lineRule="auto"/>
        <w:rPr>
          <w:sz w:val="20"/>
          <w:szCs w:val="20"/>
          <w:color w:val="auto"/>
        </w:rPr>
      </w:pPr>
      <w:r>
        <w:rPr>
          <w:rFonts w:ascii="Times New Roman" w:cs="Times New Roman" w:eastAsia="Times New Roman" w:hAnsi="Times New Roman"/>
          <w:sz w:val="18"/>
          <w:szCs w:val="18"/>
          <w:color w:val="auto"/>
        </w:rPr>
        <w:t>a. Stock Options may only be granted to employees or Corporate Officers in the US and to the following Corporate Officers in France: “Président du Conseil d’Administration”, “Directeur Général”, “Directeurs Généraux délégués”,</w:t>
      </w:r>
    </w:p>
    <w:p>
      <w:pPr>
        <w:sectPr>
          <w:pgSz w:w="11900" w:h="16838" w:orient="portrait"/>
          <w:cols w:equalWidth="0" w:num="1">
            <w:col w:w="11240"/>
          </w:cols>
          <w:pgMar w:left="320" w:top="887" w:right="339" w:bottom="1440" w:gutter="0" w:footer="0" w:header="0"/>
        </w:sectPr>
      </w:pPr>
    </w:p>
    <w:bookmarkStart w:id="123" w:name="page124"/>
    <w:bookmarkEnd w:id="123"/>
    <w:p>
      <w:pPr>
        <w:ind w:left="620"/>
        <w:spacing w:after="0" w:line="266" w:lineRule="auto"/>
        <w:rPr>
          <w:sz w:val="20"/>
          <w:szCs w:val="20"/>
          <w:color w:val="auto"/>
        </w:rPr>
      </w:pPr>
      <w:r>
        <w:rPr>
          <w:rFonts w:ascii="Times New Roman" w:cs="Times New Roman" w:eastAsia="Times New Roman" w:hAnsi="Times New Roman"/>
          <w:sz w:val="18"/>
          <w:szCs w:val="18"/>
          <w:color w:val="auto"/>
        </w:rPr>
        <w:t>Members of the “Directoire”, “Gérant” of the “Société par Actions”, “Président d’une Société par Actions simplifiée” of the granting Corporation or of any Parent or Subsidiary of the granting Corporation.</w:t>
      </w:r>
    </w:p>
    <w:p>
      <w:pPr>
        <w:spacing w:after="0" w:line="187" w:lineRule="exact"/>
        <w:rPr>
          <w:sz w:val="20"/>
          <w:szCs w:val="20"/>
          <w:color w:val="auto"/>
        </w:rPr>
      </w:pPr>
    </w:p>
    <w:p>
      <w:pPr>
        <w:ind w:left="40"/>
        <w:spacing w:after="0" w:line="268" w:lineRule="auto"/>
        <w:rPr>
          <w:sz w:val="20"/>
          <w:szCs w:val="20"/>
          <w:color w:val="auto"/>
        </w:rPr>
      </w:pPr>
      <w:r>
        <w:rPr>
          <w:rFonts w:ascii="Times New Roman" w:cs="Times New Roman" w:eastAsia="Times New Roman" w:hAnsi="Times New Roman"/>
          <w:sz w:val="18"/>
          <w:szCs w:val="18"/>
          <w:color w:val="auto"/>
        </w:rPr>
        <w:t>Participants who are eligible to be granted Stock Options shall consist exclusively of employees with a valid employment contract (“</w:t>
      </w:r>
      <w:r>
        <w:rPr>
          <w:rFonts w:ascii="Times New Roman" w:cs="Times New Roman" w:eastAsia="Times New Roman" w:hAnsi="Times New Roman"/>
          <w:sz w:val="18"/>
          <w:szCs w:val="18"/>
          <w:i w:val="1"/>
          <w:iCs w:val="1"/>
          <w:color w:val="auto"/>
        </w:rPr>
        <w:t>contrat de travail</w:t>
      </w:r>
      <w:r>
        <w:rPr>
          <w:rFonts w:ascii="Times New Roman" w:cs="Times New Roman" w:eastAsia="Times New Roman" w:hAnsi="Times New Roman"/>
          <w:sz w:val="18"/>
          <w:szCs w:val="18"/>
          <w:color w:val="auto"/>
        </w:rPr>
        <w:t>”) at Grant Date, and/or Corporate Officers with or without an employment contract.</w:t>
      </w:r>
    </w:p>
    <w:p>
      <w:pPr>
        <w:spacing w:after="0" w:line="1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No Stock Options can be granted under this Addendum to non-employee members of the Board, consultants and advisors.</w:t>
      </w:r>
    </w:p>
    <w:p>
      <w:pPr>
        <w:spacing w:after="0" w:line="2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b. The Eligible Participants to receive Stock Options must be employed / appointed by the Corporation or within the group, i.e.:</w:t>
      </w:r>
    </w:p>
    <w:p>
      <w:pPr>
        <w:spacing w:after="0" w:line="23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Those companies in which the Corporation holds at least 10% of the voting rights and/or equity directly or indirectly;</w:t>
      </w:r>
    </w:p>
    <w:p>
      <w:pPr>
        <w:spacing w:after="0" w:line="23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Those companies which hold at least 10% of the voting rights and/or equity directly or indirectly in the Corporation;</w:t>
      </w:r>
    </w:p>
    <w:p>
      <w:pPr>
        <w:spacing w:after="0" w:line="238" w:lineRule="exact"/>
        <w:rPr>
          <w:sz w:val="20"/>
          <w:szCs w:val="20"/>
          <w:color w:val="auto"/>
        </w:rPr>
      </w:pPr>
    </w:p>
    <w:p>
      <w:pPr>
        <w:ind w:left="1340" w:right="20" w:hanging="324"/>
        <w:spacing w:after="0" w:line="266" w:lineRule="auto"/>
        <w:rPr>
          <w:sz w:val="20"/>
          <w:szCs w:val="20"/>
          <w:color w:val="auto"/>
        </w:rPr>
      </w:pPr>
      <w:r>
        <w:rPr>
          <w:rFonts w:ascii="Times New Roman" w:cs="Times New Roman" w:eastAsia="Times New Roman" w:hAnsi="Times New Roman"/>
          <w:sz w:val="18"/>
          <w:szCs w:val="18"/>
          <w:color w:val="auto"/>
        </w:rPr>
        <w:t>– Those companies in which 50% of the equity or voting rights are held, directly or indirectly, by a Corporation which itself holds at least 50% of the Corporation.</w:t>
      </w:r>
    </w:p>
    <w:p>
      <w:pPr>
        <w:spacing w:after="0" w:line="189" w:lineRule="exact"/>
        <w:rPr>
          <w:sz w:val="20"/>
          <w:szCs w:val="20"/>
          <w:color w:val="auto"/>
        </w:rPr>
      </w:pPr>
    </w:p>
    <w:p>
      <w:pPr>
        <w:ind w:left="620" w:hanging="329"/>
        <w:spacing w:after="0" w:line="266" w:lineRule="auto"/>
        <w:tabs>
          <w:tab w:leader="none" w:pos="466"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 may not be granted to employees or Corporate Officers holding more than 10% of the issued share capital of the Corporation or any holder who, after having received Shares under this Addendum, would hold more than 10% of the issued share capital in the Corporation.</w:t>
      </w:r>
    </w:p>
    <w:p>
      <w:pPr>
        <w:spacing w:after="0" w:line="185" w:lineRule="exact"/>
        <w:rPr>
          <w:rFonts w:ascii="Times New Roman" w:cs="Times New Roman" w:eastAsia="Times New Roman" w:hAnsi="Times New Roman"/>
          <w:sz w:val="18"/>
          <w:szCs w:val="18"/>
          <w:color w:val="auto"/>
        </w:rPr>
      </w:pPr>
    </w:p>
    <w:p>
      <w:pPr>
        <w:ind w:left="220" w:hanging="172"/>
        <w:spacing w:after="0"/>
        <w:tabs>
          <w:tab w:leader="none" w:pos="22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Options”, notwithstanding any other provision of the plan, the following provision is added in Section II, 2.33 of the Plan:</w:t>
      </w:r>
    </w:p>
    <w:p>
      <w:pPr>
        <w:spacing w:after="0" w:line="243" w:lineRule="exact"/>
        <w:rPr>
          <w:sz w:val="20"/>
          <w:szCs w:val="20"/>
          <w:color w:val="auto"/>
        </w:rPr>
      </w:pPr>
    </w:p>
    <w:p>
      <w:pPr>
        <w:jc w:val="both"/>
        <w:ind w:left="40"/>
        <w:spacing w:after="0" w:line="250" w:lineRule="auto"/>
        <w:rPr>
          <w:sz w:val="20"/>
          <w:szCs w:val="20"/>
          <w:color w:val="auto"/>
        </w:rPr>
      </w:pPr>
      <w:r>
        <w:rPr>
          <w:rFonts w:ascii="Times New Roman" w:cs="Times New Roman" w:eastAsia="Times New Roman" w:hAnsi="Times New Roman"/>
          <w:sz w:val="18"/>
          <w:szCs w:val="18"/>
          <w:color w:val="auto"/>
        </w:rPr>
        <w:t>Notwithstanding any provision of the Plan, Stock Options granted to employee and/or Corporate Officers in France are also governed by a specific Addendum. Options granted under Section 2, 2.33 of the Plan shall be designated as Qualifying Stock Options in France, within the meaning of the conditions set forth in the French commercial code (articles L 225-177 to L 225-186-1 of the French Commercial Code).</w:t>
      </w:r>
    </w:p>
    <w:p>
      <w:pPr>
        <w:spacing w:after="0" w:line="204" w:lineRule="exact"/>
        <w:rPr>
          <w:sz w:val="20"/>
          <w:szCs w:val="20"/>
          <w:color w:val="auto"/>
        </w:rPr>
      </w:pPr>
    </w:p>
    <w:p>
      <w:pPr>
        <w:jc w:val="both"/>
        <w:ind w:left="40"/>
        <w:spacing w:after="0" w:line="266" w:lineRule="auto"/>
        <w:rPr>
          <w:sz w:val="20"/>
          <w:szCs w:val="20"/>
          <w:color w:val="auto"/>
        </w:rPr>
      </w:pPr>
      <w:r>
        <w:rPr>
          <w:rFonts w:ascii="Times New Roman" w:cs="Times New Roman" w:eastAsia="Times New Roman" w:hAnsi="Times New Roman"/>
          <w:sz w:val="18"/>
          <w:szCs w:val="18"/>
          <w:color w:val="auto"/>
        </w:rPr>
        <w:t>The purpose of this Addendum is to ensure that Awards of Stock Options over the Common Stock of Brady Corporation are in conformity with the applicable legislation.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III. SHARES SUBJECT TO AWARD</w:t>
      </w:r>
    </w:p>
    <w:p>
      <w:pPr>
        <w:spacing w:after="0" w:line="252" w:lineRule="exact"/>
        <w:rPr>
          <w:sz w:val="20"/>
          <w:szCs w:val="20"/>
          <w:color w:val="auto"/>
        </w:rPr>
      </w:pPr>
    </w:p>
    <w:p>
      <w:pPr>
        <w:ind w:left="40" w:firstLine="8"/>
        <w:spacing w:after="0" w:line="271" w:lineRule="auto"/>
        <w:tabs>
          <w:tab w:leader="none" w:pos="222"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 subject to Stock Options”, notwithstanding any other provision of the plan, the following provisions are added in Paragraph 3.01 of the Plan:</w:t>
      </w:r>
    </w:p>
    <w:p>
      <w:pPr>
        <w:spacing w:after="0" w:line="185" w:lineRule="exact"/>
        <w:rPr>
          <w:sz w:val="20"/>
          <w:szCs w:val="20"/>
          <w:color w:val="auto"/>
        </w:rPr>
      </w:pPr>
    </w:p>
    <w:p>
      <w:pPr>
        <w:ind w:left="40"/>
        <w:spacing w:after="0" w:line="266" w:lineRule="auto"/>
        <w:rPr>
          <w:sz w:val="20"/>
          <w:szCs w:val="20"/>
          <w:color w:val="auto"/>
        </w:rPr>
      </w:pPr>
      <w:r>
        <w:rPr>
          <w:rFonts w:ascii="Times New Roman" w:cs="Times New Roman" w:eastAsia="Times New Roman" w:hAnsi="Times New Roman"/>
          <w:sz w:val="18"/>
          <w:szCs w:val="18"/>
          <w:color w:val="auto"/>
        </w:rPr>
        <w:t xml:space="preserve">Notwithstanding any provision of the Plan, shares delivered upon exercise of the Options in accordance with the Addendum are </w:t>
      </w:r>
      <w:r>
        <w:rPr>
          <w:rFonts w:ascii="Times New Roman" w:cs="Times New Roman" w:eastAsia="Times New Roman" w:hAnsi="Times New Roman"/>
          <w:sz w:val="18"/>
          <w:szCs w:val="18"/>
          <w:u w:val="single" w:color="auto"/>
          <w:color w:val="auto"/>
        </w:rPr>
        <w:t>existing shares purchased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newly issued shares</w:t>
      </w:r>
      <w:r>
        <w:rPr>
          <w:rFonts w:ascii="Times New Roman" w:cs="Times New Roman" w:eastAsia="Times New Roman" w:hAnsi="Times New Roman"/>
          <w:sz w:val="18"/>
          <w:szCs w:val="18"/>
          <w:color w:val="auto"/>
        </w:rPr>
        <w:t xml:space="preserve"> by the Corporation.</w:t>
      </w:r>
    </w:p>
    <w:p>
      <w:pPr>
        <w:spacing w:after="0" w:line="189" w:lineRule="exact"/>
        <w:rPr>
          <w:sz w:val="20"/>
          <w:szCs w:val="20"/>
          <w:color w:val="auto"/>
        </w:rPr>
      </w:pPr>
    </w:p>
    <w:p>
      <w:pPr>
        <w:ind w:left="40"/>
        <w:spacing w:after="0" w:line="266" w:lineRule="auto"/>
        <w:rPr>
          <w:sz w:val="20"/>
          <w:szCs w:val="20"/>
          <w:color w:val="auto"/>
        </w:rPr>
      </w:pPr>
      <w:r>
        <w:rPr>
          <w:rFonts w:ascii="Times New Roman" w:cs="Times New Roman" w:eastAsia="Times New Roman" w:hAnsi="Times New Roman"/>
          <w:sz w:val="18"/>
          <w:szCs w:val="18"/>
          <w:color w:val="auto"/>
        </w:rPr>
        <w:t xml:space="preserve">In the case of Stock Options to purchase </w:t>
      </w:r>
      <w:r>
        <w:rPr>
          <w:rFonts w:ascii="Times New Roman" w:cs="Times New Roman" w:eastAsia="Times New Roman" w:hAnsi="Times New Roman"/>
          <w:sz w:val="18"/>
          <w:szCs w:val="18"/>
          <w:u w:val="single" w:color="auto"/>
          <w:color w:val="auto"/>
        </w:rPr>
        <w:t>previously issued Shares</w:t>
      </w:r>
      <w:r>
        <w:rPr>
          <w:rFonts w:ascii="Times New Roman" w:cs="Times New Roman" w:eastAsia="Times New Roman" w:hAnsi="Times New Roman"/>
          <w:sz w:val="18"/>
          <w:szCs w:val="18"/>
          <w:color w:val="auto"/>
        </w:rPr>
        <w:t>, the Corporation shall procure sufficient Shares available for transfer to satisfy the exercise of such Stock Options, at least one day prior to the beneficiary having the right to Exercise the Stock Options.</w:t>
      </w:r>
    </w:p>
    <w:p>
      <w:pPr>
        <w:spacing w:after="0" w:line="1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shares should be held in an identifiable account.</w:t>
      </w:r>
    </w:p>
    <w:p>
      <w:pPr>
        <w:spacing w:after="0" w:line="2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2. “Award limitations“, notwithstanding any other provision of the plan, the following provisions are added in Paragraph 3.01 of the Plan:</w:t>
      </w: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Notwithstanding any provision of the Plan, under French legal provisions, two situations shall be distinguished with respect to options:</w:t>
      </w:r>
    </w:p>
    <w:p>
      <w:pPr>
        <w:spacing w:after="0" w:line="239" w:lineRule="exact"/>
        <w:rPr>
          <w:sz w:val="20"/>
          <w:szCs w:val="20"/>
          <w:color w:val="auto"/>
        </w:rPr>
      </w:pPr>
    </w:p>
    <w:p>
      <w:pPr>
        <w:ind w:left="700" w:hanging="324"/>
        <w:spacing w:after="0" w:line="245" w:lineRule="auto"/>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Options granted over market repurchased shares</w:t>
      </w:r>
      <w:r>
        <w:rPr>
          <w:rFonts w:ascii="Times New Roman" w:cs="Times New Roman" w:eastAsia="Times New Roman" w:hAnsi="Times New Roman"/>
          <w:sz w:val="18"/>
          <w:szCs w:val="18"/>
          <w:color w:val="auto"/>
        </w:rPr>
        <w:t xml:space="preserve">: the total number of options granted giving the right to purchase existing shares shall not exceed </w:t>
      </w:r>
      <w:r>
        <w:rPr>
          <w:rFonts w:ascii="Times New Roman" w:cs="Times New Roman" w:eastAsia="Times New Roman" w:hAnsi="Times New Roman"/>
          <w:sz w:val="18"/>
          <w:szCs w:val="18"/>
          <w:u w:val="single" w:color="auto"/>
          <w:color w:val="auto"/>
        </w:rPr>
        <w:t>10 %</w:t>
      </w:r>
      <w:r>
        <w:rPr>
          <w:rFonts w:ascii="Times New Roman" w:cs="Times New Roman" w:eastAsia="Times New Roman" w:hAnsi="Times New Roman"/>
          <w:sz w:val="18"/>
          <w:szCs w:val="18"/>
          <w:color w:val="auto"/>
        </w:rPr>
        <w:t xml:space="preserve"> of the Corporation’s issued share capital upon Grant Date. Outstanding Awards shall be treated as Shares in order to determine the threshold of 10% of the granting Company’s share capital. In addition, existing shares shall be purchased by the Company at least one day before the applicable vesting date.</w:t>
      </w:r>
    </w:p>
    <w:p>
      <w:pPr>
        <w:sectPr>
          <w:pgSz w:w="11900" w:h="16838" w:orient="portrait"/>
          <w:cols w:equalWidth="0" w:num="1">
            <w:col w:w="11280"/>
          </w:cols>
          <w:pgMar w:left="280" w:top="891" w:right="339" w:bottom="1440" w:gutter="0" w:footer="0" w:header="0"/>
        </w:sectPr>
      </w:pPr>
    </w:p>
    <w:bookmarkStart w:id="124" w:name="page125"/>
    <w:bookmarkEnd w:id="124"/>
    <w:p>
      <w:pPr>
        <w:ind w:left="660" w:hanging="324"/>
        <w:spacing w:after="0" w:line="254" w:lineRule="auto"/>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Options granted over newly issued shares</w:t>
      </w:r>
      <w:r>
        <w:rPr>
          <w:rFonts w:ascii="Times New Roman" w:cs="Times New Roman" w:eastAsia="Times New Roman" w:hAnsi="Times New Roman"/>
          <w:sz w:val="18"/>
          <w:szCs w:val="18"/>
          <w:color w:val="auto"/>
        </w:rPr>
        <w:t xml:space="preserve">: the number of options granted giving the right to subscribe newly issued shares shall not exceed </w:t>
      </w:r>
      <w:r>
        <w:rPr>
          <w:rFonts w:ascii="Times New Roman" w:cs="Times New Roman" w:eastAsia="Times New Roman" w:hAnsi="Times New Roman"/>
          <w:sz w:val="18"/>
          <w:szCs w:val="18"/>
          <w:u w:val="single" w:color="auto"/>
          <w:color w:val="auto"/>
        </w:rPr>
        <w:t>one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of the Corporation’s issued share capital upon grant date taking into account options resulting from past grants which have not been exercised.</w:t>
      </w:r>
    </w:p>
    <w:p>
      <w:pPr>
        <w:spacing w:after="0" w:line="200" w:lineRule="exact"/>
        <w:rPr>
          <w:sz w:val="20"/>
          <w:szCs w:val="20"/>
          <w:color w:val="auto"/>
        </w:rPr>
      </w:pPr>
    </w:p>
    <w:p>
      <w:pPr>
        <w:spacing w:after="0" w:line="208" w:lineRule="exact"/>
        <w:rPr>
          <w:sz w:val="20"/>
          <w:szCs w:val="20"/>
          <w:color w:val="auto"/>
        </w:rPr>
      </w:pPr>
    </w:p>
    <w:p>
      <w:pPr>
        <w:ind w:left="180" w:hanging="172"/>
        <w:spacing w:after="0"/>
        <w:tabs>
          <w:tab w:leader="none" w:pos="18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“Fixed option price”, notwithstanding any other provision of the plan, the following provisions are added in Paragraph 3.02 of the Plan:</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Notwithstanding any provision of the Plan and except for adjustments made pursuant to §4 below, the Option Exercise Price under any outstanding Option granted under the Plan may not be decreased after the Date of Grant nor may any outstanding Option granted under the Plan be surrendered to the Corporation as consideration for the grant of a new Option with a lower Exercise Price.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“Changes in Shares”, notwithstanding any other provision of the plan, the following provisions are added in Paragraph 3.02 of the Plan:</w:t>
      </w:r>
    </w:p>
    <w:p>
      <w:pPr>
        <w:spacing w:after="0" w:line="241" w:lineRule="exact"/>
        <w:rPr>
          <w:sz w:val="20"/>
          <w:szCs w:val="20"/>
          <w:color w:val="auto"/>
        </w:rPr>
      </w:pPr>
    </w:p>
    <w:p>
      <w:pPr>
        <w:ind w:firstLine="8"/>
        <w:spacing w:after="0" w:line="268" w:lineRule="auto"/>
        <w:tabs>
          <w:tab w:leader="none" w:pos="222" w:val="left"/>
        </w:tabs>
        <w:numPr>
          <w:ilvl w:val="0"/>
          <w:numId w:val="10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Equity Restructuring </w:t>
      </w:r>
      <w:r>
        <w:rPr>
          <w:rFonts w:ascii="Times New Roman" w:cs="Times New Roman" w:eastAsia="Times New Roman" w:hAnsi="Times New Roman"/>
          <w:sz w:val="18"/>
          <w:szCs w:val="18"/>
          <w:color w:val="auto"/>
        </w:rPr>
        <w:t>- Notwithstanding any provision of the Plan, this Section applies to French Eligible Participants only in accordance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dispositions of article L 225-181 of the French Commercial Code.</w:t>
      </w:r>
    </w:p>
    <w:p>
      <w:pPr>
        <w:spacing w:after="0" w:line="18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Where the Corporation is subject to an operation, and such operation results in a Share exchange without cash payment, against the Shares of another Corporation, upon discretionary decision of the Committee, Shares obtained upon exercise of Options will be entirely exchanged for new shares, and the period of time since Option Grant on new shares will be considered as since Option Grant on original shares. The operations referred above are the followings:</w:t>
      </w:r>
    </w:p>
    <w:p>
      <w:pPr>
        <w:spacing w:after="0" w:line="208" w:lineRule="exact"/>
        <w:rPr>
          <w:sz w:val="20"/>
          <w:szCs w:val="20"/>
          <w:color w:val="auto"/>
        </w:rPr>
      </w:pPr>
    </w:p>
    <w:p>
      <w:pPr>
        <w:ind w:left="640" w:hanging="308"/>
        <w:spacing w:after="0"/>
        <w:tabs>
          <w:tab w:leader="none" w:pos="6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offer (with the exception of the Take Over Bid)</w:t>
      </w:r>
    </w:p>
    <w:p>
      <w:pPr>
        <w:spacing w:after="0" w:line="15"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w:t>
      </w:r>
    </w:p>
    <w:p>
      <w:pPr>
        <w:ind w:left="640" w:hanging="308"/>
        <w:spacing w:after="0" w:line="234" w:lineRule="auto"/>
        <w:tabs>
          <w:tab w:leader="none" w:pos="6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spin-off,</w:t>
      </w:r>
    </w:p>
    <w:p>
      <w:pPr>
        <w:ind w:left="660" w:hanging="328"/>
        <w:spacing w:after="0" w:line="234" w:lineRule="auto"/>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regrouping or division,</w:t>
      </w:r>
    </w:p>
    <w:p>
      <w:pPr>
        <w:ind w:left="640" w:hanging="308"/>
        <w:spacing w:after="0"/>
        <w:tabs>
          <w:tab w:leader="none" w:pos="6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employee buy-out further to article 220 of the French Tax Code.</w:t>
      </w:r>
    </w:p>
    <w:p>
      <w:pPr>
        <w:spacing w:after="0" w:line="2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preceding dispositions are nevertheless, in the cases of mergers or spin-offs, subject to the decision of the Extraordinary Shareholders meeting or meetings deciding upon the merger or the spin-off, who must approve the Share exchange, either directly or through the merger or spin-off plan.</w:t>
      </w:r>
    </w:p>
    <w:p>
      <w:pPr>
        <w:spacing w:after="0" w:line="187" w:lineRule="exact"/>
        <w:rPr>
          <w:sz w:val="20"/>
          <w:szCs w:val="20"/>
          <w:color w:val="auto"/>
        </w:rPr>
      </w:pPr>
    </w:p>
    <w:p>
      <w:pPr>
        <w:ind w:right="20" w:firstLine="8"/>
        <w:spacing w:after="0" w:line="268" w:lineRule="auto"/>
        <w:tabs>
          <w:tab w:leader="none" w:pos="265" w:val="left"/>
        </w:tabs>
        <w:numPr>
          <w:ilvl w:val="0"/>
          <w:numId w:val="10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Variation of Share Capital </w:t>
      </w:r>
      <w:r>
        <w:rPr>
          <w:rFonts w:ascii="Times New Roman" w:cs="Times New Roman" w:eastAsia="Times New Roman" w:hAnsi="Times New Roman"/>
          <w:sz w:val="18"/>
          <w:szCs w:val="18"/>
          <w:color w:val="auto"/>
        </w:rPr>
        <w:t>- The Option Exercise Price is determined by the Committee at the time of grant and cannot be adjusted during the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 life.</w:t>
      </w:r>
    </w:p>
    <w:p>
      <w:pPr>
        <w:spacing w:after="0" w:line="18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However, if the Corporation realizes one of the capital operations described in article L 225-181 of the French Commercial Code, the Committee adjusts the number and/or the price of the Stock Options granted to the beneficiaries, so that their economic rights are maintained. The transactions defined in articles L 225-181 of the French commercial code are the following:</w:t>
      </w:r>
    </w:p>
    <w:p>
      <w:pPr>
        <w:spacing w:after="0" w:line="204" w:lineRule="exact"/>
        <w:rPr>
          <w:sz w:val="20"/>
          <w:szCs w:val="20"/>
          <w:color w:val="auto"/>
        </w:rPr>
      </w:pPr>
    </w:p>
    <w:p>
      <w:pPr>
        <w:ind w:left="640" w:hanging="308"/>
        <w:spacing w:after="0"/>
        <w:tabs>
          <w:tab w:leader="none" w:pos="6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capital write-off or reduction,</w:t>
      </w:r>
    </w:p>
    <w:p>
      <w:pPr>
        <w:spacing w:after="0" w:line="15"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to the appropriation of profits,</w:t>
      </w:r>
    </w:p>
    <w:p>
      <w:pPr>
        <w:ind w:left="640" w:hanging="308"/>
        <w:spacing w:after="0" w:line="234" w:lineRule="auto"/>
        <w:tabs>
          <w:tab w:leader="none" w:pos="6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modification of the dividing up of profits,</w:t>
      </w:r>
    </w:p>
    <w:p>
      <w:pPr>
        <w:ind w:left="660" w:hanging="328"/>
        <w:spacing w:after="0" w:line="234" w:lineRule="auto"/>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free allotment of share,</w:t>
      </w:r>
    </w:p>
    <w:p>
      <w:pPr>
        <w:ind w:left="640" w:hanging="308"/>
        <w:spacing w:after="0" w:line="234" w:lineRule="auto"/>
        <w:tabs>
          <w:tab w:leader="none" w:pos="6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capitalization by incorporation of reserves, earnings or share premiums;</w:t>
      </w:r>
    </w:p>
    <w:p>
      <w:pPr>
        <w:ind w:left="660" w:hanging="328"/>
        <w:spacing w:after="0" w:line="234" w:lineRule="auto"/>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distribution of reserves in cash or in shares;</w:t>
      </w:r>
    </w:p>
    <w:p>
      <w:pPr>
        <w:ind w:left="660" w:hanging="328"/>
        <w:spacing w:after="0" w:line="243" w:lineRule="auto"/>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issue of capital securities or securities giving entitlement to an allotment of capital securities conferring a subscription right reserved for shareholders.</w:t>
      </w:r>
    </w:p>
    <w:p>
      <w:pPr>
        <w:spacing w:after="0" w:line="20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these specific circumstances, the Committee must adjust the exercise price or the number of Shares that the total exercise price remains constant (in value) throughout the entire life of the Options.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Plan Adjustment of Shares:</w:t>
      </w:r>
    </w:p>
    <w:p>
      <w:pPr>
        <w:spacing w:after="0" w:line="241"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Accordingly, the Corporation can temporarily suspend the right to exercise Options in order to adjust the Option Exercise Price and/or number of Options in order to ensure that the total of Option Exercise Price remains constant and so that the benefit provided at the time of Option Grant remains entirely constant (in value) throughout the life of the Option.</w:t>
      </w:r>
    </w:p>
    <w:p>
      <w:pPr>
        <w:sectPr>
          <w:pgSz w:w="11900" w:h="16838" w:orient="portrait"/>
          <w:cols w:equalWidth="0" w:num="1">
            <w:col w:w="11240"/>
          </w:cols>
          <w:pgMar w:left="320" w:top="891" w:right="339" w:bottom="1440" w:gutter="0" w:footer="0" w:header="0"/>
        </w:sectPr>
      </w:pPr>
    </w:p>
    <w:bookmarkStart w:id="125" w:name="page126"/>
    <w:bookmarkEnd w:id="125"/>
    <w:p>
      <w:pPr>
        <w:jc w:val="both"/>
        <w:spacing w:after="0" w:line="250" w:lineRule="auto"/>
        <w:rPr>
          <w:sz w:val="20"/>
          <w:szCs w:val="20"/>
          <w:color w:val="auto"/>
        </w:rPr>
      </w:pPr>
      <w:r>
        <w:rPr>
          <w:rFonts w:ascii="Times New Roman" w:cs="Times New Roman" w:eastAsia="Times New Roman" w:hAnsi="Times New Roman"/>
          <w:sz w:val="18"/>
          <w:szCs w:val="18"/>
          <w:color w:val="auto"/>
        </w:rPr>
        <w:t>Upon deciding to proceed to such adjustment, the Committee shall take all the necessary steps to determine the impact of such adjustment on the income tax and social security treatment of Awards made to French Participants and whenever possible, to maintain the tax neutrality of the operation on the treatment of the Award. The Committee shall accordingly inform the Participant concerned.</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IV. ADMINISTRATION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Addendum does not amend this Section.</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V. PARTICIPATION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“Eligibility”, in Paragraph 5.01 of the Plan: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amendment to this Section is included in Section II Paragraph 2 of this addendum.</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VI. STOCK OPTION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“Grant Price”, notwithstanding any other provision of the plan, the following provisions are added in Paragraph 6.03 of the Plan:</w:t>
      </w:r>
    </w:p>
    <w:p>
      <w:pPr>
        <w:spacing w:after="0" w:line="243" w:lineRule="exact"/>
        <w:rPr>
          <w:sz w:val="20"/>
          <w:szCs w:val="20"/>
          <w:color w:val="auto"/>
        </w:rPr>
      </w:pPr>
    </w:p>
    <w:p>
      <w:pPr>
        <w:jc w:val="both"/>
        <w:ind w:left="80"/>
        <w:spacing w:after="0" w:line="250" w:lineRule="auto"/>
        <w:rPr>
          <w:sz w:val="20"/>
          <w:szCs w:val="20"/>
          <w:color w:val="auto"/>
        </w:rPr>
      </w:pPr>
      <w:r>
        <w:rPr>
          <w:rFonts w:ascii="Times New Roman" w:cs="Times New Roman" w:eastAsia="Times New Roman" w:hAnsi="Times New Roman"/>
          <w:sz w:val="18"/>
          <w:szCs w:val="18"/>
          <w:color w:val="auto"/>
        </w:rPr>
        <w:t>Notwithstanding any provision of the Plan, the Option Exercise Price or the Exercise Price means the amount payable by the Participant upon the date of exercise. In accordance with articles L.225-177 and L.225-179 of the French Commercial Code, the Exercise Price payable per Option upon the exercise date shall be fixed by the Committee on the Date of Grant. In no event shall the exercise price per Option be less than the greatest of:</w:t>
      </w:r>
    </w:p>
    <w:p>
      <w:pPr>
        <w:spacing w:after="0" w:line="204" w:lineRule="exact"/>
        <w:rPr>
          <w:sz w:val="20"/>
          <w:szCs w:val="20"/>
          <w:color w:val="auto"/>
        </w:rPr>
      </w:pPr>
    </w:p>
    <w:p>
      <w:pPr>
        <w:ind w:left="660" w:right="20" w:hanging="324"/>
        <w:spacing w:after="0" w:line="250" w:lineRule="auto"/>
        <w:rPr>
          <w:sz w:val="20"/>
          <w:szCs w:val="20"/>
          <w:color w:val="auto"/>
        </w:rPr>
      </w:pPr>
      <w:r>
        <w:rPr>
          <w:rFonts w:ascii="Times New Roman" w:cs="Times New Roman" w:eastAsia="Times New Roman" w:hAnsi="Times New Roman"/>
          <w:sz w:val="18"/>
          <w:szCs w:val="18"/>
          <w:color w:val="auto"/>
        </w:rPr>
        <w:t>– With respect to Options granted over market repurchased shares/treasury shares: the higher of either 80% of the average opening price of the shares of Common Stock during the twenty (20) trading days preceding the grant date or 80% of the average purchase price paid by the Company for such shares of Common Stock (if such shares are already held at grant).</w:t>
      </w:r>
    </w:p>
    <w:p>
      <w:pPr>
        <w:spacing w:after="0" w:line="203" w:lineRule="exact"/>
        <w:rPr>
          <w:sz w:val="20"/>
          <w:szCs w:val="20"/>
          <w:color w:val="auto"/>
        </w:rPr>
      </w:pPr>
    </w:p>
    <w:p>
      <w:pPr>
        <w:ind w:left="660" w:right="20" w:hanging="324"/>
        <w:spacing w:after="0" w:line="266" w:lineRule="auto"/>
        <w:rPr>
          <w:sz w:val="20"/>
          <w:szCs w:val="20"/>
          <w:color w:val="auto"/>
        </w:rPr>
      </w:pPr>
      <w:r>
        <w:rPr>
          <w:rFonts w:ascii="Times New Roman" w:cs="Times New Roman" w:eastAsia="Times New Roman" w:hAnsi="Times New Roman"/>
          <w:sz w:val="18"/>
          <w:szCs w:val="18"/>
          <w:color w:val="auto"/>
        </w:rPr>
        <w:t>– With respect to Options granted over newly issued shares: 80% of the average opening price of the shares of Common Stock during the twenty (20) trading days preceding the date of grant.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Exercise Price cannot be adjusted during the Stock Options life.</w:t>
      </w:r>
    </w:p>
    <w:p>
      <w:pPr>
        <w:spacing w:after="0" w:line="235" w:lineRule="exact"/>
        <w:rPr>
          <w:sz w:val="20"/>
          <w:szCs w:val="20"/>
          <w:color w:val="auto"/>
        </w:rPr>
      </w:pPr>
    </w:p>
    <w:p>
      <w:pPr>
        <w:ind w:left="200" w:hanging="192"/>
        <w:spacing w:after="0"/>
        <w:tabs>
          <w:tab w:leader="none" w:pos="20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“Time restrictions for the Award of Options”, notwithstanding any other provision of the plan, the following provisions are added in Paragraph</w:t>
      </w:r>
    </w:p>
    <w:p>
      <w:pPr>
        <w:spacing w:after="0" w:line="1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6.04 of the Plan: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any provision of the Plan, no Stock Options Awards can be granted under the present Addendum (also called “</w:t>
      </w:r>
      <w:r>
        <w:rPr>
          <w:rFonts w:ascii="Times New Roman" w:cs="Times New Roman" w:eastAsia="Times New Roman" w:hAnsi="Times New Roman"/>
          <w:sz w:val="18"/>
          <w:szCs w:val="18"/>
          <w:i w:val="1"/>
          <w:iCs w:val="1"/>
          <w:color w:val="auto"/>
        </w:rPr>
        <w:t>frozen windows”</w:t>
      </w:r>
      <w:r>
        <w:rPr>
          <w:rFonts w:ascii="Times New Roman" w:cs="Times New Roman" w:eastAsia="Times New Roman" w:hAnsi="Times New Roman"/>
          <w:sz w:val="18"/>
          <w:szCs w:val="18"/>
          <w:color w:val="auto"/>
        </w:rPr>
        <w:t>):</w:t>
      </w:r>
    </w:p>
    <w:p>
      <w:pPr>
        <w:spacing w:after="0" w:line="241" w:lineRule="exact"/>
        <w:rPr>
          <w:sz w:val="20"/>
          <w:szCs w:val="20"/>
          <w:color w:val="auto"/>
        </w:rPr>
      </w:pPr>
    </w:p>
    <w:p>
      <w:pPr>
        <w:ind w:left="660" w:hanging="324"/>
        <w:spacing w:after="0" w:line="266" w:lineRule="auto"/>
        <w:rPr>
          <w:sz w:val="20"/>
          <w:szCs w:val="20"/>
          <w:color w:val="auto"/>
        </w:rPr>
      </w:pPr>
      <w:r>
        <w:rPr>
          <w:rFonts w:ascii="Times New Roman" w:cs="Times New Roman" w:eastAsia="Times New Roman" w:hAnsi="Times New Roman"/>
          <w:sz w:val="18"/>
          <w:szCs w:val="18"/>
          <w:color w:val="auto"/>
        </w:rPr>
        <w:t>– Before the end of a period of twenty (20) trading days following a distribution of dividend (being the date equivalent to the detachment of a coupon giving right to a dividend / i.e. record date) or the agreement to an increase in issued share capital by the shareholders of the Company;</w:t>
      </w:r>
    </w:p>
    <w:p>
      <w:pPr>
        <w:spacing w:after="0" w:line="189" w:lineRule="exact"/>
        <w:rPr>
          <w:sz w:val="20"/>
          <w:szCs w:val="20"/>
          <w:color w:val="auto"/>
        </w:rPr>
      </w:pPr>
    </w:p>
    <w:p>
      <w:pPr>
        <w:ind w:left="660" w:hanging="324"/>
        <w:spacing w:after="0" w:line="266" w:lineRule="auto"/>
        <w:rPr>
          <w:sz w:val="20"/>
          <w:szCs w:val="20"/>
          <w:color w:val="auto"/>
        </w:rPr>
      </w:pPr>
      <w:r>
        <w:rPr>
          <w:rFonts w:ascii="Times New Roman" w:cs="Times New Roman" w:eastAsia="Times New Roman" w:hAnsi="Times New Roman"/>
          <w:sz w:val="18"/>
          <w:szCs w:val="18"/>
          <w:color w:val="auto"/>
        </w:rPr>
        <w:t>– Within ten trading days preceding the date on which the annual and interim consolidated financial statements or, failing that, the annual and half-yearly financial statements are made public, as well as the date of publication;</w:t>
      </w:r>
    </w:p>
    <w:p>
      <w:pPr>
        <w:spacing w:after="0" w:line="189" w:lineRule="exact"/>
        <w:rPr>
          <w:sz w:val="20"/>
          <w:szCs w:val="20"/>
          <w:color w:val="auto"/>
        </w:rPr>
      </w:pPr>
    </w:p>
    <w:p>
      <w:pPr>
        <w:ind w:left="660" w:hanging="324"/>
        <w:spacing w:after="0" w:line="266" w:lineRule="auto"/>
        <w:rPr>
          <w:sz w:val="20"/>
          <w:szCs w:val="20"/>
          <w:color w:val="auto"/>
        </w:rPr>
      </w:pPr>
      <w:r>
        <w:rPr>
          <w:rFonts w:ascii="Times New Roman" w:cs="Times New Roman" w:eastAsia="Times New Roman" w:hAnsi="Times New Roman"/>
          <w:sz w:val="18"/>
          <w:szCs w:val="18"/>
          <w:color w:val="auto"/>
        </w:rPr>
        <w:t>– Within the period between the date on which the company's corporate bodies become aware of inside information and the date on which this information is made public.</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strict observance of French Grant Date restrictions may not be required where the domestic legislation applicable to the Corporation, and/or the Corporation internal rules provide similar restriction periods relating to grant of Options and consequently, offer equivalent guarantees as the French Commercial Code provisions.</w:t>
      </w:r>
    </w:p>
    <w:p>
      <w:pPr>
        <w:sectPr>
          <w:pgSz w:w="11900" w:h="16838" w:orient="portrait"/>
          <w:cols w:equalWidth="0" w:num="1">
            <w:col w:w="11240"/>
          </w:cols>
          <w:pgMar w:left="320" w:top="1134"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color w:val="auto"/>
        </w:rPr>
        <w:t>SECTION VII. STOCK APPRECIATION RIGHTS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Addendum cancels this Section.</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VIII. RESTRICTED STOCK AND RESTRICTED STOCK UNITS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Addendum cancels this Section.</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IX. UNRESTRICTED STOCK</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Addendum cancels this Section.</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X. CASH INCENTIVE AWARDS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Addendum cancels this Section.</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XI. PERFORMANCE-BASED AWARDS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Addendum cancels this Section.</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XII. WITHHOLDING TAXES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“Withholding taxes”, notwithstanding any other provision of the plan, it is added in Paragraph 12.01 of the Plan:</w:t>
      </w:r>
    </w:p>
    <w:p>
      <w:pPr>
        <w:spacing w:after="0" w:line="243" w:lineRule="exact"/>
        <w:rPr>
          <w:sz w:val="20"/>
          <w:szCs w:val="20"/>
          <w:color w:val="auto"/>
        </w:rPr>
      </w:pPr>
    </w:p>
    <w:p>
      <w:pPr>
        <w:jc w:val="both"/>
        <w:ind w:left="1300" w:hanging="320"/>
        <w:spacing w:after="0" w:line="245" w:lineRule="auto"/>
        <w:tabs>
          <w:tab w:leader="none" w:pos="1241"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“Mandatory social charges due on Awards. Notwithstanding any provision of the Plan, the French employer or any other entity of the group or the plan administrator shall be responsible for withholding employee’s social security charges and remit both employer’s and employee’s social security contribution, when due in accordance with the provisions of the French Social Security Code, based on the applicable legislation at date of sale of shares.</w:t>
      </w:r>
    </w:p>
    <w:p>
      <w:pPr>
        <w:spacing w:after="0" w:line="208" w:lineRule="exact"/>
        <w:rPr>
          <w:sz w:val="20"/>
          <w:szCs w:val="20"/>
          <w:color w:val="auto"/>
        </w:rPr>
      </w:pPr>
    </w:p>
    <w:p>
      <w:pPr>
        <w:ind w:left="1300" w:right="20"/>
        <w:spacing w:after="0" w:line="266" w:lineRule="auto"/>
        <w:rPr>
          <w:sz w:val="20"/>
          <w:szCs w:val="20"/>
          <w:color w:val="auto"/>
        </w:rPr>
      </w:pPr>
      <w:r>
        <w:rPr>
          <w:rFonts w:ascii="Times New Roman" w:cs="Times New Roman" w:eastAsia="Times New Roman" w:hAnsi="Times New Roman"/>
          <w:sz w:val="18"/>
          <w:szCs w:val="18"/>
          <w:color w:val="auto"/>
        </w:rPr>
        <w:t>However, in such event, the Participant remains responsible for bearing employee social charges exclusively and accepts any corresponding withholding from his/her proceeds and/or any further settlement required by the employer in this respect.</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Employer remains responsible for bearing the Employer mandatory social security charges.</w:t>
      </w:r>
    </w:p>
    <w:p>
      <w:pPr>
        <w:spacing w:after="0" w:line="239" w:lineRule="exact"/>
        <w:rPr>
          <w:sz w:val="20"/>
          <w:szCs w:val="20"/>
          <w:color w:val="auto"/>
        </w:rPr>
      </w:pPr>
    </w:p>
    <w:p>
      <w:pPr>
        <w:ind w:left="1240" w:hanging="260"/>
        <w:spacing w:after="0"/>
        <w:tabs>
          <w:tab w:leader="none" w:pos="12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Mandatory French income tax withholding. Subject to a change of legislation and/or regulations:</w:t>
      </w:r>
    </w:p>
    <w:p>
      <w:pPr>
        <w:spacing w:after="0" w:line="15" w:lineRule="exact"/>
        <w:rPr>
          <w:rFonts w:ascii="Times New Roman" w:cs="Times New Roman" w:eastAsia="Times New Roman" w:hAnsi="Times New Roman"/>
          <w:sz w:val="18"/>
          <w:szCs w:val="18"/>
          <w:color w:val="auto"/>
        </w:rPr>
      </w:pPr>
    </w:p>
    <w:p>
      <w:pPr>
        <w:ind w:left="1620"/>
        <w:spacing w:after="0" w:line="23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Participant shall bear income tax, employee social charges or any employee taxes which are due,</w:t>
      </w:r>
    </w:p>
    <w:p>
      <w:pPr>
        <w:ind w:left="1620"/>
        <w:spacing w:after="0" w:line="23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Participant expressly and irrevocably agrees:</w:t>
      </w:r>
    </w:p>
    <w:p>
      <w:pPr>
        <w:ind w:left="3080" w:hanging="318"/>
        <w:spacing w:after="0" w:line="234" w:lineRule="auto"/>
        <w:tabs>
          <w:tab w:leader="none" w:pos="3075" w:val="left"/>
        </w:tabs>
        <w:numPr>
          <w:ilvl w:val="2"/>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communicate any personal information necessary to comply with the reporting requirements, related to income tax or social charges pursuant to the law,</w:t>
      </w:r>
    </w:p>
    <w:p>
      <w:pPr>
        <w:spacing w:after="0" w:line="1" w:lineRule="exact"/>
        <w:rPr>
          <w:rFonts w:ascii="Times New Roman" w:cs="Times New Roman" w:eastAsia="Times New Roman" w:hAnsi="Times New Roman"/>
          <w:sz w:val="18"/>
          <w:szCs w:val="18"/>
          <w:color w:val="auto"/>
        </w:rPr>
      </w:pPr>
    </w:p>
    <w:p>
      <w:pPr>
        <w:ind w:left="3080" w:hanging="318"/>
        <w:spacing w:after="0" w:line="243" w:lineRule="auto"/>
        <w:tabs>
          <w:tab w:leader="none" w:pos="3075" w:val="left"/>
        </w:tabs>
        <w:numPr>
          <w:ilvl w:val="2"/>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 withholding of Employee social security contributions or income tax at source be withheld on the Share sale proceeds, if necessary.</w:t>
      </w:r>
    </w:p>
    <w:p>
      <w:pPr>
        <w:spacing w:after="0" w:line="209" w:lineRule="exact"/>
        <w:rPr>
          <w:sz w:val="20"/>
          <w:szCs w:val="20"/>
          <w:color w:val="auto"/>
        </w:rPr>
      </w:pPr>
    </w:p>
    <w:p>
      <w:pPr>
        <w:jc w:val="both"/>
        <w:ind w:left="1540"/>
        <w:spacing w:after="0" w:line="250" w:lineRule="auto"/>
        <w:rPr>
          <w:sz w:val="20"/>
          <w:szCs w:val="20"/>
          <w:color w:val="auto"/>
        </w:rPr>
      </w:pPr>
      <w:r>
        <w:rPr>
          <w:rFonts w:ascii="Times New Roman" w:cs="Times New Roman" w:eastAsia="Times New Roman" w:hAnsi="Times New Roman"/>
          <w:sz w:val="18"/>
          <w:szCs w:val="18"/>
          <w:color w:val="auto"/>
        </w:rPr>
        <w:t>Failing that and on the express request of the Company or one of its Subsidiaries, the Participant can also be required to pay the amount of employee’s contributions and/or income tax and/or any other tax of any kind owed to the Company or to the Subsidiary concerned, which the Participant expressly undertakes to do.</w:t>
      </w:r>
    </w:p>
    <w:p>
      <w:pPr>
        <w:spacing w:after="0" w:line="204" w:lineRule="exact"/>
        <w:rPr>
          <w:sz w:val="20"/>
          <w:szCs w:val="20"/>
          <w:color w:val="auto"/>
        </w:rPr>
      </w:pPr>
    </w:p>
    <w:p>
      <w:pPr>
        <w:jc w:val="both"/>
        <w:ind w:left="1540"/>
        <w:spacing w:after="0" w:line="250" w:lineRule="auto"/>
        <w:rPr>
          <w:sz w:val="20"/>
          <w:szCs w:val="20"/>
          <w:color w:val="auto"/>
        </w:rPr>
      </w:pPr>
      <w:r>
        <w:rPr>
          <w:rFonts w:ascii="Times New Roman" w:cs="Times New Roman" w:eastAsia="Times New Roman" w:hAnsi="Times New Roman"/>
          <w:sz w:val="18"/>
          <w:szCs w:val="18"/>
          <w:color w:val="auto"/>
        </w:rPr>
        <w:t>The Participant expressly and irrevocably agrees that a fraction of vested shares may be sold by the company or one of its subsidiary to cover employee income tax or social tax liabilities or that any other method be implemented in case a withholding would be due, such as withdrawing of shares.</w:t>
      </w:r>
    </w:p>
    <w:p>
      <w:pPr>
        <w:spacing w:after="0" w:line="204" w:lineRule="exact"/>
        <w:rPr>
          <w:sz w:val="20"/>
          <w:szCs w:val="20"/>
          <w:color w:val="auto"/>
        </w:rPr>
      </w:pPr>
    </w:p>
    <w:p>
      <w:pPr>
        <w:jc w:val="both"/>
        <w:ind w:left="1540"/>
        <w:spacing w:after="0" w:line="250" w:lineRule="auto"/>
        <w:rPr>
          <w:sz w:val="20"/>
          <w:szCs w:val="20"/>
          <w:color w:val="auto"/>
        </w:rPr>
      </w:pPr>
      <w:r>
        <w:rPr>
          <w:rFonts w:ascii="Times New Roman" w:cs="Times New Roman" w:eastAsia="Times New Roman" w:hAnsi="Times New Roman"/>
          <w:sz w:val="18"/>
          <w:szCs w:val="18"/>
          <w:color w:val="auto"/>
        </w:rPr>
        <w:t>If the Participant has exercised a professional activity in France prior to the date of exercise, a withholding tax will be assessed on the portion of the exercise gain related to the French source activity realized by the non-French tax resident Participant, following of Article 182A of the French tax code.”</w:t>
      </w:r>
    </w:p>
    <w:p>
      <w:pPr>
        <w:sectPr>
          <w:pgSz w:w="11900" w:h="16838" w:orient="portrait"/>
          <w:cols w:equalWidth="0" w:num="1">
            <w:col w:w="11240"/>
          </w:cols>
          <w:pgMar w:left="320" w:top="887" w:right="339" w:bottom="1440" w:gutter="0" w:footer="0" w:header="0"/>
        </w:sectPr>
      </w:pPr>
    </w:p>
    <w:bookmarkStart w:id="127" w:name="page128"/>
    <w:bookmarkEnd w:id="127"/>
    <w:p>
      <w:pPr>
        <w:jc w:val="both"/>
        <w:ind w:left="1540"/>
        <w:spacing w:after="0" w:line="242" w:lineRule="auto"/>
        <w:rPr>
          <w:sz w:val="20"/>
          <w:szCs w:val="20"/>
          <w:color w:val="auto"/>
        </w:rPr>
      </w:pPr>
      <w:r>
        <w:rPr>
          <w:rFonts w:ascii="Times New Roman" w:cs="Times New Roman" w:eastAsia="Times New Roman" w:hAnsi="Times New Roman"/>
          <w:sz w:val="18"/>
          <w:szCs w:val="18"/>
          <w:color w:val="auto"/>
        </w:rPr>
        <w:t>As from January 1, 2019, a withholding tax at source is implemented in France for French tax resident beneficiaries. Since the Stock-options granted under the French addendum to the Brady Corporation 2017 Omnibus Incentive Plan are qualified, the stock-option exercise gain should be out of the scope of this withholding tax. However, in case the stock-options would become disqualifying, the employer will be required to withhold income tax on the stock-option exercise gain via the employee payslip and remit it over to the French Tax Authorities.”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XIII. GENERAL</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“Participant’s Death”, notwithstanding any other provision of the plan, it is added in Paragraph 13.04 (a &amp; b) of the Plan:</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Notwithstanding any provision of the Plan, if an Eligible Participant dies while an Employee by the Corporation, then the Eligible Participant’s personal representative in accordance with the laws of decent shall have the right to exercise the unexercised Stock Options and to transfer of underlying shares in the period of </w:t>
      </w:r>
      <w:r>
        <w:rPr>
          <w:rFonts w:ascii="Times New Roman" w:cs="Times New Roman" w:eastAsia="Times New Roman" w:hAnsi="Times New Roman"/>
          <w:sz w:val="18"/>
          <w:szCs w:val="18"/>
          <w:u w:val="single" w:color="auto"/>
          <w:color w:val="auto"/>
        </w:rPr>
        <w:t>six months</w:t>
      </w:r>
      <w:r>
        <w:rPr>
          <w:rFonts w:ascii="Times New Roman" w:cs="Times New Roman" w:eastAsia="Times New Roman" w:hAnsi="Times New Roman"/>
          <w:sz w:val="18"/>
          <w:szCs w:val="18"/>
          <w:color w:val="auto"/>
        </w:rPr>
        <w:t xml:space="preserve"> following the death of an Eligible Participant.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“Restrictions for Corporate Officers”, notwithstanding any other provision of the plan, it is added in Paragraph 13.04 (d) of the Plan:</w:t>
      </w:r>
    </w:p>
    <w:p>
      <w:pPr>
        <w:spacing w:after="0" w:line="24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Notwithstanding any provision of the Plan, the Committee upon Grant of Awards governed by this Addendum to, Eligible Participants, due in respect of their capacity of Corporate Officers of Brady Corporation, may either decide:</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that no Option can be exercised during their mandate prior to their removal from office (“</w:t>
      </w:r>
      <w:r>
        <w:rPr>
          <w:rFonts w:ascii="Times New Roman" w:cs="Times New Roman" w:eastAsia="Times New Roman" w:hAnsi="Times New Roman"/>
          <w:sz w:val="18"/>
          <w:szCs w:val="18"/>
          <w:i w:val="1"/>
          <w:iCs w:val="1"/>
          <w:color w:val="auto"/>
        </w:rPr>
        <w:t>révocation en qualité de mandataire social</w:t>
      </w:r>
      <w:r>
        <w:rPr>
          <w:rFonts w:ascii="Times New Roman" w:cs="Times New Roman" w:eastAsia="Times New Roman" w:hAnsi="Times New Roman"/>
          <w:sz w:val="18"/>
          <w:szCs w:val="18"/>
          <w:color w:val="auto"/>
        </w:rPr>
        <w:t>”); or,</w:t>
      </w:r>
    </w:p>
    <w:p>
      <w:pPr>
        <w:spacing w:after="0" w:line="240" w:lineRule="exact"/>
        <w:rPr>
          <w:sz w:val="20"/>
          <w:szCs w:val="20"/>
          <w:color w:val="auto"/>
        </w:rPr>
      </w:pPr>
    </w:p>
    <w:p>
      <w:pPr>
        <w:ind w:left="660" w:hanging="324"/>
        <w:spacing w:after="0" w:line="266" w:lineRule="auto"/>
        <w:rPr>
          <w:sz w:val="20"/>
          <w:szCs w:val="20"/>
          <w:color w:val="auto"/>
        </w:rPr>
      </w:pPr>
      <w:r>
        <w:rPr>
          <w:rFonts w:ascii="Times New Roman" w:cs="Times New Roman" w:eastAsia="Times New Roman" w:hAnsi="Times New Roman"/>
          <w:sz w:val="18"/>
          <w:szCs w:val="18"/>
          <w:color w:val="auto"/>
        </w:rPr>
        <w:t>– to determine the amount/percentage of Shares of Common Stock acquired upon Option’s exercise which has to be held by the corporate officers until removal from office (“</w:t>
      </w:r>
      <w:r>
        <w:rPr>
          <w:rFonts w:ascii="Times New Roman" w:cs="Times New Roman" w:eastAsia="Times New Roman" w:hAnsi="Times New Roman"/>
          <w:sz w:val="18"/>
          <w:szCs w:val="18"/>
          <w:i w:val="1"/>
          <w:iCs w:val="1"/>
          <w:color w:val="auto"/>
        </w:rPr>
        <w:t>révocation en qualité de mandataire social</w:t>
      </w:r>
      <w:r>
        <w:rPr>
          <w:rFonts w:ascii="Times New Roman" w:cs="Times New Roman" w:eastAsia="Times New Roman" w:hAnsi="Times New Roman"/>
          <w:sz w:val="18"/>
          <w:szCs w:val="18"/>
          <w:color w:val="auto"/>
        </w:rPr>
        <w:t>”) and cannot consequently be sold for the duration of their mandate.</w:t>
      </w:r>
    </w:p>
    <w:p>
      <w:pPr>
        <w:spacing w:after="0" w:line="18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renewal of mandate does not constitute a “removal from office” (“</w:t>
      </w:r>
      <w:r>
        <w:rPr>
          <w:rFonts w:ascii="Times New Roman" w:cs="Times New Roman" w:eastAsia="Times New Roman" w:hAnsi="Times New Roman"/>
          <w:sz w:val="18"/>
          <w:szCs w:val="18"/>
          <w:i w:val="1"/>
          <w:iCs w:val="1"/>
          <w:color w:val="auto"/>
        </w:rPr>
        <w:t>révocation en qualité de mandataire social</w:t>
      </w:r>
      <w:r>
        <w:rPr>
          <w:rFonts w:ascii="Times New Roman" w:cs="Times New Roman" w:eastAsia="Times New Roman" w:hAnsi="Times New Roman"/>
          <w:sz w:val="18"/>
          <w:szCs w:val="18"/>
          <w:color w:val="auto"/>
        </w:rPr>
        <w:t>”). A removal from office must be valid pursuant to French laws and regulations.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case of Participant’s death</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Notwithstanding any provision of the Plan and the present Addendum to the contrary, in the event of the Participant’s death, the heirs shall not be subject to the Restriction for Corporate Officers. His/her heirs may request, within a period of time not exceeding six (6) months from the date of death, the exercise of all options and the transfer of underlying shares.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Clawback, notwithstanding any other provision of the plan, it is added in Section 13.15 of the Plan:</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the provisions Section XIII, 13.15 of the Plan, the Clawback clause shall not apply to Vested French Qualified Awards, unless subsequently permitted under French Labor Law and the rules of the Plan will be construed accordingly.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“Collection, Treatment and Storage of Data” is added in Section 13.16 of the Plan:</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Each Participant must expressly authorize the collection, treatment and storage of personal data provided by them to any Group entity or third party service provider, for any purpose related to the implementation of the French Addendum, in accordance with the European General Data Protection Regulation ("GDPR"), which came into force on May 25, 2018. This includes, but is not limited to:</w:t>
      </w:r>
    </w:p>
    <w:p>
      <w:pPr>
        <w:spacing w:after="0" w:line="2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Management and maintenance of the Participant’s account;</w:t>
      </w:r>
    </w:p>
    <w:p>
      <w:pPr>
        <w:spacing w:after="0" w:line="15" w:lineRule="exact"/>
        <w:rPr>
          <w:sz w:val="20"/>
          <w:szCs w:val="20"/>
          <w:color w:val="auto"/>
        </w:rPr>
      </w:pPr>
    </w:p>
    <w:p>
      <w:pPr>
        <w:ind w:left="340"/>
        <w:spacing w:after="0" w:line="234" w:lineRule="auto"/>
        <w:rPr>
          <w:sz w:val="20"/>
          <w:szCs w:val="20"/>
          <w:color w:val="auto"/>
        </w:rPr>
      </w:pPr>
      <w:r>
        <w:rPr>
          <w:rFonts w:ascii="Times New Roman" w:cs="Times New Roman" w:eastAsia="Times New Roman" w:hAnsi="Times New Roman"/>
          <w:sz w:val="18"/>
          <w:szCs w:val="18"/>
          <w:color w:val="auto"/>
        </w:rPr>
        <w:t>–   Communication of information to Group entities, registrars holders, financial intermediaries or third party administrators of the Plan; and,</w:t>
      </w:r>
    </w:p>
    <w:p>
      <w:pPr>
        <w:ind w:left="340"/>
        <w:spacing w:after="0"/>
        <w:rPr>
          <w:sz w:val="20"/>
          <w:szCs w:val="20"/>
          <w:color w:val="auto"/>
        </w:rPr>
      </w:pPr>
      <w:r>
        <w:rPr>
          <w:rFonts w:ascii="Times New Roman" w:cs="Times New Roman" w:eastAsia="Times New Roman" w:hAnsi="Times New Roman"/>
          <w:sz w:val="18"/>
          <w:szCs w:val="18"/>
          <w:color w:val="auto"/>
        </w:rPr>
        <w:t>–   Communication of information to future owners of any member of Group or a business thereof in which the Participant works.</w:t>
      </w:r>
    </w:p>
    <w:p>
      <w:pPr>
        <w:sectPr>
          <w:pgSz w:w="11900" w:h="16838" w:orient="portrait"/>
          <w:cols w:equalWidth="0" w:num="1">
            <w:col w:w="11240"/>
          </w:cols>
          <w:pgMar w:left="320" w:top="1134"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10.36</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BRADY CORPORATION</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ADDENDUM TO THE BRADY CORPORATION 2017 OMNIBUS INCENTIVE PLAN</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PARTICIPANTS IN FRANCE</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QUALIFIED RESTRICTED STOCK UNITS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I. INTRODUCTION</w:t>
      </w:r>
    </w:p>
    <w:p>
      <w:pPr>
        <w:spacing w:after="0" w:line="24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This Addendum modifies the terms and conditions of the Brady Corporation 2017 Omnibus Incentive (the “</w:t>
      </w:r>
      <w:r>
        <w:rPr>
          <w:rFonts w:ascii="Arial" w:cs="Arial" w:eastAsia="Arial" w:hAnsi="Arial"/>
          <w:sz w:val="18"/>
          <w:szCs w:val="18"/>
          <w:color w:val="auto"/>
        </w:rPr>
        <w:t>Plan</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xml:space="preserve"> with respect to the Awards which are intended to be Qualified Restricted Stocks Units and are designated as such in the Restricted Stocks Units Agreements.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purpose of this Addendum is to ensure that Qualified Restricted Stocks Units Awards are in compliance with the applicable legislation.</w:t>
      </w:r>
    </w:p>
    <w:p>
      <w:pPr>
        <w:spacing w:after="0" w:line="23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terms and conditions of this Addendum are identical to the Plan except as provided below. They have to be read in conjunction with the Plan rules. In the event of any conflict between the terms and conditions of this Addendum and the Plan, the provisions of this Addendum shall prevail for the grants made hereunder.</w:t>
      </w:r>
    </w:p>
    <w:p>
      <w:pPr>
        <w:spacing w:after="0" w:line="2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This Addendum applies to awards granted to Eligible Participants who are working in France or French tax resident as defined by French tax legislation at Grant Date. Nevertheless, the Administrator may also consider applying the Addendum to Awards made to mobile employees moving to France after Grant Date.</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II. DEFINITIONS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“Award”, notwithstanding any other provision of the plan, the following provision is added in Section 2, (2.04) of the Plan:</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Notwithstanding any provision of the Plan, “Award” means a grant of Qualified Restricted Stock Units subject to the restrictions stated in the Plan rules for Restricted Stock Units as amended by this Addendum. Awards made under this Addendum cannot therefore take the form of Stock Option, Stock Appreciation Right, Restricted Stock, Unrestricted Stock or Cash incentive Awards.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“Eligible Individual”, notwithstanding any other provision of the plan, the following provisions are added in Section 2 (2.13) and Paragraph</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5.01 of the Plan:</w:t>
      </w:r>
    </w:p>
    <w:p>
      <w:pPr>
        <w:spacing w:after="0" w:line="2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Notwithstanding any provision of the Plan, the Eligible Participants in France to whom Qualified Restricted Stock Units may be granted according to Section 2 Paragraph 2.13 and Section V Paragraph 5.01 of the Plan are defined, in articles L.225-197-1 to L.225-197-6 of the French Commercial Code, as follows:</w:t>
      </w:r>
    </w:p>
    <w:p>
      <w:pPr>
        <w:spacing w:after="0" w:line="204" w:lineRule="exact"/>
        <w:rPr>
          <w:sz w:val="20"/>
          <w:szCs w:val="20"/>
          <w:color w:val="auto"/>
        </w:rPr>
      </w:pPr>
    </w:p>
    <w:p>
      <w:pPr>
        <w:jc w:val="both"/>
        <w:ind w:left="660" w:hanging="323"/>
        <w:spacing w:after="0" w:line="245" w:lineRule="auto"/>
        <w:rPr>
          <w:sz w:val="20"/>
          <w:szCs w:val="20"/>
          <w:color w:val="auto"/>
        </w:rPr>
      </w:pPr>
      <w:r>
        <w:rPr>
          <w:rFonts w:ascii="Times New Roman" w:cs="Times New Roman" w:eastAsia="Times New Roman" w:hAnsi="Times New Roman"/>
          <w:sz w:val="18"/>
          <w:szCs w:val="18"/>
          <w:color w:val="auto"/>
        </w:rPr>
        <w:t>a. Qualified Restricted Stock Units may only be granted to employees or Corporate Officers in the US and to the following corporate officers in France: “Président du Conseil d’Administration”, “Directeur Général”, “Directeurs Généraux délégués”, Members of the “Directoire”, “Gérant” of the “Société par actions”, President of a Simplified Joint Stock Company (“Président d’une Société par Actions Simplifiée”) of the granting Corporation or of any Parent or Subsidiary of the granting Corporation.</w:t>
      </w: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 The Eligible Participants to receive Qualified Restricted Stock Units must be employed/appointed by the Corporation or within the group, i.e.:</w:t>
      </w:r>
    </w:p>
    <w:p>
      <w:pPr>
        <w:spacing w:after="0" w:line="2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–Those companies in which the Corporation holds at least 10% of the voting rights and/or equity directly or indirectly;</w:t>
      </w:r>
    </w:p>
    <w:p>
      <w:pPr>
        <w:spacing w:after="0" w:line="23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–Those companies which hold at least 10% of the voting rights and/or equity directly or indirectly in the Corporation;</w:t>
      </w:r>
    </w:p>
    <w:p>
      <w:pPr>
        <w:sectPr>
          <w:pgSz w:w="11900" w:h="16838" w:orient="portrait"/>
          <w:cols w:equalWidth="0" w:num="1">
            <w:col w:w="11240"/>
          </w:cols>
          <w:pgMar w:left="320" w:top="887" w:right="339" w:bottom="1440" w:gutter="0" w:footer="0" w:header="0"/>
        </w:sectPr>
      </w:pPr>
    </w:p>
    <w:bookmarkStart w:id="129" w:name="page130"/>
    <w:bookmarkEnd w:id="129"/>
    <w:p>
      <w:pPr>
        <w:ind w:left="1340"/>
        <w:spacing w:after="0" w:line="266" w:lineRule="auto"/>
        <w:rPr>
          <w:sz w:val="20"/>
          <w:szCs w:val="20"/>
          <w:color w:val="auto"/>
        </w:rPr>
      </w:pPr>
      <w:r>
        <w:rPr>
          <w:rFonts w:ascii="Times New Roman" w:cs="Times New Roman" w:eastAsia="Times New Roman" w:hAnsi="Times New Roman"/>
          <w:sz w:val="18"/>
          <w:szCs w:val="18"/>
          <w:color w:val="auto"/>
        </w:rPr>
        <w:t>– Those companies in which 50% of the equity or voting rights are held, directly or indirectly, by a Corporation which itself holds at least 50% of the Corporation.</w:t>
      </w:r>
    </w:p>
    <w:p>
      <w:pPr>
        <w:spacing w:after="0" w:line="189" w:lineRule="exact"/>
        <w:rPr>
          <w:sz w:val="20"/>
          <w:szCs w:val="20"/>
          <w:color w:val="auto"/>
        </w:rPr>
      </w:pPr>
    </w:p>
    <w:p>
      <w:pPr>
        <w:ind w:left="700" w:hanging="328"/>
        <w:spacing w:after="0" w:line="266" w:lineRule="auto"/>
        <w:tabs>
          <w:tab w:leader="none" w:pos="546"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Restricted Stock Units may not be granted to employees or officers holding more than 10% of the issued share capital of the Corporation or any holder who, after having received shares under this Addendum, would hold more than 10% of the issued share capital in the Corporation.</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2.3 “Restricted Stock Unit”: notwithstanding any other provision of the plan, the following provision is added in Section II (2.30) of the Plan:</w:t>
      </w:r>
    </w:p>
    <w:p>
      <w:pPr>
        <w:spacing w:after="0" w:line="243" w:lineRule="exact"/>
        <w:rPr>
          <w:sz w:val="20"/>
          <w:szCs w:val="20"/>
          <w:color w:val="auto"/>
        </w:rPr>
      </w:pPr>
    </w:p>
    <w:p>
      <w:pPr>
        <w:ind w:left="40"/>
        <w:spacing w:after="0" w:line="266" w:lineRule="auto"/>
        <w:rPr>
          <w:sz w:val="20"/>
          <w:szCs w:val="20"/>
          <w:color w:val="auto"/>
        </w:rPr>
      </w:pPr>
      <w:r>
        <w:rPr>
          <w:rFonts w:ascii="Times New Roman" w:cs="Times New Roman" w:eastAsia="Times New Roman" w:hAnsi="Times New Roman"/>
          <w:sz w:val="18"/>
          <w:szCs w:val="18"/>
          <w:color w:val="auto"/>
        </w:rPr>
        <w:t>This Restricted Stock Unit consists in a conditional right to receive Shares (newly issued or market purchased or Treasury Shares) at no cost to the Participant, which is designated as a French Qualified Award.</w:t>
      </w:r>
    </w:p>
    <w:p>
      <w:pPr>
        <w:spacing w:after="0" w:line="1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Notwithstanding any provision of the Plan to the contrary, Awards made under this French Addendum must be exclusively settled in Shares.</w:t>
      </w:r>
    </w:p>
    <w:p>
      <w:pPr>
        <w:spacing w:after="0" w:line="2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2.4 “Date of Grant”: notwithstanding any other provision of the plan, the following provision is added in Section 2 of the Plan (2.17):</w:t>
      </w:r>
    </w:p>
    <w:p>
      <w:pPr>
        <w:spacing w:after="0" w:line="243" w:lineRule="exact"/>
        <w:rPr>
          <w:sz w:val="20"/>
          <w:szCs w:val="20"/>
          <w:color w:val="auto"/>
        </w:rPr>
      </w:pPr>
    </w:p>
    <w:p>
      <w:pPr>
        <w:ind w:left="40"/>
        <w:spacing w:after="0" w:line="266" w:lineRule="auto"/>
        <w:rPr>
          <w:sz w:val="20"/>
          <w:szCs w:val="20"/>
          <w:color w:val="auto"/>
        </w:rPr>
      </w:pPr>
      <w:r>
        <w:rPr>
          <w:rFonts w:ascii="Times New Roman" w:cs="Times New Roman" w:eastAsia="Times New Roman" w:hAnsi="Times New Roman"/>
          <w:sz w:val="18"/>
          <w:szCs w:val="18"/>
          <w:u w:val="single" w:color="auto"/>
          <w:color w:val="auto"/>
        </w:rPr>
        <w:t>Date of Grant</w:t>
      </w:r>
      <w:r>
        <w:rPr>
          <w:rFonts w:ascii="Times New Roman" w:cs="Times New Roman" w:eastAsia="Times New Roman" w:hAnsi="Times New Roman"/>
          <w:sz w:val="18"/>
          <w:szCs w:val="18"/>
          <w:color w:val="auto"/>
        </w:rPr>
        <w:t xml:space="preserve"> means the date upon which the Board or the duly appointed Committee approves the grant to an Eligible Participant of Qualified Share Units and specifies the exact terms and conditions of such awards.</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2.5 In Section 2 of the Plan, the following definitions have been added:</w:t>
      </w: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auto"/>
        </w:rPr>
        <w:t>Qualified Restricted Share Units</w:t>
      </w:r>
      <w:r>
        <w:rPr>
          <w:rFonts w:ascii="Times New Roman" w:cs="Times New Roman" w:eastAsia="Times New Roman" w:hAnsi="Times New Roman"/>
          <w:sz w:val="18"/>
          <w:szCs w:val="18"/>
          <w:color w:val="auto"/>
        </w:rPr>
        <w:t xml:space="preserve"> mean a qualified restricted share units award within the meaning of:</w:t>
      </w:r>
    </w:p>
    <w:p>
      <w:pPr>
        <w:spacing w:after="0" w:line="239" w:lineRule="exact"/>
        <w:rPr>
          <w:sz w:val="20"/>
          <w:szCs w:val="20"/>
          <w:color w:val="auto"/>
        </w:rPr>
      </w:pPr>
    </w:p>
    <w:p>
      <w:pPr>
        <w:ind w:left="480" w:hanging="108"/>
        <w:spacing w:after="0"/>
        <w:tabs>
          <w:tab w:leader="none" w:pos="4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Articles L.225-197-1 to L.225-197-6 of the French Commercial Code for legal purposes;</w:t>
      </w:r>
    </w:p>
    <w:p>
      <w:pPr>
        <w:spacing w:after="0" w:line="15" w:lineRule="exact"/>
        <w:rPr>
          <w:rFonts w:ascii="Times New Roman" w:cs="Times New Roman" w:eastAsia="Times New Roman" w:hAnsi="Times New Roman"/>
          <w:sz w:val="18"/>
          <w:szCs w:val="18"/>
          <w:color w:val="auto"/>
        </w:rPr>
      </w:pPr>
    </w:p>
    <w:p>
      <w:pPr>
        <w:ind w:left="480" w:hanging="108"/>
        <w:spacing w:after="0" w:line="234" w:lineRule="auto"/>
        <w:tabs>
          <w:tab w:leader="none" w:pos="4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80 quaterdecies and 200 A 3. of the French General Tax Code for tax purposes; and,</w:t>
      </w:r>
    </w:p>
    <w:p>
      <w:pPr>
        <w:ind w:left="480" w:hanging="108"/>
        <w:spacing w:after="0"/>
        <w:tabs>
          <w:tab w:leader="none" w:pos="4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Articles L.242-1, II, 6°, L.137-13 and L.137-14 of the French Social Security Code for social security purposes.</w:t>
      </w:r>
    </w:p>
    <w:p>
      <w:pPr>
        <w:spacing w:after="0" w:line="219" w:lineRule="exact"/>
        <w:rPr>
          <w:sz w:val="20"/>
          <w:szCs w:val="20"/>
          <w:color w:val="auto"/>
        </w:rPr>
      </w:pPr>
    </w:p>
    <w:p>
      <w:pPr>
        <w:ind w:left="40"/>
        <w:spacing w:after="0" w:line="266" w:lineRule="auto"/>
        <w:rPr>
          <w:sz w:val="20"/>
          <w:szCs w:val="20"/>
          <w:color w:val="auto"/>
        </w:rPr>
      </w:pPr>
      <w:r>
        <w:rPr>
          <w:rFonts w:ascii="Times New Roman" w:cs="Times New Roman" w:eastAsia="Times New Roman" w:hAnsi="Times New Roman"/>
          <w:sz w:val="18"/>
          <w:szCs w:val="18"/>
          <w:color w:val="auto"/>
        </w:rPr>
        <w:t>Those Restricted Stocks Units will be granted in conformity with the Addendum and the French legislation. It is a conditional right to receive Shares in the future, subject to satisfaction of continued employment, and granted pursuant to the Plan.</w:t>
      </w:r>
    </w:p>
    <w:p>
      <w:pPr>
        <w:spacing w:after="0" w:line="189" w:lineRule="exact"/>
        <w:rPr>
          <w:sz w:val="20"/>
          <w:szCs w:val="20"/>
          <w:color w:val="auto"/>
        </w:rPr>
      </w:pPr>
    </w:p>
    <w:p>
      <w:pPr>
        <w:ind w:left="40"/>
        <w:spacing w:after="0" w:line="266" w:lineRule="auto"/>
        <w:rPr>
          <w:sz w:val="20"/>
          <w:szCs w:val="20"/>
          <w:color w:val="auto"/>
        </w:rPr>
      </w:pPr>
      <w:r>
        <w:rPr>
          <w:rFonts w:ascii="Times New Roman" w:cs="Times New Roman" w:eastAsia="Times New Roman" w:hAnsi="Times New Roman"/>
          <w:sz w:val="18"/>
          <w:szCs w:val="18"/>
          <w:color w:val="auto"/>
        </w:rPr>
        <w:t>That means that the Participant has no shareholder rights, including the right to vote or to receive dividends, until the Restricted Stocks Unit is duly vested and the legal ownership of shares is transferred to the Participant.</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2.6 In Section 2 of the Plan, the following definition has been added:</w:t>
      </w: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auto"/>
        </w:rPr>
        <w:t>“Date of vesting”</w:t>
      </w:r>
      <w:r>
        <w:rPr>
          <w:rFonts w:ascii="Times New Roman" w:cs="Times New Roman" w:eastAsia="Times New Roman" w:hAnsi="Times New Roman"/>
          <w:sz w:val="18"/>
          <w:szCs w:val="18"/>
          <w:color w:val="auto"/>
        </w:rPr>
        <w:t xml:space="preserve"> has the meaning contained in section VIII. 1 of the present addendum.</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III. SHARES SUBJECT TO AWARDS</w:t>
      </w: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“Available Shares”, notwithstanding any other provision of the plan, the following provisions are added in Paragraph 3.01 of the Plan:</w:t>
      </w: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Shares of the Corporation to be delivered under the Plan may be </w:t>
      </w:r>
      <w:r>
        <w:rPr>
          <w:rFonts w:ascii="Times New Roman" w:cs="Times New Roman" w:eastAsia="Times New Roman" w:hAnsi="Times New Roman"/>
          <w:sz w:val="18"/>
          <w:szCs w:val="18"/>
          <w:u w:val="single" w:color="auto"/>
          <w:color w:val="auto"/>
        </w:rPr>
        <w:t>market repurchased shares</w:t>
      </w:r>
      <w:r>
        <w:rPr>
          <w:rFonts w:ascii="Times New Roman" w:cs="Times New Roman" w:eastAsia="Times New Roman" w:hAnsi="Times New Roman"/>
          <w:sz w:val="18"/>
          <w:szCs w:val="18"/>
          <w:color w:val="auto"/>
        </w:rPr>
        <w:t xml:space="preserve"> (already existing shares) or </w:t>
      </w:r>
      <w:r>
        <w:rPr>
          <w:rFonts w:ascii="Times New Roman" w:cs="Times New Roman" w:eastAsia="Times New Roman" w:hAnsi="Times New Roman"/>
          <w:sz w:val="18"/>
          <w:szCs w:val="18"/>
          <w:u w:val="single" w:color="auto"/>
          <w:color w:val="auto"/>
        </w:rPr>
        <w:t>newly issued shares</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ind w:left="40"/>
        <w:spacing w:after="0" w:line="266" w:lineRule="auto"/>
        <w:rPr>
          <w:sz w:val="20"/>
          <w:szCs w:val="20"/>
          <w:color w:val="auto"/>
        </w:rPr>
      </w:pPr>
      <w:r>
        <w:rPr>
          <w:rFonts w:ascii="Times New Roman" w:cs="Times New Roman" w:eastAsia="Times New Roman" w:hAnsi="Times New Roman"/>
          <w:sz w:val="18"/>
          <w:szCs w:val="18"/>
          <w:color w:val="auto"/>
        </w:rPr>
        <w:t xml:space="preserve">For award granted over already existing shares, corresponding shares shall be repurchased by the Corporation at least </w:t>
      </w:r>
      <w:r>
        <w:rPr>
          <w:rFonts w:ascii="Times New Roman" w:cs="Times New Roman" w:eastAsia="Times New Roman" w:hAnsi="Times New Roman"/>
          <w:sz w:val="18"/>
          <w:szCs w:val="18"/>
          <w:u w:val="single" w:color="auto"/>
          <w:color w:val="auto"/>
        </w:rPr>
        <w:t>one day</w:t>
      </w:r>
      <w:r>
        <w:rPr>
          <w:rFonts w:ascii="Times New Roman" w:cs="Times New Roman" w:eastAsia="Times New Roman" w:hAnsi="Times New Roman"/>
          <w:sz w:val="18"/>
          <w:szCs w:val="18"/>
          <w:color w:val="auto"/>
        </w:rPr>
        <w:t xml:space="preserve"> before the applicable Vesting Date.</w:t>
      </w:r>
    </w:p>
    <w:p>
      <w:pPr>
        <w:spacing w:after="0" w:line="189" w:lineRule="exact"/>
        <w:rPr>
          <w:sz w:val="20"/>
          <w:szCs w:val="20"/>
          <w:color w:val="auto"/>
        </w:rPr>
      </w:pPr>
    </w:p>
    <w:p>
      <w:pPr>
        <w:ind w:left="40"/>
        <w:spacing w:after="0" w:line="266" w:lineRule="auto"/>
        <w:rPr>
          <w:sz w:val="20"/>
          <w:szCs w:val="20"/>
          <w:color w:val="auto"/>
        </w:rPr>
      </w:pPr>
      <w:r>
        <w:rPr>
          <w:rFonts w:ascii="Times New Roman" w:cs="Times New Roman" w:eastAsia="Times New Roman" w:hAnsi="Times New Roman"/>
          <w:sz w:val="18"/>
          <w:szCs w:val="18"/>
          <w:color w:val="auto"/>
        </w:rPr>
        <w:t>No qualified restricted shares units shall be granted pursuant to this Addendum, which would result in the total number of shares of common stock to be delivered to exceed ten percent (</w:t>
      </w:r>
      <w:r>
        <w:rPr>
          <w:rFonts w:ascii="Times New Roman" w:cs="Times New Roman" w:eastAsia="Times New Roman" w:hAnsi="Times New Roman"/>
          <w:sz w:val="18"/>
          <w:szCs w:val="18"/>
          <w:b w:val="1"/>
          <w:bCs w:val="1"/>
          <w:color w:val="auto"/>
        </w:rPr>
        <w:t>10%</w:t>
      </w:r>
      <w:r>
        <w:rPr>
          <w:rFonts w:ascii="Times New Roman" w:cs="Times New Roman" w:eastAsia="Times New Roman" w:hAnsi="Times New Roman"/>
          <w:sz w:val="18"/>
          <w:szCs w:val="18"/>
          <w:color w:val="auto"/>
        </w:rPr>
        <w:t>) of Corporation’s issued share capital upon each Grant Date.</w:t>
      </w:r>
    </w:p>
    <w:p>
      <w:pPr>
        <w:spacing w:after="0" w:line="189" w:lineRule="exact"/>
        <w:rPr>
          <w:sz w:val="20"/>
          <w:szCs w:val="20"/>
          <w:color w:val="auto"/>
        </w:rPr>
      </w:pPr>
    </w:p>
    <w:p>
      <w:pPr>
        <w:ind w:left="40"/>
        <w:spacing w:after="0" w:line="266" w:lineRule="auto"/>
        <w:rPr>
          <w:sz w:val="20"/>
          <w:szCs w:val="20"/>
          <w:color w:val="auto"/>
        </w:rPr>
      </w:pPr>
      <w:r>
        <w:rPr>
          <w:rFonts w:ascii="Times New Roman" w:cs="Times New Roman" w:eastAsia="Times New Roman" w:hAnsi="Times New Roman"/>
          <w:sz w:val="18"/>
          <w:szCs w:val="18"/>
          <w:color w:val="auto"/>
        </w:rPr>
        <w:t>Respect to this limit shall be appreciated on each Grant date. Both units that have not lapsed prior the end of the vesting period and shares that are no longer subject to holding period are excluded when calculating this limit.</w:t>
      </w:r>
    </w:p>
    <w:p>
      <w:pPr>
        <w:sectPr>
          <w:pgSz w:w="11900" w:h="16838" w:orient="portrait"/>
          <w:cols w:equalWidth="0" w:num="1">
            <w:col w:w="11280"/>
          </w:cols>
          <w:pgMar w:left="280" w:top="891"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color w:val="auto"/>
        </w:rPr>
        <w:t>SECTION IV. ADMINISTRATION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Addendum does not amend this section in Paragraph 4.01 of the Plan “Administration”:</w:t>
      </w:r>
    </w:p>
    <w:p>
      <w:pPr>
        <w:spacing w:after="0" w:line="23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purposes of the power to grant Awards to directors, the Administrator shall consist of the entire Board, which may delegate any or all of its authority to a committee of the Board.</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V. PARTICIPATION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“Eligibility”, in Paragraph 5.01 of the Plan: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amendment to this Section is included in Section II Paragraph 2.2 of this addendum.</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VI. STOCK OPTIONS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Addendum cancels this Section.</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VII. STOCK APPRECIATION RIGHTS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Addendum cancels this Section.</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VIII. RESTRICTED STOCK AND RESTRICTED STOCK UNITS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“Vesting schedule of Restricted Stock Units”, notwithstanding any other provision of the plan, it is added in Section 8.01 of the Plan: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Vesting Date the Participant’s Award becomes unconditional and units are converted into shares. The original vesting schedule contained in section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VIII. 8.01 is maintained:</w:t>
      </w:r>
    </w:p>
    <w:p>
      <w:pPr>
        <w:spacing w:after="0" w:line="259" w:lineRule="exact"/>
        <w:rPr>
          <w:sz w:val="20"/>
          <w:szCs w:val="20"/>
          <w:color w:val="auto"/>
        </w:rPr>
      </w:pPr>
    </w:p>
    <w:tbl>
      <w:tblPr>
        <w:tblLayout w:type="fixed"/>
        <w:tblInd w:w="2220" w:type="dxa"/>
        <w:tblCellMar>
          <w:top w:w="0" w:type="dxa"/>
          <w:left w:w="0" w:type="dxa"/>
          <w:bottom w:w="0" w:type="dxa"/>
          <w:right w:w="0" w:type="dxa"/>
        </w:tblCellMar>
      </w:tblPr>
      <w:tr>
        <w:trPr>
          <w:trHeight w:val="207"/>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Years After Date of Grant</w:t>
            </w: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w w:val="99"/>
              </w:rPr>
              <w:t>Cumulative Percentage of Shares</w:t>
            </w:r>
          </w:p>
        </w:tc>
      </w:tr>
      <w:tr>
        <w:trPr>
          <w:trHeight w:val="291"/>
        </w:trPr>
        <w:tc>
          <w:tcPr>
            <w:tcW w:w="1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Less than 1</w:t>
            </w:r>
          </w:p>
        </w:tc>
        <w:tc>
          <w:tcPr>
            <w:tcW w:w="2720" w:type="dxa"/>
            <w:vAlign w:val="bottom"/>
          </w:tcPr>
          <w:p>
            <w:pPr>
              <w:spacing w:after="0"/>
              <w:rPr>
                <w:sz w:val="24"/>
                <w:szCs w:val="24"/>
                <w:color w:val="auto"/>
              </w:rPr>
            </w:pPr>
          </w:p>
        </w:tc>
        <w:tc>
          <w:tcPr>
            <w:tcW w:w="2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270"/>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least 1 but less than 2</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33-1/3%</w:t>
            </w:r>
          </w:p>
        </w:tc>
      </w:tr>
      <w:tr>
        <w:trPr>
          <w:trHeight w:val="270"/>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least 2 but less than 3</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66-2/3%</w:t>
            </w:r>
          </w:p>
        </w:tc>
      </w:tr>
      <w:tr>
        <w:trPr>
          <w:trHeight w:val="270"/>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 or more</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French legislation L 225-197-1 a share sale restriction is created for:</w:t>
      </w:r>
    </w:p>
    <w:p>
      <w:pPr>
        <w:spacing w:after="0" w:line="2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units vested at least 1 but but less than 2 years after Date of Grant;</w:t>
      </w:r>
    </w:p>
    <w:p>
      <w:pPr>
        <w:spacing w:after="0" w:line="238" w:lineRule="exact"/>
        <w:rPr>
          <w:sz w:val="20"/>
          <w:szCs w:val="20"/>
          <w:color w:val="auto"/>
        </w:rPr>
      </w:pPr>
    </w:p>
    <w:p>
      <w:pPr>
        <w:ind w:right="320" w:firstLine="324"/>
        <w:spacing w:after="0" w:line="451" w:lineRule="auto"/>
        <w:rPr>
          <w:sz w:val="20"/>
          <w:szCs w:val="20"/>
          <w:color w:val="auto"/>
        </w:rPr>
      </w:pPr>
      <w:r>
        <w:rPr>
          <w:rFonts w:ascii="Times New Roman" w:cs="Times New Roman" w:eastAsia="Times New Roman" w:hAnsi="Times New Roman"/>
          <w:sz w:val="18"/>
          <w:szCs w:val="18"/>
          <w:color w:val="auto"/>
        </w:rPr>
        <w:t>– any units, that should not have vested prior the 2 years after Date of Grant, that would vest prior the 2 years due to exceptional Board decision. This share sale restriction applies from the date of vesting and expires at the latest on the 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8"/>
          <w:szCs w:val="18"/>
          <w:color w:val="auto"/>
        </w:rPr>
        <w:t xml:space="preserve"> year after the Date of Grant.</w:t>
      </w:r>
    </w:p>
    <w:p>
      <w:pPr>
        <w:spacing w:after="0" w:line="1" w:lineRule="exact"/>
        <w:rPr>
          <w:sz w:val="20"/>
          <w:szCs w:val="20"/>
          <w:color w:val="auto"/>
        </w:rPr>
      </w:pPr>
    </w:p>
    <w:p>
      <w:pPr>
        <w:ind w:right="20" w:firstLine="8"/>
        <w:spacing w:after="0" w:line="271" w:lineRule="auto"/>
        <w:tabs>
          <w:tab w:leader="none" w:pos="197"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“Form and timing of payment of Restricted Stock Units”, notwithstanding any other provision of the plan, it is added in Section 8.03 of the Plan: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acquired pursuant to a Qualified Restricted Stock Units Awards shall not be sold during the following periods:</w:t>
      </w:r>
    </w:p>
    <w:p>
      <w:pPr>
        <w:spacing w:after="0" w:line="2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within 30 calendar days before the announcement of an interim financial report or year-end report that the Company is required to make public;</w:t>
      </w:r>
    </w:p>
    <w:p>
      <w:pPr>
        <w:spacing w:after="0" w:line="15" w:lineRule="exact"/>
        <w:rPr>
          <w:sz w:val="20"/>
          <w:szCs w:val="20"/>
          <w:color w:val="auto"/>
        </w:rPr>
      </w:pPr>
    </w:p>
    <w:p>
      <w:pPr>
        <w:ind w:left="660" w:right="20" w:hanging="324"/>
        <w:spacing w:after="0" w:line="243" w:lineRule="auto"/>
        <w:rPr>
          <w:sz w:val="20"/>
          <w:szCs w:val="20"/>
          <w:color w:val="auto"/>
        </w:rPr>
      </w:pPr>
      <w:r>
        <w:rPr>
          <w:rFonts w:ascii="Times New Roman" w:cs="Times New Roman" w:eastAsia="Times New Roman" w:hAnsi="Times New Roman"/>
          <w:sz w:val="18"/>
          <w:szCs w:val="18"/>
          <w:color w:val="auto"/>
        </w:rPr>
        <w:t>– For members of the Board of Directors or Supervisory Board, members of the Management Board or acting as Chief Executive Officer or Deputy Chief Executive Officer and employees with knowledge of inside information that has not been made public.</w:t>
      </w:r>
    </w:p>
    <w:p>
      <w:pPr>
        <w:sectPr>
          <w:pgSz w:w="11900" w:h="16838" w:orient="portrait"/>
          <w:cols w:equalWidth="0" w:num="1">
            <w:col w:w="11240"/>
          </w:cols>
          <w:pgMar w:left="320" w:top="887"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color w:val="auto"/>
        </w:rPr>
        <w:t>SECTION IX. UNRESTRICTED STOCK</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Addendum cancels this Section.</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X. CASH INCENTIVE AWARDS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Addendum cancels this Section.</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XI. PERFORMANCE-BASED AWARDS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Addendum cancels this Section.</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XII. WITHHOLDING TAXES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“Withholding taxes”, notwithstanding any other provision of the plan, it is added in Paragraph 12.01 of the Plan:</w:t>
      </w:r>
    </w:p>
    <w:p>
      <w:pPr>
        <w:spacing w:after="0" w:line="243" w:lineRule="exact"/>
        <w:rPr>
          <w:sz w:val="20"/>
          <w:szCs w:val="20"/>
          <w:color w:val="auto"/>
        </w:rPr>
      </w:pPr>
    </w:p>
    <w:p>
      <w:pPr>
        <w:jc w:val="both"/>
        <w:ind w:left="1300" w:hanging="320"/>
        <w:spacing w:after="0" w:line="245" w:lineRule="auto"/>
        <w:tabs>
          <w:tab w:leader="none" w:pos="1241"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“Mandatory social charges due on Awards. Notwithstanding any provision of the Plan, the French employer or any other entity of the group or the plan administrator shall be responsible for withholding employee’s social security charges and remit both employer’s and employee’s social security contribution, when due in accordance with the provisions of the French Social Security Code, based on the applicable legislation at date of sale of shares.</w:t>
      </w:r>
    </w:p>
    <w:p>
      <w:pPr>
        <w:spacing w:after="0" w:line="208" w:lineRule="exact"/>
        <w:rPr>
          <w:sz w:val="20"/>
          <w:szCs w:val="20"/>
          <w:color w:val="auto"/>
        </w:rPr>
      </w:pPr>
    </w:p>
    <w:p>
      <w:pPr>
        <w:ind w:left="1300" w:right="20"/>
        <w:spacing w:after="0" w:line="266" w:lineRule="auto"/>
        <w:rPr>
          <w:sz w:val="20"/>
          <w:szCs w:val="20"/>
          <w:color w:val="auto"/>
        </w:rPr>
      </w:pPr>
      <w:r>
        <w:rPr>
          <w:rFonts w:ascii="Times New Roman" w:cs="Times New Roman" w:eastAsia="Times New Roman" w:hAnsi="Times New Roman"/>
          <w:sz w:val="18"/>
          <w:szCs w:val="18"/>
          <w:color w:val="auto"/>
        </w:rPr>
        <w:t>However, in such event, the Participant remains responsible for bearing employee social charges exclusively and accepts any corresponding withholding from his/her proceeds and/or any further settlement required by the employer in this respect.</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Employer remains responsible for bearing the Employer mandatory social security charges.</w:t>
      </w:r>
    </w:p>
    <w:p>
      <w:pPr>
        <w:spacing w:after="0" w:line="239" w:lineRule="exact"/>
        <w:rPr>
          <w:sz w:val="20"/>
          <w:szCs w:val="20"/>
          <w:color w:val="auto"/>
        </w:rPr>
      </w:pPr>
    </w:p>
    <w:p>
      <w:pPr>
        <w:ind w:left="1240" w:hanging="260"/>
        <w:spacing w:after="0"/>
        <w:tabs>
          <w:tab w:leader="none" w:pos="12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Mandatory French income tax withholding. Subject to a change of legislation and/or regulations:</w:t>
      </w:r>
    </w:p>
    <w:p>
      <w:pPr>
        <w:spacing w:after="0" w:line="15" w:lineRule="exact"/>
        <w:rPr>
          <w:rFonts w:ascii="Times New Roman" w:cs="Times New Roman" w:eastAsia="Times New Roman" w:hAnsi="Times New Roman"/>
          <w:sz w:val="18"/>
          <w:szCs w:val="18"/>
          <w:color w:val="auto"/>
        </w:rPr>
      </w:pPr>
    </w:p>
    <w:p>
      <w:pPr>
        <w:ind w:left="1620"/>
        <w:spacing w:after="0" w:line="23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Participant shall bear income tax, employee social charges or any employee taxes which are due,</w:t>
      </w:r>
    </w:p>
    <w:p>
      <w:pPr>
        <w:ind w:left="1620"/>
        <w:spacing w:after="0" w:line="23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Participant expressly and irrevocably agrees:</w:t>
      </w:r>
    </w:p>
    <w:p>
      <w:pPr>
        <w:ind w:left="3080" w:hanging="318"/>
        <w:spacing w:after="0" w:line="234" w:lineRule="auto"/>
        <w:tabs>
          <w:tab w:leader="none" w:pos="3075" w:val="left"/>
        </w:tabs>
        <w:numPr>
          <w:ilvl w:val="2"/>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communicate any personal information necessary to comply with the reporting requirements, related to income tax or social charges pursuant to the law,</w:t>
      </w:r>
    </w:p>
    <w:p>
      <w:pPr>
        <w:spacing w:after="0" w:line="1" w:lineRule="exact"/>
        <w:rPr>
          <w:rFonts w:ascii="Times New Roman" w:cs="Times New Roman" w:eastAsia="Times New Roman" w:hAnsi="Times New Roman"/>
          <w:sz w:val="18"/>
          <w:szCs w:val="18"/>
          <w:color w:val="auto"/>
        </w:rPr>
      </w:pPr>
    </w:p>
    <w:p>
      <w:pPr>
        <w:ind w:left="3080" w:hanging="318"/>
        <w:spacing w:after="0" w:line="243" w:lineRule="auto"/>
        <w:tabs>
          <w:tab w:leader="none" w:pos="3075" w:val="left"/>
        </w:tabs>
        <w:numPr>
          <w:ilvl w:val="2"/>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 withholding of Employee social security contributions or income tax at source be withheld on the Share sale proceeds, if necessary.</w:t>
      </w:r>
    </w:p>
    <w:p>
      <w:pPr>
        <w:spacing w:after="0" w:line="209" w:lineRule="exact"/>
        <w:rPr>
          <w:sz w:val="20"/>
          <w:szCs w:val="20"/>
          <w:color w:val="auto"/>
        </w:rPr>
      </w:pPr>
    </w:p>
    <w:p>
      <w:pPr>
        <w:jc w:val="both"/>
        <w:ind w:left="1540"/>
        <w:spacing w:after="0" w:line="250" w:lineRule="auto"/>
        <w:rPr>
          <w:sz w:val="20"/>
          <w:szCs w:val="20"/>
          <w:color w:val="auto"/>
        </w:rPr>
      </w:pPr>
      <w:r>
        <w:rPr>
          <w:rFonts w:ascii="Times New Roman" w:cs="Times New Roman" w:eastAsia="Times New Roman" w:hAnsi="Times New Roman"/>
          <w:sz w:val="18"/>
          <w:szCs w:val="18"/>
          <w:color w:val="auto"/>
        </w:rPr>
        <w:t>Failing that and on the express request of the Company or one of its Subsidiaries, the Participant can also be required to pay the amount of employee’s contributions and/or income tax and/or any other tax of any kind owed to the Company or to the Subsidiary concerned, which the Participant expressly undertakes to do.</w:t>
      </w:r>
    </w:p>
    <w:p>
      <w:pPr>
        <w:spacing w:after="0" w:line="204" w:lineRule="exact"/>
        <w:rPr>
          <w:sz w:val="20"/>
          <w:szCs w:val="20"/>
          <w:color w:val="auto"/>
        </w:rPr>
      </w:pPr>
    </w:p>
    <w:p>
      <w:pPr>
        <w:jc w:val="both"/>
        <w:ind w:left="1540"/>
        <w:spacing w:after="0" w:line="250" w:lineRule="auto"/>
        <w:rPr>
          <w:sz w:val="20"/>
          <w:szCs w:val="20"/>
          <w:color w:val="auto"/>
        </w:rPr>
      </w:pPr>
      <w:r>
        <w:rPr>
          <w:rFonts w:ascii="Times New Roman" w:cs="Times New Roman" w:eastAsia="Times New Roman" w:hAnsi="Times New Roman"/>
          <w:sz w:val="18"/>
          <w:szCs w:val="18"/>
          <w:color w:val="auto"/>
        </w:rPr>
        <w:t>The Participant expressly and irrevocably agrees that a fraction of vested shares may be sold by the company or one of its subsidiary to cover employee income tax or social tax liabilities or that any other method be implemented in case a withholding would be due, such as withdrawing of shares.</w:t>
      </w:r>
    </w:p>
    <w:p>
      <w:pPr>
        <w:spacing w:after="0" w:line="204" w:lineRule="exact"/>
        <w:rPr>
          <w:sz w:val="20"/>
          <w:szCs w:val="20"/>
          <w:color w:val="auto"/>
        </w:rPr>
      </w:pPr>
    </w:p>
    <w:p>
      <w:pPr>
        <w:jc w:val="both"/>
        <w:ind w:left="1540"/>
        <w:spacing w:after="0" w:line="250" w:lineRule="auto"/>
        <w:rPr>
          <w:sz w:val="20"/>
          <w:szCs w:val="20"/>
          <w:color w:val="auto"/>
        </w:rPr>
      </w:pPr>
      <w:r>
        <w:rPr>
          <w:rFonts w:ascii="Times New Roman" w:cs="Times New Roman" w:eastAsia="Times New Roman" w:hAnsi="Times New Roman"/>
          <w:sz w:val="18"/>
          <w:szCs w:val="18"/>
          <w:color w:val="auto"/>
        </w:rPr>
        <w:t>If the Participant has exercised a professional activity in France prior to the date of exercise, a withholding tax will be assessed on the portion of the exercise gain related to the French source activity realized by the non-French tax resident Participant, following of Article 182A of the French tax code.</w:t>
      </w:r>
    </w:p>
    <w:p>
      <w:pPr>
        <w:spacing w:after="0" w:line="204" w:lineRule="exact"/>
        <w:rPr>
          <w:sz w:val="20"/>
          <w:szCs w:val="20"/>
          <w:color w:val="auto"/>
        </w:rPr>
      </w:pPr>
    </w:p>
    <w:p>
      <w:pPr>
        <w:jc w:val="both"/>
        <w:ind w:left="1540"/>
        <w:spacing w:after="0" w:line="242" w:lineRule="auto"/>
        <w:rPr>
          <w:sz w:val="20"/>
          <w:szCs w:val="20"/>
          <w:color w:val="auto"/>
        </w:rPr>
      </w:pPr>
      <w:r>
        <w:rPr>
          <w:rFonts w:ascii="Times New Roman" w:cs="Times New Roman" w:eastAsia="Times New Roman" w:hAnsi="Times New Roman"/>
          <w:sz w:val="18"/>
          <w:szCs w:val="18"/>
          <w:color w:val="auto"/>
        </w:rPr>
        <w:t>As from January 1, 2019, a withholding tax at source is implemented in France for French tax resident beneficiaries. Since the Stock-options granted under the French addendum to the Brady Corporation 2017 Omnibus Incentive Plan are qualified, the stock-option exercise gain should be out of the scope of this withholding tax. However, in case the stock-options would become disqualifying, the employer will be required to withhold income tax on the stock-option exercise gain via the employee payslip and remit it over to the French Tax Authorities.</w:t>
      </w:r>
    </w:p>
    <w:p>
      <w:pPr>
        <w:sectPr>
          <w:pgSz w:w="11900" w:h="16838" w:orient="portrait"/>
          <w:cols w:equalWidth="0" w:num="1">
            <w:col w:w="11240"/>
          </w:cols>
          <w:pgMar w:left="320" w:top="887"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color w:val="auto"/>
        </w:rPr>
        <w:t>SECTION XIII. GENERAL</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“Participant’s Death” and “disability”, notwithstanding any other provision of the plan, it is added in Paragraph 13.04 (f) of the Plan:</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Notwithstanding any provision of the Plan, if an Eligible Participant dies while an Employee by the Corporation, then the Eligible Participant’s personal representative in accordance with the laws of decent shall have the right to request ownership of the Restricted stock Units within 6 months following this event. They can sell the shares immediately.</w:t>
      </w:r>
    </w:p>
    <w:p>
      <w:pPr>
        <w:spacing w:after="0" w:line="200" w:lineRule="exact"/>
        <w:rPr>
          <w:sz w:val="20"/>
          <w:szCs w:val="20"/>
          <w:color w:val="auto"/>
        </w:rPr>
      </w:pPr>
    </w:p>
    <w:p>
      <w:pPr>
        <w:jc w:val="both"/>
        <w:ind w:right="20"/>
        <w:spacing w:after="0" w:line="224" w:lineRule="auto"/>
        <w:rPr>
          <w:sz w:val="20"/>
          <w:szCs w:val="20"/>
          <w:color w:val="auto"/>
        </w:rPr>
      </w:pPr>
      <w:r>
        <w:rPr>
          <w:rFonts w:ascii="Times New Roman" w:cs="Times New Roman" w:eastAsia="Times New Roman" w:hAnsi="Times New Roman"/>
          <w:sz w:val="18"/>
          <w:szCs w:val="18"/>
          <w:color w:val="auto"/>
        </w:rPr>
        <w:t>If a share sale restriction period is provided, in case of disability of the participant corresponding to the 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8"/>
          <w:szCs w:val="18"/>
          <w:color w:val="auto"/>
        </w:rPr>
        <w:t xml:space="preserve"> and 3</w:t>
      </w:r>
      <w:r>
        <w:rPr>
          <w:rFonts w:ascii="Times New Roman" w:cs="Times New Roman" w:eastAsia="Times New Roman" w:hAnsi="Times New Roman"/>
          <w:sz w:val="23"/>
          <w:szCs w:val="23"/>
          <w:color w:val="auto"/>
          <w:vertAlign w:val="superscript"/>
        </w:rPr>
        <w:t>rd</w:t>
      </w:r>
      <w:r>
        <w:rPr>
          <w:rFonts w:ascii="Times New Roman" w:cs="Times New Roman" w:eastAsia="Times New Roman" w:hAnsi="Times New Roman"/>
          <w:sz w:val="18"/>
          <w:szCs w:val="18"/>
          <w:color w:val="auto"/>
        </w:rPr>
        <w:t xml:space="preserve"> categories of article L.341-4 of the French Social Security Code, immediate sale of shares is possible without losing the benefit of the qualified treatment.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“Restrictions for Corporate Officers”, notwithstanding any other provision of the plan, it is added in Paragraph 13.04 (d) of the Plan:</w:t>
      </w:r>
    </w:p>
    <w:p>
      <w:pPr>
        <w:spacing w:after="0" w:line="24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Notwithstanding any provision of the Plan, the Committee upon Grant of Awards governed by this Addendum to, Eligible Participants, due in respect of their capacity of Corporate Officers of Brady Corporation, may either decide:</w:t>
      </w:r>
    </w:p>
    <w:p>
      <w:pPr>
        <w:spacing w:after="0" w:line="187" w:lineRule="exact"/>
        <w:rPr>
          <w:sz w:val="20"/>
          <w:szCs w:val="20"/>
          <w:color w:val="auto"/>
        </w:rPr>
      </w:pPr>
    </w:p>
    <w:p>
      <w:pPr>
        <w:ind w:left="660" w:right="20" w:hanging="324"/>
        <w:spacing w:after="0" w:line="268" w:lineRule="auto"/>
        <w:rPr>
          <w:sz w:val="20"/>
          <w:szCs w:val="20"/>
          <w:color w:val="auto"/>
        </w:rPr>
      </w:pPr>
      <w:r>
        <w:rPr>
          <w:rFonts w:ascii="Times New Roman" w:cs="Times New Roman" w:eastAsia="Times New Roman" w:hAnsi="Times New Roman"/>
          <w:sz w:val="18"/>
          <w:szCs w:val="18"/>
          <w:color w:val="auto"/>
        </w:rPr>
        <w:t>– that no shares shall be sold by the Corporate officers during their mandate prior to their removal from office (“</w:t>
      </w:r>
      <w:r>
        <w:rPr>
          <w:rFonts w:ascii="Times New Roman" w:cs="Times New Roman" w:eastAsia="Times New Roman" w:hAnsi="Times New Roman"/>
          <w:sz w:val="18"/>
          <w:szCs w:val="18"/>
          <w:i w:val="1"/>
          <w:iCs w:val="1"/>
          <w:color w:val="auto"/>
        </w:rPr>
        <w:t>révocation en qualité de mandataire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social</w:t>
      </w:r>
      <w:r>
        <w:rPr>
          <w:rFonts w:ascii="Times New Roman" w:cs="Times New Roman" w:eastAsia="Times New Roman" w:hAnsi="Times New Roman"/>
          <w:sz w:val="18"/>
          <w:szCs w:val="18"/>
          <w:color w:val="auto"/>
        </w:rPr>
        <w:t>”); or,</w:t>
      </w:r>
    </w:p>
    <w:p>
      <w:pPr>
        <w:spacing w:after="0" w:line="187" w:lineRule="exact"/>
        <w:rPr>
          <w:sz w:val="20"/>
          <w:szCs w:val="20"/>
          <w:color w:val="auto"/>
        </w:rPr>
      </w:pPr>
    </w:p>
    <w:p>
      <w:pPr>
        <w:ind w:left="660" w:hanging="324"/>
        <w:spacing w:after="0" w:line="266" w:lineRule="auto"/>
        <w:rPr>
          <w:sz w:val="20"/>
          <w:szCs w:val="20"/>
          <w:color w:val="auto"/>
        </w:rPr>
      </w:pPr>
      <w:r>
        <w:rPr>
          <w:rFonts w:ascii="Times New Roman" w:cs="Times New Roman" w:eastAsia="Times New Roman" w:hAnsi="Times New Roman"/>
          <w:sz w:val="18"/>
          <w:szCs w:val="18"/>
          <w:color w:val="auto"/>
        </w:rPr>
        <w:t>– to determine the amount/percentage of Shares of Common Stock which have to be held by the corporate officers until removal from office (“</w:t>
      </w:r>
      <w:r>
        <w:rPr>
          <w:rFonts w:ascii="Times New Roman" w:cs="Times New Roman" w:eastAsia="Times New Roman" w:hAnsi="Times New Roman"/>
          <w:sz w:val="18"/>
          <w:szCs w:val="18"/>
          <w:i w:val="1"/>
          <w:iCs w:val="1"/>
          <w:color w:val="auto"/>
        </w:rPr>
        <w:t>révocation en qualité de mandataire social</w:t>
      </w:r>
      <w:r>
        <w:rPr>
          <w:rFonts w:ascii="Times New Roman" w:cs="Times New Roman" w:eastAsia="Times New Roman" w:hAnsi="Times New Roman"/>
          <w:sz w:val="18"/>
          <w:szCs w:val="18"/>
          <w:color w:val="auto"/>
        </w:rPr>
        <w:t>”) and cannot consequently be sold for the duration of their mandate.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restrictions are not applicable for Restricted Stocks Units made to corporate officers of any French Affiliates of the issuing parent Company. In the reverse, these restrictions are applicable to the Corporate officers of the issuing parent Company.</w:t>
      </w:r>
    </w:p>
    <w:p>
      <w:pPr>
        <w:spacing w:after="0" w:line="18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renewal of mandate does not constitute a “removal from office” (“</w:t>
      </w:r>
      <w:r>
        <w:rPr>
          <w:rFonts w:ascii="Times New Roman" w:cs="Times New Roman" w:eastAsia="Times New Roman" w:hAnsi="Times New Roman"/>
          <w:sz w:val="18"/>
          <w:szCs w:val="18"/>
          <w:i w:val="1"/>
          <w:iCs w:val="1"/>
          <w:color w:val="auto"/>
        </w:rPr>
        <w:t>révocation en qualité de mandataire social</w:t>
      </w:r>
      <w:r>
        <w:rPr>
          <w:rFonts w:ascii="Times New Roman" w:cs="Times New Roman" w:eastAsia="Times New Roman" w:hAnsi="Times New Roman"/>
          <w:sz w:val="18"/>
          <w:szCs w:val="18"/>
          <w:color w:val="auto"/>
        </w:rPr>
        <w:t>”). A removal from office must be valid pursuant to French laws and regulations.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any provision of the Plan, in the event of the Participant’s death, the heirs shall not be subject to the Restriction for Corporate Officers.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His/her heirs may request, within a period of time not exceeding </w:t>
      </w:r>
      <w:r>
        <w:rPr>
          <w:rFonts w:ascii="Times New Roman" w:cs="Times New Roman" w:eastAsia="Times New Roman" w:hAnsi="Times New Roman"/>
          <w:sz w:val="18"/>
          <w:szCs w:val="18"/>
          <w:u w:val="single" w:color="auto"/>
          <w:color w:val="auto"/>
        </w:rPr>
        <w:t>six (6) months</w:t>
      </w:r>
      <w:r>
        <w:rPr>
          <w:rFonts w:ascii="Times New Roman" w:cs="Times New Roman" w:eastAsia="Times New Roman" w:hAnsi="Times New Roman"/>
          <w:sz w:val="18"/>
          <w:szCs w:val="18"/>
          <w:color w:val="auto"/>
        </w:rPr>
        <w:t xml:space="preserve"> from the date of death, the vesting and the transfer of all shares.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“Merger, Consolidation, or Reorganization” notwithstanding any other provision of the plan, it is added in Section 13.05 of the Plan:</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any provision of the Plan, the compensation Committee, duly authorized by the Board on its own discretion, shall determine whether exchange of Awards for new Restricted Stocks Units / Free shares Awards to eligible beneficiaries/participants is appropriate.</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the event of the exchange of shares without cash payment resulting from a merger occurring before the acquisition/ vesting date and in the event of share exchange resulting from a public offer, a division or regrouping of shares during the share sale restriction period, the provisions relating to acquisition/vesting, the share sale restriction, if any, shall remain applicable.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“Claw-back”, notwithstanding any other provision of the plan, it is added in Section 13.15 of the Plan:</w:t>
      </w:r>
    </w:p>
    <w:p>
      <w:pPr>
        <w:spacing w:after="0" w:line="24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Notwithstanding the provisions of Section XIII, 13.15, the Clawback clause shall not apply to Vested French Qualified Awards, unless subsequently permitted under French Labor Law and the rules of the Plan will be construed accordingly.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“Collection, Treatment and Storage of Data” is added in Section 13.16 of the Plan:</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Each Participant must expressly authorize the collection, treatment and storage of personal data provided by them to any Group entity or third party service provider, for any purpose related to the implementation of the French Addendum, in accordance with the European General Data Protection Regulation ("GDPR"), which came into force on May 25, 2018. This includes, but is not limited to:</w:t>
      </w:r>
    </w:p>
    <w:p>
      <w:pPr>
        <w:spacing w:after="0" w:line="2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Management and maintenance of the Participant’s account;</w:t>
      </w:r>
    </w:p>
    <w:p>
      <w:pPr>
        <w:sectPr>
          <w:pgSz w:w="11900" w:h="16838" w:orient="portrait"/>
          <w:cols w:equalWidth="0" w:num="1">
            <w:col w:w="11240"/>
          </w:cols>
          <w:pgMar w:left="320" w:top="887"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color w:val="auto"/>
        </w:rPr>
        <w:t>–   Communication of information to Group entities, registrars holders, financial intermediaries or third party administrators of the Plan; and,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Communication of information to future owners of any member of Group or a business thereof in which the Participant works.</w:t>
      </w:r>
    </w:p>
    <w:p>
      <w:pPr>
        <w:sectPr>
          <w:pgSz w:w="11900" w:h="16838" w:orient="portrait"/>
          <w:cols w:equalWidth="0" w:num="1">
            <w:col w:w="10240"/>
          </w:cols>
          <w:pgMar w:left="660" w:top="891" w:right="99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8"/>
          <w:szCs w:val="18"/>
          <w:b w:val="1"/>
          <w:bCs w:val="1"/>
          <w:color w:val="auto"/>
        </w:rPr>
        <w:t>EXHIBIT 10.56</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EMPLOYMENT CONTRACT</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UNDETERMINED DURATION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ENTER</w:t>
      </w:r>
    </w:p>
    <w:p>
      <w:pPr>
        <w:spacing w:after="0" w:line="14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BRADY GROUPE S.A.S., a public limited company, registered in the Trade and Companies Register of Roubaix - Tourcoing whose head office is located in RONCQ (59436), represented by Mr. Thomas FELMER, in his capacity as Senior VP &amp; CFO, Brady Corporation, (Hereinafter referred to as the "Company"), firstly,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Pascal DEMAN, born May 09, 1965 in Oostende (Belgium), of Belgium nationality.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(Hereinafter called "the Employee")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other hand.</w:t>
      </w:r>
    </w:p>
    <w:p>
      <w:pPr>
        <w:spacing w:after="0" w:line="14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It is previously recalled that this employment contract, like any employment contract, must favor the permanent adaptation of the needs of the entrepreneurial aspirations of its collaborators.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for this reason that particular care is taken in this agreement to define the substantive clauses and the naturally evolving provisions.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specified that this contract is governed by French law.</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BEFORE IT HAS BEEN EXPOSED, IT IS AGREED AS FOLLOWS: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 Object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September 4, 2014, Mr. Pascal Deman will exercise the functions of Vice President Marketing EMEA, Executive status, level X, step 1.</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employment contract is concluded for an indefinite period.</w:t>
      </w:r>
    </w:p>
    <w:p>
      <w:pPr>
        <w:spacing w:after="0" w:line="14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Employment Contract will be subject to the provisions of the Collective Agreement applicable to the Company, that is, on the date of signature of these presents, the National Collective Agreement Wholesale stores.</w:t>
      </w:r>
    </w:p>
    <w:p>
      <w:pPr>
        <w:spacing w:after="0" w:line="10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employee declares to be free of any commitment and specifies in particular that he is not subject to any non-competition clause resulting from a previous contract, such as to hinder presented.</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2 - Powers and Functions</w:t>
      </w:r>
    </w:p>
    <w:p>
      <w:pPr>
        <w:spacing w:after="0" w:line="1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his capacity as Vice President Marketing EMEA, the employee will be responsible for the missions entrusted to him by the managers of the Brady Group, to whom he will have to report on his activity.</w:t>
      </w:r>
    </w:p>
    <w:p>
      <w:pPr>
        <w:spacing w:after="0" w:line="109"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The detail of the functions of the Salary necessarily evolving because related to the subjects of the company, will be specified to him as much as necessary by his hierarchical superior.</w:t>
      </w:r>
    </w:p>
    <w:p>
      <w:pPr>
        <w:spacing w:after="0" w:line="10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These functions may be subject to any modifications deemed useful by the General Management, which will be notified to it by any means of communication, while respecting the substantial nature of the qualification and the function.</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3 - Place of Work and Mobility</w:t>
      </w:r>
    </w:p>
    <w:p>
      <w:pPr>
        <w:spacing w:after="0" w:line="148" w:lineRule="exact"/>
        <w:rPr>
          <w:sz w:val="20"/>
          <w:szCs w:val="20"/>
          <w:color w:val="auto"/>
        </w:rPr>
      </w:pPr>
    </w:p>
    <w:p>
      <w:pPr>
        <w:ind w:right="5300" w:firstLine="8"/>
        <w:spacing w:after="0" w:line="478" w:lineRule="auto"/>
        <w:tabs>
          <w:tab w:leader="none" w:pos="180"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usual place of work of the Employee is fixed at the following address: BRADY GROUPE S.A.S., 45 Avenue de l'Europe, 59436 RONCQ Cedex, France</w:t>
      </w:r>
    </w:p>
    <w:p>
      <w:pPr>
        <w:sectPr>
          <w:pgSz w:w="11900" w:h="16838" w:orient="portrait"/>
          <w:cols w:equalWidth="0" w:num="1">
            <w:col w:w="11240"/>
          </w:cols>
          <w:pgMar w:left="320" w:top="887" w:right="339" w:bottom="1440" w:gutter="0" w:footer="0" w:header="0"/>
        </w:sectPr>
      </w:pPr>
    </w:p>
    <w:bookmarkStart w:id="135" w:name="page136"/>
    <w:bookmarkEnd w:id="135"/>
    <w:p>
      <w:pPr>
        <w:spacing w:after="0" w:line="250" w:lineRule="auto"/>
        <w:rPr>
          <w:sz w:val="20"/>
          <w:szCs w:val="20"/>
          <w:color w:val="auto"/>
        </w:rPr>
      </w:pPr>
      <w:r>
        <w:rPr>
          <w:rFonts w:ascii="Times New Roman" w:cs="Times New Roman" w:eastAsia="Times New Roman" w:hAnsi="Times New Roman"/>
          <w:sz w:val="18"/>
          <w:szCs w:val="18"/>
          <w:color w:val="auto"/>
        </w:rPr>
        <w:t>In the event of needs justified in particular by the nature of its functions, the evolution of its activities or its organization and more generally for the good running of the company, the Company reserves the right to temporarily or definitively transfer the Employee: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any of its current or future establishments located in France; Inside the Europe geographic perimeter.</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event of implementation of this clause, the employee will be informed twelve weeks before his effective assignment in his new place of work.</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also expressly agreed that such a modification of the workplace does not constitute a modification of his employment contract.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nature of the Salary's duties implies the need for national and international travel.</w:t>
      </w:r>
    </w:p>
    <w:p>
      <w:pPr>
        <w:spacing w:after="0" w:line="144" w:lineRule="exact"/>
        <w:rPr>
          <w:sz w:val="20"/>
          <w:szCs w:val="20"/>
          <w:color w:val="auto"/>
        </w:rPr>
      </w:pPr>
    </w:p>
    <w:p>
      <w:pPr>
        <w:ind w:firstLine="8"/>
        <w:spacing w:after="0" w:line="250" w:lineRule="auto"/>
        <w:tabs>
          <w:tab w:leader="none" w:pos="183"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particularly, the parties acknowledge that the possibility of transferring the employee to Belgium is more likely, as these have already provided for contractual modifications as a result.</w:t>
      </w:r>
    </w:p>
    <w:p>
      <w:pPr>
        <w:spacing w:after="0" w:line="10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For this reason, the parties agree that the annexed beige law contract (Arbeidsovereenkomst van onbepaalde duur voor bedienden) to this contract constitutes mutual commitment for any contractual relationship resulting from a transfer within an entity of the Brady group in Belgium.</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4 - Trial Period and Seniority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contract will not give rise to any trial period.</w:t>
      </w:r>
    </w:p>
    <w:p>
      <w:pPr>
        <w:spacing w:after="0" w:line="14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Indeed, he specifies that the Employee having already exerted many years within Brady SAS, his seniority will be resumed from the date of his first hiring, namely January 8, 1998. The parties agree, however, that the period from July 31, 2012 to February 1, 2014 during which the employee was in the service of another employer will be excluded from this seniority.</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5 - Duration of Work</w:t>
      </w:r>
    </w:p>
    <w:p>
      <w:pPr>
        <w:spacing w:after="0" w:line="14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Article 2 of Title 2 of the agreement of January 30, 2006 relating to the reduction of the working time (RTT) of the Executives provides, for the professional category of the Employee whose working time cannot be fixed with precision, the calculation hours of work according to an annual lump sum agreement expressed in days, that is to say 218 days without a timetable reference.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Consequently, the Employee will benefit from 11 days of RTT rest per full calendar year of activity.</w:t>
      </w:r>
    </w:p>
    <w:p>
      <w:pPr>
        <w:spacing w:after="0" w:line="14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Within this annual fixed rate, the Employee will have control over the organization of his time at work to exercise his function in consideration of the responsibilities entrusted to him. The employee also undertakes to respect a daily rest of at least 11 consecutive hours.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RTT days cannot be repeated and accumulated from one year to the next.</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6 - Remuneration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return for his salaried activity, the Employee will receive a fixed annual gross fixed remuneration of €178,613.</w:t>
      </w:r>
    </w:p>
    <w:p>
      <w:pPr>
        <w:spacing w:after="0" w:line="14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to the fixed compensation referred to above, Mr. Pascal Deman may receive variable compensation in an amount corresponding to 50% of his annual compensation (hereinafter called “Remuneration Variable”) calculated as follows: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RV=P1-PL</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RV = the Variable Remuneration;</w:t>
      </w:r>
    </w:p>
    <w:p>
      <w:pPr>
        <w:spacing w:after="0" w:line="14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P1 = a maximum bonus of 50% of the gross annual remuneration fixed according to the performance of the Brady group during the reference year, calculated according to the Bonus Plan applicable to the Employee.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 = the legal participation of Mr. Pascal Deman for the reference exercise.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agreed that the bonus corresponding to P1 may be reviewed and modified each year unilaterally by the Company.</w:t>
      </w:r>
    </w:p>
    <w:p>
      <w:pPr>
        <w:sectPr>
          <w:pgSz w:w="11900" w:h="16838" w:orient="portrait"/>
          <w:cols w:equalWidth="0" w:num="1">
            <w:col w:w="11240"/>
          </w:cols>
          <w:pgMar w:left="320" w:top="877"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color w:val="auto"/>
        </w:rPr>
        <w:t>The Variable Remuneration of Mr. Pascal Deman cannot be negative, even if P1 is zero.</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event of departure during the year, Mr. Pascal Deman may not claim any pro rata temporis payment of the premium referred to above (P1).</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7 - Reimbursement of Professional Expenses</w:t>
      </w:r>
    </w:p>
    <w:p>
      <w:pPr>
        <w:spacing w:after="0" w:line="14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expenses occasioned by the travels of the Employee (travel expenses, subsistence expenses) will be reimbursed to him monthly by the Company on presentation of expense reports, on the express conditions that these are accompanied by supporting documents and corresponding activity reports and that these costs remain within the limits defined by the officers of the Company.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reimbursements of costs cannot in any case be considered as a fraction of the salary of the employee.</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8 - Paid Leave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employee will benefit from annual paid vacation in accordance with the legal and contractual provisions in force.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period of paid leave will be determined in agreement with the Company, taking into account the needs of the Company.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Holidays cannot be carried over and accumulated from one year to the next.</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9 - Illness or Accident</w:t>
      </w:r>
    </w:p>
    <w:p>
      <w:pPr>
        <w:spacing w:after="0" w:line="14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Absences resulting from an illness or accident must be justified by sending the Company a medical certificate by the Employee within 48 hours of his absence, except in cases of force majeure. This justification must be renewed, within the same terms and conditions, if the doctor decides to extend the absence.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specified that the employer reserves the right to have a counter-visit carried out by a doctor of his choice.</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10 - Obligations of the Employee</w:t>
      </w:r>
    </w:p>
    <w:p>
      <w:pPr>
        <w:spacing w:after="0" w:line="1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Employee undertakes to comply with the instructions emanating from the leaders of the Company and its hierarchical superiors and to comply with the internal discipline of the Company.</w:t>
      </w:r>
    </w:p>
    <w:p>
      <w:pPr>
        <w:spacing w:after="0" w:line="10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To constantly maintain the professional qualification of the Employee at a level adequate to his duties, the Company may ask him to perform, at the head office of the Company or any other place, internships and / or technical and / or commercial training. The costs of these internships and / or training will be borne by the Company.</w:t>
      </w:r>
    </w:p>
    <w:p>
      <w:pPr>
        <w:spacing w:after="0" w:line="118"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The Employee undertakes to observe the internal regulations of the Company which were given to it at the same time as these, and of which the Employee acknowledges having read.</w:t>
      </w:r>
    </w:p>
    <w:p>
      <w:pPr>
        <w:spacing w:after="0" w:line="109"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The Employee must inform the Company without delay of any changes which would occur in the information that he communicated when he was hired (address, marital status, etc.).</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employee undertakes to provide all the elements necessary to constitute his file, in particular copies of diplomas.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employee also undertakes to undergo the medical visits to which he will be summoned.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also recalled that the employee is bound to respect the internal rules of the company.</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11 - Exclusivity</w:t>
      </w:r>
    </w:p>
    <w:p>
      <w:pPr>
        <w:spacing w:after="0" w:line="1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Employee undertakes to devote all of its working time and all of its efforts to the exclusive benefit of the Company. He may not therefore exercise any other professional activity during the term of the Employment Contract, unless by prior, express and written agreement of the Company.</w:t>
      </w:r>
    </w:p>
    <w:p>
      <w:pPr>
        <w:sectPr>
          <w:pgSz w:w="11900" w:h="16838" w:orient="portrait"/>
          <w:cols w:equalWidth="0" w:num="1">
            <w:col w:w="11240"/>
          </w:cols>
          <w:pgMar w:left="320" w:top="877"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color w:val="auto"/>
        </w:rPr>
        <w:t>Article 12 - Confidentiality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employee is held to the strictest application of professional secrecy both within the Company and with regard to all third parties.</w:t>
      </w:r>
    </w:p>
    <w:p>
      <w:pPr>
        <w:spacing w:after="0" w:line="14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During the execution of the Employment Contract and for a period of three years from the effective termination of the Employment Contract, and for whatever reason, The Worker is bound, regardless of an obligation of general reserve and professional secrecy, to absolute discretion on all the facts tooth he could have knowledge, because of his functions or his membership in the Company and which relate so much to the management, the patrimony of the Company and the functioning of the latter, as its situation, its relations with customers and all its projects.</w:t>
      </w:r>
    </w:p>
    <w:p>
      <w:pPr>
        <w:spacing w:after="0" w:line="11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The Employee may not, during the duration of the Employment Contract, give, procure and / or supply, in any way whatsoever, to a natural or legal person, the name or the contact details of any of the Company's business partners and / or customers of the Company, as well as any professional secrets and / or confidential information concerning the activities of the Company, its customers and / or members of its staff, except with the prior, express and written authorization of the officers of the Company.</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13 - Compulsory Social Security and Mutual Insurance</w:t>
      </w:r>
    </w:p>
    <w:p>
      <w:pPr>
        <w:spacing w:after="0" w:line="148"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Throughout the duration of the Employment Contract, the Employee will benefit from the collective social cover of the Company and Group Insurance which it considers applicable.</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14 - Tax Assistance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employee will benefit from assistance with these tax declarations until December 31, 2015.</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15 - Return of Company Property</w:t>
      </w:r>
    </w:p>
    <w:p>
      <w:pPr>
        <w:spacing w:after="0" w:line="148"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18"/>
          <w:szCs w:val="18"/>
          <w:color w:val="auto"/>
        </w:rPr>
        <w:t>In the event of breach or suspension of this contract for any reason whatsoever (resignation, dismissal, retirement, sick leave, etc.), the employee will remit to the Company, no later than the day of its effective departure and whatever the duration of this contract, all objects and documents, which could have been given to it during the exercise of its functions.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contract has been drawn up in two copies and one has been given to the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in Roncq, September 4, 2014.</w:t>
      </w:r>
    </w:p>
    <w:p>
      <w:pPr>
        <w:spacing w:after="0" w:line="15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u w:val="single" w:color="auto"/>
          <w:color w:val="auto"/>
        </w:rPr>
        <w:t>/s/ PASCAL DEMAN</w:t>
      </w:r>
    </w:p>
    <w:p>
      <w:pPr>
        <w:spacing w:after="0" w:line="1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Pascal Deman</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BRADY CORPORATION</w:t>
      </w:r>
    </w:p>
    <w:p>
      <w:pPr>
        <w:spacing w:after="0" w:line="200" w:lineRule="exact"/>
        <w:rPr>
          <w:sz w:val="20"/>
          <w:szCs w:val="20"/>
          <w:color w:val="auto"/>
        </w:rPr>
      </w:pPr>
    </w:p>
    <w:p>
      <w:pPr>
        <w:spacing w:after="0" w:line="28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u w:val="single" w:color="auto"/>
          <w:color w:val="auto"/>
        </w:rPr>
        <w:t>/s/ THOMAS FELMER</w:t>
      </w:r>
    </w:p>
    <w:p>
      <w:pPr>
        <w:spacing w:after="0" w:line="1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Its Authorized Representative</w:t>
      </w:r>
    </w:p>
    <w:p>
      <w:pPr>
        <w:sectPr>
          <w:pgSz w:w="11900" w:h="16838" w:orient="portrait"/>
          <w:cols w:equalWidth="0" w:num="1">
            <w:col w:w="11240"/>
          </w:cols>
          <w:pgMar w:left="320" w:top="873" w:right="339" w:bottom="1440" w:gutter="0" w:footer="0" w:header="0"/>
        </w:sectPr>
      </w:pPr>
    </w:p>
    <w:bookmarkStart w:id="138" w:name="page139"/>
    <w:bookmarkEnd w:id="138"/>
    <w:p>
      <w:pPr>
        <w:ind w:left="10020"/>
        <w:spacing w:after="0"/>
        <w:rPr>
          <w:sz w:val="20"/>
          <w:szCs w:val="20"/>
          <w:color w:val="auto"/>
        </w:rPr>
      </w:pPr>
      <w:r>
        <w:rPr>
          <w:rFonts w:ascii="Times New Roman" w:cs="Times New Roman" w:eastAsia="Times New Roman" w:hAnsi="Times New Roman"/>
          <w:sz w:val="18"/>
          <w:szCs w:val="18"/>
          <w:b w:val="1"/>
          <w:bCs w:val="1"/>
          <w:color w:val="auto"/>
        </w:rPr>
        <w:t>EXHIBIT 10.57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4720" w:type="dxa"/>
            <w:vAlign w:val="bottom"/>
            <w:tcBorders>
              <w:top w:val="single" w:sz="8" w:color="auto"/>
              <w:left w:val="single" w:sz="8" w:color="auto"/>
            </w:tcBorders>
          </w:tcPr>
          <w:p>
            <w:pPr>
              <w:ind w:left="2280"/>
              <w:spacing w:after="0"/>
              <w:rPr>
                <w:sz w:val="20"/>
                <w:szCs w:val="20"/>
                <w:color w:val="auto"/>
              </w:rPr>
            </w:pPr>
            <w:r>
              <w:rPr>
                <w:rFonts w:ascii="Times New Roman" w:cs="Times New Roman" w:eastAsia="Times New Roman" w:hAnsi="Times New Roman"/>
                <w:sz w:val="18"/>
                <w:szCs w:val="18"/>
                <w:b w:val="1"/>
                <w:bCs w:val="1"/>
                <w:color w:val="auto"/>
              </w:rPr>
              <w:t>AVENANT AU</w:t>
            </w:r>
          </w:p>
        </w:tc>
        <w:tc>
          <w:tcPr>
            <w:tcW w:w="1020" w:type="dxa"/>
            <w:vAlign w:val="bottom"/>
            <w:tcBorders>
              <w:top w:val="single" w:sz="8" w:color="auto"/>
              <w:right w:val="single" w:sz="8" w:color="auto"/>
            </w:tcBorders>
          </w:tcPr>
          <w:p>
            <w:pPr>
              <w:spacing w:after="0"/>
              <w:rPr>
                <w:sz w:val="20"/>
                <w:szCs w:val="20"/>
                <w:color w:val="auto"/>
              </w:rPr>
            </w:pPr>
          </w:p>
        </w:tc>
        <w:tc>
          <w:tcPr>
            <w:tcW w:w="5520" w:type="dxa"/>
            <w:vAlign w:val="bottom"/>
            <w:tcBorders>
              <w:top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AMENDMENT TO THE EMPLOYMENT CONTRACT</w:t>
            </w:r>
          </w:p>
        </w:tc>
      </w:tr>
      <w:tr>
        <w:trPr>
          <w:trHeight w:val="238"/>
        </w:trPr>
        <w:tc>
          <w:tcPr>
            <w:tcW w:w="4720" w:type="dxa"/>
            <w:vAlign w:val="bottom"/>
            <w:tcBorders>
              <w:left w:val="single" w:sz="8" w:color="auto"/>
            </w:tcBorders>
          </w:tcPr>
          <w:p>
            <w:pPr>
              <w:ind w:left="1860"/>
              <w:spacing w:after="0"/>
              <w:rPr>
                <w:sz w:val="20"/>
                <w:szCs w:val="20"/>
                <w:color w:val="auto"/>
              </w:rPr>
            </w:pPr>
            <w:r>
              <w:rPr>
                <w:rFonts w:ascii="Times New Roman" w:cs="Times New Roman" w:eastAsia="Times New Roman" w:hAnsi="Times New Roman"/>
                <w:sz w:val="18"/>
                <w:szCs w:val="18"/>
                <w:b w:val="1"/>
                <w:bCs w:val="1"/>
                <w:color w:val="auto"/>
              </w:rPr>
              <w:t>CONTRAT DE TRAVAIL</w:t>
            </w:r>
          </w:p>
        </w:tc>
        <w:tc>
          <w:tcPr>
            <w:tcW w:w="1020" w:type="dxa"/>
            <w:vAlign w:val="bottom"/>
            <w:tcBorders>
              <w:right w:val="single" w:sz="8" w:color="auto"/>
            </w:tcBorders>
          </w:tcPr>
          <w:p>
            <w:pPr>
              <w:spacing w:after="0"/>
              <w:rPr>
                <w:sz w:val="20"/>
                <w:szCs w:val="20"/>
                <w:color w:val="auto"/>
              </w:rPr>
            </w:pPr>
          </w:p>
        </w:tc>
        <w:tc>
          <w:tcPr>
            <w:tcW w:w="5520" w:type="dxa"/>
            <w:vAlign w:val="bottom"/>
            <w:tcBorders>
              <w:right w:val="single" w:sz="8" w:color="auto"/>
            </w:tcBorders>
          </w:tcPr>
          <w:p>
            <w:pPr>
              <w:spacing w:after="0"/>
              <w:rPr>
                <w:sz w:val="20"/>
                <w:szCs w:val="20"/>
                <w:color w:val="auto"/>
              </w:rPr>
            </w:pPr>
          </w:p>
        </w:tc>
      </w:tr>
      <w:tr>
        <w:trPr>
          <w:trHeight w:val="27"/>
        </w:trPr>
        <w:tc>
          <w:tcPr>
            <w:tcW w:w="4720" w:type="dxa"/>
            <w:vAlign w:val="bottom"/>
            <w:tcBorders>
              <w:left w:val="single" w:sz="8" w:color="auto"/>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r>
      <w:tr>
        <w:trPr>
          <w:trHeight w:val="250"/>
        </w:trPr>
        <w:tc>
          <w:tcPr>
            <w:tcW w:w="4720" w:type="dxa"/>
            <w:vAlign w:val="bottom"/>
            <w:tcBorders>
              <w:left w:val="single" w:sz="8" w:color="auto"/>
              <w:bottom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5520" w:type="dxa"/>
            <w:vAlign w:val="bottom"/>
            <w:tcBorders>
              <w:bottom w:val="single" w:sz="8" w:color="auto"/>
              <w:right w:val="single" w:sz="8" w:color="auto"/>
            </w:tcBorders>
          </w:tcPr>
          <w:p>
            <w:pPr>
              <w:spacing w:after="0"/>
              <w:rPr>
                <w:sz w:val="21"/>
                <w:szCs w:val="21"/>
                <w:color w:val="auto"/>
              </w:rPr>
            </w:pPr>
          </w:p>
        </w:tc>
      </w:tr>
      <w:tr>
        <w:trPr>
          <w:trHeight w:val="237"/>
        </w:trPr>
        <w:tc>
          <w:tcPr>
            <w:tcW w:w="47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ENTRE</w:t>
            </w:r>
          </w:p>
        </w:tc>
        <w:tc>
          <w:tcPr>
            <w:tcW w:w="1020" w:type="dxa"/>
            <w:vAlign w:val="bottom"/>
            <w:tcBorders>
              <w:right w:val="single" w:sz="8" w:color="auto"/>
            </w:tcBorders>
          </w:tcPr>
          <w:p>
            <w:pPr>
              <w:spacing w:after="0"/>
              <w:rPr>
                <w:sz w:val="20"/>
                <w:szCs w:val="20"/>
                <w:color w:val="auto"/>
              </w:rPr>
            </w:pP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BETWEEN</w:t>
            </w:r>
          </w:p>
        </w:tc>
      </w:tr>
      <w:tr>
        <w:trPr>
          <w:trHeight w:val="27"/>
        </w:trPr>
        <w:tc>
          <w:tcPr>
            <w:tcW w:w="5740" w:type="dxa"/>
            <w:vAlign w:val="bottom"/>
            <w:tcBorders>
              <w:left w:val="single" w:sz="8" w:color="auto"/>
              <w:bottom w:val="single" w:sz="8" w:color="auto"/>
              <w:right w:val="single" w:sz="8" w:color="auto"/>
            </w:tcBorders>
            <w:gridSpan w:val="2"/>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r>
      <w:tr>
        <w:trPr>
          <w:trHeight w:val="205"/>
        </w:trPr>
        <w:tc>
          <w:tcPr>
            <w:tcW w:w="5740" w:type="dxa"/>
            <w:vAlign w:val="bottom"/>
            <w:tcBorders>
              <w:left w:val="single" w:sz="8" w:color="auto"/>
              <w:right w:val="single" w:sz="8" w:color="auto"/>
            </w:tcBorders>
            <w:gridSpan w:val="2"/>
          </w:tcPr>
          <w:p>
            <w:pPr>
              <w:ind w:left="60"/>
              <w:spacing w:after="0" w:line="205" w:lineRule="exact"/>
              <w:rPr>
                <w:sz w:val="20"/>
                <w:szCs w:val="20"/>
                <w:color w:val="auto"/>
              </w:rPr>
            </w:pPr>
            <w:r>
              <w:rPr>
                <w:rFonts w:ascii="Times New Roman" w:cs="Times New Roman" w:eastAsia="Times New Roman" w:hAnsi="Times New Roman"/>
                <w:sz w:val="18"/>
                <w:szCs w:val="18"/>
                <w:b w:val="1"/>
                <w:bCs w:val="1"/>
                <w:color w:val="auto"/>
              </w:rPr>
              <w:t xml:space="preserve">La Société BRADY GROUPE S.A.S., </w:t>
            </w:r>
            <w:r>
              <w:rPr>
                <w:rFonts w:ascii="Times New Roman" w:cs="Times New Roman" w:eastAsia="Times New Roman" w:hAnsi="Times New Roman"/>
                <w:sz w:val="18"/>
                <w:szCs w:val="18"/>
                <w:color w:val="auto"/>
              </w:rPr>
              <w:t>société anonyme, immatriculée au</w:t>
            </w:r>
          </w:p>
        </w:tc>
        <w:tc>
          <w:tcPr>
            <w:tcW w:w="5520" w:type="dxa"/>
            <w:vAlign w:val="bottom"/>
            <w:tcBorders>
              <w:right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 xml:space="preserve">BRADY GROUPE S.A.S., </w:t>
            </w:r>
            <w:r>
              <w:rPr>
                <w:rFonts w:ascii="Times New Roman" w:cs="Times New Roman" w:eastAsia="Times New Roman" w:hAnsi="Times New Roman"/>
                <w:sz w:val="18"/>
                <w:szCs w:val="18"/>
                <w:color w:val="auto"/>
              </w:rPr>
              <w:t>a French public limited company, registered</w:t>
            </w:r>
          </w:p>
        </w:tc>
      </w:tr>
      <w:tr>
        <w:trPr>
          <w:trHeight w:val="198"/>
        </w:trPr>
        <w:tc>
          <w:tcPr>
            <w:tcW w:w="5740" w:type="dxa"/>
            <w:vAlign w:val="bottom"/>
            <w:tcBorders>
              <w:left w:val="single" w:sz="8" w:color="auto"/>
              <w:right w:val="single" w:sz="8" w:color="auto"/>
            </w:tcBorders>
            <w:gridSpan w:val="2"/>
          </w:tcPr>
          <w:p>
            <w:pPr>
              <w:ind w:left="40"/>
              <w:spacing w:after="0" w:line="199" w:lineRule="exact"/>
              <w:rPr>
                <w:sz w:val="20"/>
                <w:szCs w:val="20"/>
                <w:color w:val="auto"/>
              </w:rPr>
            </w:pPr>
            <w:r>
              <w:rPr>
                <w:rFonts w:ascii="Times New Roman" w:cs="Times New Roman" w:eastAsia="Times New Roman" w:hAnsi="Times New Roman"/>
                <w:sz w:val="18"/>
                <w:szCs w:val="18"/>
                <w:color w:val="auto"/>
              </w:rPr>
              <w:t>Registre du Commerce et des Sociétés de Roubaix-Tourcoing sous le numéro</w:t>
            </w:r>
          </w:p>
        </w:tc>
        <w:tc>
          <w:tcPr>
            <w:tcW w:w="5520" w:type="dxa"/>
            <w:vAlign w:val="bottom"/>
            <w:tcBorders>
              <w:right w:val="single" w:sz="8" w:color="auto"/>
            </w:tcBorders>
          </w:tcPr>
          <w:p>
            <w:pPr>
              <w:ind w:left="20"/>
              <w:spacing w:after="0" w:line="199" w:lineRule="exact"/>
              <w:rPr>
                <w:sz w:val="20"/>
                <w:szCs w:val="20"/>
                <w:color w:val="auto"/>
              </w:rPr>
            </w:pPr>
            <w:r>
              <w:rPr>
                <w:rFonts w:ascii="Times New Roman" w:cs="Times New Roman" w:eastAsia="Times New Roman" w:hAnsi="Times New Roman"/>
                <w:sz w:val="18"/>
                <w:szCs w:val="18"/>
                <w:color w:val="auto"/>
              </w:rPr>
              <w:t>with the trade registry of Roubaix-Tourcoing, whose head office is at</w:t>
            </w:r>
          </w:p>
        </w:tc>
      </w:tr>
      <w:tr>
        <w:trPr>
          <w:trHeight w:val="203"/>
        </w:trPr>
        <w:tc>
          <w:tcPr>
            <w:tcW w:w="5740" w:type="dxa"/>
            <w:vAlign w:val="bottom"/>
            <w:tcBorders>
              <w:left w:val="single" w:sz="8" w:color="auto"/>
              <w:right w:val="single" w:sz="8" w:color="auto"/>
            </w:tcBorders>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383 064 557 00036, dont le siège social est situé à RONCQ (59436),</w:t>
            </w:r>
          </w:p>
        </w:tc>
        <w:tc>
          <w:tcPr>
            <w:tcW w:w="5520" w:type="dxa"/>
            <w:vAlign w:val="bottom"/>
            <w:tcBorders>
              <w:right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RONCQ (59436), represented by Mr</w:t>
            </w:r>
            <w:r>
              <w:rPr>
                <w:rFonts w:ascii="Times New Roman" w:cs="Times New Roman" w:eastAsia="Times New Roman" w:hAnsi="Times New Roman"/>
                <w:sz w:val="18"/>
                <w:szCs w:val="18"/>
                <w:b w:val="1"/>
                <w:bCs w:val="1"/>
                <w:color w:val="auto"/>
              </w:rPr>
              <w:t>. J Michael Naum</w:t>
            </w:r>
            <w:r>
              <w:rPr>
                <w:rFonts w:ascii="Times New Roman" w:cs="Times New Roman" w:eastAsia="Times New Roman" w:hAnsi="Times New Roman"/>
                <w:sz w:val="18"/>
                <w:szCs w:val="18"/>
                <w:color w:val="auto"/>
              </w:rPr>
              <w:t>an, a</w:t>
            </w:r>
            <w:r>
              <w:rPr>
                <w:rFonts w:ascii="Times New Roman" w:cs="Times New Roman" w:eastAsia="Times New Roman" w:hAnsi="Times New Roman"/>
                <w:sz w:val="18"/>
                <w:szCs w:val="18"/>
                <w:b w:val="1"/>
                <w:bCs w:val="1"/>
                <w:color w:val="auto"/>
              </w:rPr>
              <w:t>s President of</w:t>
            </w:r>
          </w:p>
        </w:tc>
      </w:tr>
      <w:tr>
        <w:trPr>
          <w:trHeight w:val="203"/>
        </w:trPr>
        <w:tc>
          <w:tcPr>
            <w:tcW w:w="5740" w:type="dxa"/>
            <w:vAlign w:val="bottom"/>
            <w:tcBorders>
              <w:left w:val="single" w:sz="8" w:color="auto"/>
              <w:right w:val="single" w:sz="8" w:color="auto"/>
            </w:tcBorders>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 xml:space="preserve">représentée par </w:t>
            </w:r>
            <w:r>
              <w:rPr>
                <w:rFonts w:ascii="Times New Roman" w:cs="Times New Roman" w:eastAsia="Times New Roman" w:hAnsi="Times New Roman"/>
                <w:sz w:val="18"/>
                <w:szCs w:val="18"/>
                <w:b w:val="1"/>
                <w:bCs w:val="1"/>
                <w:color w:val="auto"/>
              </w:rPr>
              <w:t>Monsieur J Michael Nauma</w:t>
            </w:r>
            <w:r>
              <w:rPr>
                <w:rFonts w:ascii="Times New Roman" w:cs="Times New Roman" w:eastAsia="Times New Roman" w:hAnsi="Times New Roman"/>
                <w:sz w:val="18"/>
                <w:szCs w:val="18"/>
                <w:color w:val="auto"/>
              </w:rPr>
              <w:t xml:space="preserve">n, en sa qualité de </w:t>
            </w:r>
            <w:r>
              <w:rPr>
                <w:rFonts w:ascii="Times New Roman" w:cs="Times New Roman" w:eastAsia="Times New Roman" w:hAnsi="Times New Roman"/>
                <w:sz w:val="18"/>
                <w:szCs w:val="18"/>
                <w:b w:val="1"/>
                <w:bCs w:val="1"/>
                <w:color w:val="auto"/>
              </w:rPr>
              <w:t>Président de</w:t>
            </w:r>
          </w:p>
        </w:tc>
        <w:tc>
          <w:tcPr>
            <w:tcW w:w="5520" w:type="dxa"/>
            <w:vAlign w:val="bottom"/>
            <w:tcBorders>
              <w:right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auto"/>
              </w:rPr>
              <w:t>Brady Groupe S.A.S.</w:t>
            </w:r>
          </w:p>
        </w:tc>
      </w:tr>
      <w:tr>
        <w:trPr>
          <w:trHeight w:val="238"/>
        </w:trPr>
        <w:tc>
          <w:tcPr>
            <w:tcW w:w="47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Brady Groupe S.A.S</w:t>
            </w:r>
          </w:p>
        </w:tc>
        <w:tc>
          <w:tcPr>
            <w:tcW w:w="1020" w:type="dxa"/>
            <w:vAlign w:val="bottom"/>
            <w:tcBorders>
              <w:right w:val="single" w:sz="8" w:color="auto"/>
            </w:tcBorders>
          </w:tcPr>
          <w:p>
            <w:pPr>
              <w:spacing w:after="0"/>
              <w:rPr>
                <w:sz w:val="20"/>
                <w:szCs w:val="20"/>
                <w:color w:val="auto"/>
              </w:rPr>
            </w:pPr>
          </w:p>
        </w:tc>
        <w:tc>
          <w:tcPr>
            <w:tcW w:w="5520" w:type="dxa"/>
            <w:vAlign w:val="bottom"/>
            <w:tcBorders>
              <w:right w:val="single" w:sz="8" w:color="auto"/>
            </w:tcBorders>
          </w:tcPr>
          <w:p>
            <w:pPr>
              <w:spacing w:after="0"/>
              <w:rPr>
                <w:sz w:val="20"/>
                <w:szCs w:val="20"/>
                <w:color w:val="auto"/>
              </w:rPr>
            </w:pPr>
          </w:p>
        </w:tc>
      </w:tr>
      <w:tr>
        <w:trPr>
          <w:trHeight w:val="257"/>
        </w:trPr>
        <w:tc>
          <w:tcPr>
            <w:tcW w:w="4720" w:type="dxa"/>
            <w:vAlign w:val="bottom"/>
            <w:tcBorders>
              <w:left w:val="single" w:sz="8" w:color="auto"/>
              <w:bottom w:val="single" w:sz="8" w:color="auto"/>
            </w:tcBorders>
          </w:tcPr>
          <w:p>
            <w:pPr>
              <w:spacing w:after="0"/>
              <w:rPr>
                <w:sz w:val="22"/>
                <w:szCs w:val="22"/>
                <w:color w:val="auto"/>
              </w:rPr>
            </w:pPr>
          </w:p>
        </w:tc>
        <w:tc>
          <w:tcPr>
            <w:tcW w:w="1020" w:type="dxa"/>
            <w:vAlign w:val="bottom"/>
            <w:tcBorders>
              <w:bottom w:val="single" w:sz="8" w:color="auto"/>
              <w:right w:val="single" w:sz="8" w:color="auto"/>
            </w:tcBorders>
          </w:tcPr>
          <w:p>
            <w:pPr>
              <w:spacing w:after="0"/>
              <w:rPr>
                <w:sz w:val="22"/>
                <w:szCs w:val="22"/>
                <w:color w:val="auto"/>
              </w:rPr>
            </w:pPr>
          </w:p>
        </w:tc>
        <w:tc>
          <w:tcPr>
            <w:tcW w:w="5520" w:type="dxa"/>
            <w:vAlign w:val="bottom"/>
            <w:tcBorders>
              <w:bottom w:val="single" w:sz="8" w:color="auto"/>
              <w:right w:val="single" w:sz="8" w:color="auto"/>
            </w:tcBorders>
          </w:tcPr>
          <w:p>
            <w:pPr>
              <w:spacing w:after="0"/>
              <w:rPr>
                <w:sz w:val="22"/>
                <w:szCs w:val="22"/>
                <w:color w:val="auto"/>
              </w:rPr>
            </w:pPr>
          </w:p>
        </w:tc>
      </w:tr>
      <w:tr>
        <w:trPr>
          <w:trHeight w:val="237"/>
        </w:trPr>
        <w:tc>
          <w:tcPr>
            <w:tcW w:w="47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(Ci-après dénommée la « Société »)</w:t>
            </w:r>
          </w:p>
        </w:tc>
        <w:tc>
          <w:tcPr>
            <w:tcW w:w="1020" w:type="dxa"/>
            <w:vAlign w:val="bottom"/>
            <w:tcBorders>
              <w:right w:val="single" w:sz="8" w:color="auto"/>
            </w:tcBorders>
          </w:tcPr>
          <w:p>
            <w:pPr>
              <w:spacing w:after="0"/>
              <w:rPr>
                <w:sz w:val="20"/>
                <w:szCs w:val="20"/>
                <w:color w:val="auto"/>
              </w:rPr>
            </w:pP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(Hereinafter “the Company”)</w:t>
            </w:r>
          </w:p>
        </w:tc>
      </w:tr>
      <w:tr>
        <w:trPr>
          <w:trHeight w:val="445"/>
        </w:trPr>
        <w:tc>
          <w:tcPr>
            <w:tcW w:w="47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D’une part,</w:t>
            </w:r>
          </w:p>
        </w:tc>
        <w:tc>
          <w:tcPr>
            <w:tcW w:w="1020" w:type="dxa"/>
            <w:vAlign w:val="bottom"/>
            <w:tcBorders>
              <w:right w:val="single" w:sz="8" w:color="auto"/>
            </w:tcBorders>
          </w:tcPr>
          <w:p>
            <w:pPr>
              <w:spacing w:after="0"/>
              <w:rPr>
                <w:sz w:val="24"/>
                <w:szCs w:val="24"/>
                <w:color w:val="auto"/>
              </w:rPr>
            </w:pP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On the one hand,</w:t>
            </w:r>
          </w:p>
        </w:tc>
      </w:tr>
      <w:tr>
        <w:trPr>
          <w:trHeight w:val="257"/>
        </w:trPr>
        <w:tc>
          <w:tcPr>
            <w:tcW w:w="4720" w:type="dxa"/>
            <w:vAlign w:val="bottom"/>
            <w:tcBorders>
              <w:left w:val="single" w:sz="8" w:color="auto"/>
              <w:bottom w:val="single" w:sz="8" w:color="auto"/>
            </w:tcBorders>
          </w:tcPr>
          <w:p>
            <w:pPr>
              <w:spacing w:after="0"/>
              <w:rPr>
                <w:sz w:val="22"/>
                <w:szCs w:val="22"/>
                <w:color w:val="auto"/>
              </w:rPr>
            </w:pPr>
          </w:p>
        </w:tc>
        <w:tc>
          <w:tcPr>
            <w:tcW w:w="1020" w:type="dxa"/>
            <w:vAlign w:val="bottom"/>
            <w:tcBorders>
              <w:bottom w:val="single" w:sz="8" w:color="auto"/>
              <w:right w:val="single" w:sz="8" w:color="auto"/>
            </w:tcBorders>
          </w:tcPr>
          <w:p>
            <w:pPr>
              <w:spacing w:after="0"/>
              <w:rPr>
                <w:sz w:val="22"/>
                <w:szCs w:val="22"/>
                <w:color w:val="auto"/>
              </w:rPr>
            </w:pPr>
          </w:p>
        </w:tc>
        <w:tc>
          <w:tcPr>
            <w:tcW w:w="5520" w:type="dxa"/>
            <w:vAlign w:val="bottom"/>
            <w:tcBorders>
              <w:bottom w:val="single" w:sz="8" w:color="auto"/>
              <w:right w:val="single" w:sz="8" w:color="auto"/>
            </w:tcBorders>
          </w:tcPr>
          <w:p>
            <w:pPr>
              <w:spacing w:after="0"/>
              <w:rPr>
                <w:sz w:val="22"/>
                <w:szCs w:val="22"/>
                <w:color w:val="auto"/>
              </w:rPr>
            </w:pPr>
          </w:p>
        </w:tc>
      </w:tr>
      <w:tr>
        <w:trPr>
          <w:trHeight w:val="237"/>
        </w:trPr>
        <w:tc>
          <w:tcPr>
            <w:tcW w:w="47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ET</w:t>
            </w:r>
          </w:p>
        </w:tc>
        <w:tc>
          <w:tcPr>
            <w:tcW w:w="1020" w:type="dxa"/>
            <w:vAlign w:val="bottom"/>
            <w:tcBorders>
              <w:right w:val="single" w:sz="8" w:color="auto"/>
            </w:tcBorders>
          </w:tcPr>
          <w:p>
            <w:pPr>
              <w:spacing w:after="0"/>
              <w:rPr>
                <w:sz w:val="20"/>
                <w:szCs w:val="20"/>
                <w:color w:val="auto"/>
              </w:rPr>
            </w:pP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AND</w:t>
            </w:r>
          </w:p>
        </w:tc>
      </w:tr>
      <w:tr>
        <w:trPr>
          <w:trHeight w:val="27"/>
        </w:trPr>
        <w:tc>
          <w:tcPr>
            <w:tcW w:w="5740" w:type="dxa"/>
            <w:vAlign w:val="bottom"/>
            <w:tcBorders>
              <w:left w:val="single" w:sz="8" w:color="auto"/>
              <w:bottom w:val="single" w:sz="8" w:color="auto"/>
              <w:right w:val="single" w:sz="8" w:color="auto"/>
            </w:tcBorders>
            <w:gridSpan w:val="2"/>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r>
      <w:tr>
        <w:trPr>
          <w:trHeight w:val="250"/>
        </w:trPr>
        <w:tc>
          <w:tcPr>
            <w:tcW w:w="4720" w:type="dxa"/>
            <w:vAlign w:val="bottom"/>
            <w:tcBorders>
              <w:left w:val="single" w:sz="8" w:color="auto"/>
              <w:bottom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5520" w:type="dxa"/>
            <w:vAlign w:val="bottom"/>
            <w:tcBorders>
              <w:bottom w:val="single" w:sz="8" w:color="auto"/>
              <w:right w:val="single" w:sz="8" w:color="auto"/>
            </w:tcBorders>
          </w:tcPr>
          <w:p>
            <w:pPr>
              <w:spacing w:after="0"/>
              <w:rPr>
                <w:sz w:val="21"/>
                <w:szCs w:val="21"/>
                <w:color w:val="auto"/>
              </w:rPr>
            </w:pPr>
          </w:p>
        </w:tc>
      </w:tr>
      <w:tr>
        <w:trPr>
          <w:trHeight w:val="205"/>
        </w:trPr>
        <w:tc>
          <w:tcPr>
            <w:tcW w:w="5740" w:type="dxa"/>
            <w:vAlign w:val="bottom"/>
            <w:tcBorders>
              <w:left w:val="single" w:sz="8" w:color="auto"/>
              <w:right w:val="single" w:sz="8" w:color="auto"/>
            </w:tcBorders>
            <w:gridSpan w:val="2"/>
          </w:tcPr>
          <w:p>
            <w:pPr>
              <w:ind w:left="40"/>
              <w:spacing w:after="0" w:line="205" w:lineRule="exact"/>
              <w:rPr>
                <w:sz w:val="20"/>
                <w:szCs w:val="20"/>
                <w:color w:val="auto"/>
              </w:rPr>
            </w:pPr>
            <w:r>
              <w:rPr>
                <w:rFonts w:ascii="Times New Roman" w:cs="Times New Roman" w:eastAsia="Times New Roman" w:hAnsi="Times New Roman"/>
                <w:sz w:val="18"/>
                <w:szCs w:val="18"/>
                <w:b w:val="1"/>
                <w:bCs w:val="1"/>
                <w:color w:val="auto"/>
              </w:rPr>
              <w:t>Monsieur Pascal DEMAN</w:t>
            </w:r>
            <w:r>
              <w:rPr>
                <w:rFonts w:ascii="Times New Roman" w:cs="Times New Roman" w:eastAsia="Times New Roman" w:hAnsi="Times New Roman"/>
                <w:sz w:val="18"/>
                <w:szCs w:val="18"/>
                <w:color w:val="auto"/>
              </w:rPr>
              <w:t>, né le 09 mai 1965 à Oostende (Belgique), de</w:t>
            </w:r>
          </w:p>
        </w:tc>
        <w:tc>
          <w:tcPr>
            <w:tcW w:w="5520" w:type="dxa"/>
            <w:vAlign w:val="bottom"/>
            <w:tcBorders>
              <w:right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Mr. Pascal DEMAN</w:t>
            </w:r>
            <w:r>
              <w:rPr>
                <w:rFonts w:ascii="Times New Roman" w:cs="Times New Roman" w:eastAsia="Times New Roman" w:hAnsi="Times New Roman"/>
                <w:sz w:val="18"/>
                <w:szCs w:val="18"/>
                <w:color w:val="auto"/>
              </w:rPr>
              <w:t>, born on 9 May 1965 at Oostende (Belgique),</w:t>
            </w:r>
          </w:p>
        </w:tc>
      </w:tr>
      <w:tr>
        <w:trPr>
          <w:trHeight w:val="234"/>
        </w:trPr>
        <w:tc>
          <w:tcPr>
            <w:tcW w:w="47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nationalité Belge.</w:t>
            </w:r>
          </w:p>
        </w:tc>
        <w:tc>
          <w:tcPr>
            <w:tcW w:w="1020" w:type="dxa"/>
            <w:vAlign w:val="bottom"/>
            <w:tcBorders>
              <w:right w:val="single" w:sz="8" w:color="auto"/>
            </w:tcBorders>
          </w:tcPr>
          <w:p>
            <w:pPr>
              <w:spacing w:after="0"/>
              <w:rPr>
                <w:sz w:val="20"/>
                <w:szCs w:val="20"/>
                <w:color w:val="auto"/>
              </w:rPr>
            </w:pP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Belgium National</w:t>
            </w:r>
            <w:r>
              <w:rPr>
                <w:rFonts w:ascii="Times New Roman" w:cs="Times New Roman" w:eastAsia="Times New Roman" w:hAnsi="Times New Roman"/>
                <w:sz w:val="18"/>
                <w:szCs w:val="18"/>
                <w:color w:val="222222"/>
              </w:rPr>
              <w:t>.</w:t>
            </w:r>
          </w:p>
        </w:tc>
      </w:tr>
      <w:tr>
        <w:trPr>
          <w:trHeight w:val="256"/>
        </w:trPr>
        <w:tc>
          <w:tcPr>
            <w:tcW w:w="4720" w:type="dxa"/>
            <w:vAlign w:val="bottom"/>
            <w:tcBorders>
              <w:left w:val="single" w:sz="8" w:color="auto"/>
              <w:bottom w:val="single" w:sz="8" w:color="auto"/>
            </w:tcBorders>
          </w:tcPr>
          <w:p>
            <w:pPr>
              <w:spacing w:after="0"/>
              <w:rPr>
                <w:sz w:val="22"/>
                <w:szCs w:val="22"/>
                <w:color w:val="auto"/>
              </w:rPr>
            </w:pPr>
          </w:p>
        </w:tc>
        <w:tc>
          <w:tcPr>
            <w:tcW w:w="1020" w:type="dxa"/>
            <w:vAlign w:val="bottom"/>
            <w:tcBorders>
              <w:bottom w:val="single" w:sz="8" w:color="auto"/>
              <w:right w:val="single" w:sz="8" w:color="auto"/>
            </w:tcBorders>
          </w:tcPr>
          <w:p>
            <w:pPr>
              <w:spacing w:after="0"/>
              <w:rPr>
                <w:sz w:val="22"/>
                <w:szCs w:val="22"/>
                <w:color w:val="auto"/>
              </w:rPr>
            </w:pPr>
          </w:p>
        </w:tc>
        <w:tc>
          <w:tcPr>
            <w:tcW w:w="5520" w:type="dxa"/>
            <w:vAlign w:val="bottom"/>
            <w:tcBorders>
              <w:bottom w:val="single" w:sz="8" w:color="auto"/>
              <w:right w:val="single" w:sz="8" w:color="auto"/>
            </w:tcBorders>
          </w:tcPr>
          <w:p>
            <w:pPr>
              <w:spacing w:after="0"/>
              <w:rPr>
                <w:sz w:val="22"/>
                <w:szCs w:val="22"/>
                <w:color w:val="auto"/>
              </w:rPr>
            </w:pPr>
          </w:p>
        </w:tc>
      </w:tr>
      <w:tr>
        <w:trPr>
          <w:trHeight w:val="237"/>
        </w:trPr>
        <w:tc>
          <w:tcPr>
            <w:tcW w:w="47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(Ci-après dénommé « Le Salarié »)</w:t>
            </w:r>
          </w:p>
        </w:tc>
        <w:tc>
          <w:tcPr>
            <w:tcW w:w="1020" w:type="dxa"/>
            <w:vAlign w:val="bottom"/>
            <w:tcBorders>
              <w:right w:val="single" w:sz="8" w:color="auto"/>
            </w:tcBorders>
          </w:tcPr>
          <w:p>
            <w:pPr>
              <w:spacing w:after="0"/>
              <w:rPr>
                <w:sz w:val="20"/>
                <w:szCs w:val="20"/>
                <w:color w:val="auto"/>
              </w:rPr>
            </w:pP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(Hereinafter “the Employee”)</w:t>
            </w:r>
          </w:p>
        </w:tc>
      </w:tr>
      <w:tr>
        <w:trPr>
          <w:trHeight w:val="445"/>
        </w:trPr>
        <w:tc>
          <w:tcPr>
            <w:tcW w:w="472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D’autre part.</w:t>
            </w:r>
          </w:p>
        </w:tc>
        <w:tc>
          <w:tcPr>
            <w:tcW w:w="1020" w:type="dxa"/>
            <w:vAlign w:val="bottom"/>
            <w:tcBorders>
              <w:right w:val="single" w:sz="8" w:color="auto"/>
            </w:tcBorders>
          </w:tcPr>
          <w:p>
            <w:pPr>
              <w:spacing w:after="0"/>
              <w:rPr>
                <w:sz w:val="24"/>
                <w:szCs w:val="24"/>
                <w:color w:val="auto"/>
              </w:rPr>
            </w:pP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On the other hand.</w:t>
            </w:r>
          </w:p>
        </w:tc>
      </w:tr>
      <w:tr>
        <w:trPr>
          <w:trHeight w:val="256"/>
        </w:trPr>
        <w:tc>
          <w:tcPr>
            <w:tcW w:w="5740" w:type="dxa"/>
            <w:vAlign w:val="bottom"/>
            <w:tcBorders>
              <w:left w:val="single" w:sz="8" w:color="auto"/>
              <w:bottom w:val="single" w:sz="8" w:color="auto"/>
              <w:right w:val="single" w:sz="8" w:color="auto"/>
            </w:tcBorders>
            <w:gridSpan w:val="2"/>
          </w:tcPr>
          <w:p>
            <w:pPr>
              <w:spacing w:after="0"/>
              <w:rPr>
                <w:sz w:val="22"/>
                <w:szCs w:val="22"/>
                <w:color w:val="auto"/>
              </w:rPr>
            </w:pPr>
          </w:p>
        </w:tc>
        <w:tc>
          <w:tcPr>
            <w:tcW w:w="5520" w:type="dxa"/>
            <w:vAlign w:val="bottom"/>
            <w:tcBorders>
              <w:bottom w:val="single" w:sz="8" w:color="auto"/>
              <w:right w:val="single" w:sz="8" w:color="auto"/>
            </w:tcBorders>
          </w:tcPr>
          <w:p>
            <w:pPr>
              <w:spacing w:after="0"/>
              <w:rPr>
                <w:sz w:val="22"/>
                <w:szCs w:val="22"/>
                <w:color w:val="auto"/>
              </w:rPr>
            </w:pPr>
          </w:p>
        </w:tc>
      </w:tr>
      <w:tr>
        <w:trPr>
          <w:trHeight w:val="218"/>
        </w:trPr>
        <w:tc>
          <w:tcPr>
            <w:tcW w:w="574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La Société et Pascal Deman seront ci-après dénommés collectivement les «</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Company and Pascal Deman will hereinafter be referred to collectively</w:t>
            </w:r>
          </w:p>
        </w:tc>
      </w:tr>
      <w:tr>
        <w:trPr>
          <w:trHeight w:val="234"/>
        </w:trPr>
        <w:tc>
          <w:tcPr>
            <w:tcW w:w="47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Parties » et individuellement une « Partie ».</w:t>
            </w:r>
          </w:p>
        </w:tc>
        <w:tc>
          <w:tcPr>
            <w:tcW w:w="1020" w:type="dxa"/>
            <w:vAlign w:val="bottom"/>
            <w:tcBorders>
              <w:right w:val="single" w:sz="8" w:color="auto"/>
            </w:tcBorders>
          </w:tcPr>
          <w:p>
            <w:pPr>
              <w:spacing w:after="0"/>
              <w:rPr>
                <w:sz w:val="20"/>
                <w:szCs w:val="20"/>
                <w:color w:val="auto"/>
              </w:rPr>
            </w:pP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 the "Parties" and individually as a "Party".</w:t>
            </w:r>
          </w:p>
        </w:tc>
      </w:tr>
      <w:tr>
        <w:trPr>
          <w:trHeight w:val="27"/>
        </w:trPr>
        <w:tc>
          <w:tcPr>
            <w:tcW w:w="4720" w:type="dxa"/>
            <w:vAlign w:val="bottom"/>
            <w:tcBorders>
              <w:left w:val="single" w:sz="8" w:color="auto"/>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r>
      <w:tr>
        <w:trPr>
          <w:trHeight w:val="250"/>
        </w:trPr>
        <w:tc>
          <w:tcPr>
            <w:tcW w:w="4720" w:type="dxa"/>
            <w:vAlign w:val="bottom"/>
            <w:tcBorders>
              <w:left w:val="single" w:sz="8" w:color="auto"/>
              <w:bottom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5520" w:type="dxa"/>
            <w:vAlign w:val="bottom"/>
            <w:tcBorders>
              <w:bottom w:val="single" w:sz="8" w:color="auto"/>
              <w:right w:val="single" w:sz="8" w:color="auto"/>
            </w:tcBorders>
          </w:tcPr>
          <w:p>
            <w:pPr>
              <w:spacing w:after="0"/>
              <w:rPr>
                <w:sz w:val="21"/>
                <w:szCs w:val="21"/>
                <w:color w:val="auto"/>
              </w:rPr>
            </w:pPr>
          </w:p>
        </w:tc>
      </w:tr>
      <w:tr>
        <w:trPr>
          <w:trHeight w:val="236"/>
        </w:trPr>
        <w:tc>
          <w:tcPr>
            <w:tcW w:w="47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IL A PREALABLEMENT ETE RAPPELE CE QUI SUIT :</w:t>
            </w:r>
          </w:p>
        </w:tc>
        <w:tc>
          <w:tcPr>
            <w:tcW w:w="1020" w:type="dxa"/>
            <w:vAlign w:val="bottom"/>
            <w:tcBorders>
              <w:right w:val="single" w:sz="8" w:color="auto"/>
            </w:tcBorders>
          </w:tcPr>
          <w:p>
            <w:pPr>
              <w:spacing w:after="0"/>
              <w:rPr>
                <w:sz w:val="20"/>
                <w:szCs w:val="20"/>
                <w:color w:val="auto"/>
              </w:rPr>
            </w:pP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THE FOLLOWING IS REMINDED :</w:t>
            </w:r>
          </w:p>
        </w:tc>
      </w:tr>
      <w:tr>
        <w:trPr>
          <w:trHeight w:val="27"/>
        </w:trPr>
        <w:tc>
          <w:tcPr>
            <w:tcW w:w="5740" w:type="dxa"/>
            <w:vAlign w:val="bottom"/>
            <w:tcBorders>
              <w:left w:val="single" w:sz="8" w:color="auto"/>
              <w:bottom w:val="single" w:sz="8" w:color="auto"/>
              <w:right w:val="single" w:sz="8" w:color="auto"/>
            </w:tcBorders>
            <w:gridSpan w:val="2"/>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r>
      <w:tr>
        <w:trPr>
          <w:trHeight w:val="205"/>
        </w:trPr>
        <w:tc>
          <w:tcPr>
            <w:tcW w:w="5740" w:type="dxa"/>
            <w:vAlign w:val="bottom"/>
            <w:tcBorders>
              <w:left w:val="single" w:sz="8" w:color="auto"/>
              <w:right w:val="single" w:sz="8" w:color="auto"/>
            </w:tcBorders>
            <w:gridSpan w:val="2"/>
          </w:tcPr>
          <w:p>
            <w:pPr>
              <w:ind w:left="40"/>
              <w:spacing w:after="0" w:line="204" w:lineRule="exact"/>
              <w:rPr>
                <w:sz w:val="20"/>
                <w:szCs w:val="20"/>
                <w:color w:val="auto"/>
              </w:rPr>
            </w:pPr>
            <w:r>
              <w:rPr>
                <w:rFonts w:ascii="Times New Roman" w:cs="Times New Roman" w:eastAsia="Times New Roman" w:hAnsi="Times New Roman"/>
                <w:sz w:val="18"/>
                <w:szCs w:val="18"/>
                <w:color w:val="auto"/>
              </w:rPr>
              <w:t>Le Salarié a été embauché par la Société le 1</w:t>
            </w:r>
            <w:r>
              <w:rPr>
                <w:rFonts w:ascii="Times New Roman" w:cs="Times New Roman" w:eastAsia="Times New Roman" w:hAnsi="Times New Roman"/>
                <w:sz w:val="23"/>
                <w:szCs w:val="23"/>
                <w:color w:val="auto"/>
                <w:vertAlign w:val="superscript"/>
              </w:rPr>
              <w:t>e</w:t>
            </w:r>
            <w:r>
              <w:rPr>
                <w:rFonts w:ascii="Times New Roman" w:cs="Times New Roman" w:eastAsia="Times New Roman" w:hAnsi="Times New Roman"/>
                <w:sz w:val="18"/>
                <w:szCs w:val="18"/>
                <w:color w:val="auto"/>
              </w:rPr>
              <w:t xml:space="preserve"> février 2014, et un contrat de</w:t>
            </w:r>
          </w:p>
        </w:tc>
        <w:tc>
          <w:tcPr>
            <w:tcW w:w="5520" w:type="dxa"/>
            <w:vAlign w:val="bottom"/>
            <w:tcBorders>
              <w:right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The Employee was hired by the Company on February 1, 2014, and an</w:t>
            </w:r>
          </w:p>
        </w:tc>
      </w:tr>
      <w:tr>
        <w:trPr>
          <w:trHeight w:val="203"/>
        </w:trPr>
        <w:tc>
          <w:tcPr>
            <w:tcW w:w="5740" w:type="dxa"/>
            <w:vAlign w:val="bottom"/>
            <w:tcBorders>
              <w:left w:val="single" w:sz="8" w:color="auto"/>
              <w:right w:val="single" w:sz="8" w:color="auto"/>
            </w:tcBorders>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travail à durée indéterminée a été conclu par les Parties à cette occasion (ci-</w:t>
            </w:r>
          </w:p>
        </w:tc>
        <w:tc>
          <w:tcPr>
            <w:tcW w:w="5520" w:type="dxa"/>
            <w:vAlign w:val="bottom"/>
            <w:tcBorders>
              <w:right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employment contract for an indefinite term was entered into by the Parties</w:t>
            </w:r>
          </w:p>
        </w:tc>
      </w:tr>
      <w:tr>
        <w:trPr>
          <w:trHeight w:val="261"/>
        </w:trPr>
        <w:tc>
          <w:tcPr>
            <w:tcW w:w="47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après le « Contrat »).</w:t>
            </w:r>
          </w:p>
        </w:tc>
        <w:tc>
          <w:tcPr>
            <w:tcW w:w="1020" w:type="dxa"/>
            <w:vAlign w:val="bottom"/>
            <w:tcBorders>
              <w:right w:val="single" w:sz="8" w:color="auto"/>
            </w:tcBorders>
          </w:tcPr>
          <w:p>
            <w:pPr>
              <w:spacing w:after="0"/>
              <w:rPr>
                <w:sz w:val="22"/>
                <w:szCs w:val="22"/>
                <w:color w:val="auto"/>
              </w:rPr>
            </w:pP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on this occasion (hereinafter the "Contract").</w:t>
            </w:r>
          </w:p>
        </w:tc>
      </w:tr>
      <w:tr>
        <w:trPr>
          <w:trHeight w:val="387"/>
        </w:trPr>
        <w:tc>
          <w:tcPr>
            <w:tcW w:w="47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Les Parties entendent modifier le Contrat du Salarié par la</w:t>
            </w:r>
          </w:p>
        </w:tc>
        <w:tc>
          <w:tcPr>
            <w:tcW w:w="10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signature du</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Parties intend to amend the Employee's Contract by signing this</w:t>
            </w:r>
          </w:p>
        </w:tc>
      </w:tr>
      <w:tr>
        <w:trPr>
          <w:trHeight w:val="261"/>
        </w:trPr>
        <w:tc>
          <w:tcPr>
            <w:tcW w:w="47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présent avenant.</w:t>
            </w:r>
          </w:p>
        </w:tc>
        <w:tc>
          <w:tcPr>
            <w:tcW w:w="1020" w:type="dxa"/>
            <w:vAlign w:val="bottom"/>
            <w:tcBorders>
              <w:right w:val="single" w:sz="8" w:color="auto"/>
            </w:tcBorders>
          </w:tcPr>
          <w:p>
            <w:pPr>
              <w:spacing w:after="0"/>
              <w:rPr>
                <w:sz w:val="22"/>
                <w:szCs w:val="22"/>
                <w:color w:val="auto"/>
              </w:rPr>
            </w:pP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amendment.</w:t>
            </w:r>
          </w:p>
        </w:tc>
      </w:tr>
      <w:tr>
        <w:trPr>
          <w:trHeight w:val="229"/>
        </w:trPr>
        <w:tc>
          <w:tcPr>
            <w:tcW w:w="4720" w:type="dxa"/>
            <w:vAlign w:val="bottom"/>
            <w:tcBorders>
              <w:left w:val="single" w:sz="8" w:color="auto"/>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5520" w:type="dxa"/>
            <w:vAlign w:val="bottom"/>
            <w:tcBorders>
              <w:bottom w:val="single" w:sz="8" w:color="auto"/>
              <w:right w:val="single" w:sz="8" w:color="auto"/>
            </w:tcBorders>
          </w:tcPr>
          <w:p>
            <w:pPr>
              <w:spacing w:after="0"/>
              <w:rPr>
                <w:sz w:val="19"/>
                <w:szCs w:val="19"/>
                <w:color w:val="auto"/>
              </w:rPr>
            </w:pPr>
          </w:p>
        </w:tc>
      </w:tr>
    </w:tbl>
    <w:p>
      <w:pPr>
        <w:sectPr>
          <w:pgSz w:w="11900" w:h="16838" w:orient="portrait"/>
          <w:cols w:equalWidth="0" w:num="1">
            <w:col w:w="11260"/>
          </w:cols>
          <w:pgMar w:left="320" w:top="887" w:right="319" w:bottom="1440" w:gutter="0" w:footer="0" w:header="0"/>
        </w:sectPr>
      </w:pPr>
    </w:p>
    <w:bookmarkStart w:id="139" w:name="page140"/>
    <w:bookmarkEnd w:id="13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5740" w:type="dxa"/>
            <w:vAlign w:val="bottom"/>
            <w:tcBorders>
              <w:top w:val="single" w:sz="8" w:color="auto"/>
              <w:left w:val="single" w:sz="8" w:color="auto"/>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CECI AYANT ETE EXPOSE, IL EST CONVENU CE QUI SUIT :</w:t>
            </w:r>
          </w:p>
        </w:tc>
        <w:tc>
          <w:tcPr>
            <w:tcW w:w="5520" w:type="dxa"/>
            <w:vAlign w:val="bottom"/>
            <w:tcBorders>
              <w:top w:val="single" w:sz="8" w:color="auto"/>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THIS HAVING BEEN STATED, IT IS AGREED AS FOLLOWS:</w:t>
            </w:r>
          </w:p>
        </w:tc>
        <w:tc>
          <w:tcPr>
            <w:tcW w:w="0" w:type="dxa"/>
            <w:vAlign w:val="bottom"/>
          </w:tcPr>
          <w:p>
            <w:pPr>
              <w:spacing w:after="0"/>
              <w:rPr>
                <w:sz w:val="1"/>
                <w:szCs w:val="1"/>
                <w:color w:val="auto"/>
              </w:rPr>
            </w:pPr>
          </w:p>
        </w:tc>
      </w:tr>
      <w:tr>
        <w:trPr>
          <w:trHeight w:val="27"/>
        </w:trPr>
        <w:tc>
          <w:tcPr>
            <w:tcW w:w="3360" w:type="dxa"/>
            <w:vAlign w:val="bottom"/>
            <w:tcBorders>
              <w:left w:val="single" w:sz="8" w:color="auto"/>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tcBorders>
            <w:gridSpan w:val="4"/>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6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Article 1 - Attributions et fonctions</w:t>
            </w: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28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Article 1 - Duties and functions</w:t>
            </w: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740" w:type="dxa"/>
            <w:vAlign w:val="bottom"/>
            <w:tcBorders>
              <w:left w:val="single" w:sz="8" w:color="auto"/>
              <w:bottom w:val="single" w:sz="8" w:color="auto"/>
              <w:right w:val="single" w:sz="8" w:color="auto"/>
            </w:tcBorders>
            <w:gridSpan w:val="4"/>
          </w:tcPr>
          <w:p>
            <w:pPr>
              <w:spacing w:after="0"/>
              <w:rPr>
                <w:sz w:val="22"/>
                <w:szCs w:val="22"/>
                <w:color w:val="auto"/>
              </w:rPr>
            </w:pPr>
          </w:p>
        </w:tc>
        <w:tc>
          <w:tcPr>
            <w:tcW w:w="5520" w:type="dxa"/>
            <w:vAlign w:val="bottom"/>
            <w:tcBorders>
              <w:bottom w:val="single" w:sz="8" w:color="auto"/>
              <w:right w:val="single" w:sz="8" w:color="auto"/>
            </w:tcBorders>
            <w:gridSpan w:val="7"/>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5740" w:type="dxa"/>
            <w:vAlign w:val="bottom"/>
            <w:tcBorders>
              <w:left w:val="single" w:sz="8" w:color="auto"/>
              <w:right w:val="single" w:sz="8" w:color="auto"/>
            </w:tcBorders>
            <w:gridSpan w:val="4"/>
          </w:tcPr>
          <w:p>
            <w:pPr>
              <w:ind w:left="40"/>
              <w:spacing w:after="0" w:line="201" w:lineRule="exact"/>
              <w:rPr>
                <w:sz w:val="20"/>
                <w:szCs w:val="20"/>
                <w:color w:val="auto"/>
              </w:rPr>
            </w:pPr>
            <w:r>
              <w:rPr>
                <w:rFonts w:ascii="Times New Roman" w:cs="Times New Roman" w:eastAsia="Times New Roman" w:hAnsi="Times New Roman"/>
                <w:sz w:val="18"/>
                <w:szCs w:val="18"/>
                <w:color w:val="auto"/>
              </w:rPr>
              <w:t xml:space="preserve">A compter du </w:t>
            </w:r>
            <w:r>
              <w:rPr>
                <w:rFonts w:ascii="Times New Roman" w:cs="Times New Roman" w:eastAsia="Times New Roman" w:hAnsi="Times New Roman"/>
                <w:sz w:val="18"/>
                <w:szCs w:val="18"/>
                <w:b w:val="1"/>
                <w:bCs w:val="1"/>
                <w:color w:val="auto"/>
              </w:rPr>
              <w:t>3 janvier 2020</w:t>
            </w:r>
            <w:r>
              <w:rPr>
                <w:rFonts w:ascii="Times New Roman" w:cs="Times New Roman" w:eastAsia="Times New Roman" w:hAnsi="Times New Roman"/>
                <w:sz w:val="18"/>
                <w:szCs w:val="18"/>
                <w:color w:val="auto"/>
              </w:rPr>
              <w:t xml:space="preserve">, le Salarié exercera les fonctions de « </w:t>
            </w:r>
            <w:r>
              <w:rPr>
                <w:rFonts w:ascii="Times New Roman" w:cs="Times New Roman" w:eastAsia="Times New Roman" w:hAnsi="Times New Roman"/>
                <w:sz w:val="18"/>
                <w:szCs w:val="18"/>
                <w:b w:val="1"/>
                <w:bCs w:val="1"/>
                <w:color w:val="auto"/>
              </w:rPr>
              <w:t>Vice</w:t>
            </w:r>
          </w:p>
        </w:tc>
        <w:tc>
          <w:tcPr>
            <w:tcW w:w="5520" w:type="dxa"/>
            <w:vAlign w:val="bottom"/>
            <w:tcBorders>
              <w:right w:val="single" w:sz="8" w:color="auto"/>
            </w:tcBorders>
            <w:gridSpan w:val="7"/>
          </w:tcPr>
          <w:p>
            <w:pPr>
              <w:ind w:left="20"/>
              <w:spacing w:after="0" w:line="201" w:lineRule="exact"/>
              <w:rPr>
                <w:sz w:val="20"/>
                <w:szCs w:val="20"/>
                <w:color w:val="auto"/>
              </w:rPr>
            </w:pPr>
            <w:r>
              <w:rPr>
                <w:rFonts w:ascii="Times New Roman" w:cs="Times New Roman" w:eastAsia="Times New Roman" w:hAnsi="Times New Roman"/>
                <w:sz w:val="18"/>
                <w:szCs w:val="18"/>
                <w:color w:val="auto"/>
              </w:rPr>
              <w:t xml:space="preserve">As of January 3, 2020, the Employee will act as </w:t>
            </w:r>
            <w:r>
              <w:rPr>
                <w:rFonts w:ascii="Times New Roman" w:cs="Times New Roman" w:eastAsia="Times New Roman" w:hAnsi="Times New Roman"/>
                <w:sz w:val="18"/>
                <w:szCs w:val="18"/>
                <w:b w:val="1"/>
                <w:bCs w:val="1"/>
                <w:color w:val="auto"/>
              </w:rPr>
              <w:t>Vice President and</w:t>
            </w:r>
          </w:p>
        </w:tc>
        <w:tc>
          <w:tcPr>
            <w:tcW w:w="0" w:type="dxa"/>
            <w:vAlign w:val="bottom"/>
          </w:tcPr>
          <w:p>
            <w:pPr>
              <w:spacing w:after="0"/>
              <w:rPr>
                <w:sz w:val="1"/>
                <w:szCs w:val="1"/>
                <w:color w:val="auto"/>
              </w:rPr>
            </w:pPr>
          </w:p>
        </w:tc>
      </w:tr>
      <w:tr>
        <w:trPr>
          <w:trHeight w:val="238"/>
        </w:trPr>
        <w:tc>
          <w:tcPr>
            <w:tcW w:w="33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President and General Manager, WPS »</w:t>
            </w:r>
            <w:r>
              <w:rPr>
                <w:rFonts w:ascii="Times New Roman" w:cs="Times New Roman" w:eastAsia="Times New Roman" w:hAnsi="Times New Roman"/>
                <w:sz w:val="18"/>
                <w:szCs w:val="18"/>
                <w:color w:val="auto"/>
              </w:rPr>
              <w:t>.</w:t>
            </w: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2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General Manager, WPS</w:t>
            </w:r>
            <w:r>
              <w:rPr>
                <w:rFonts w:ascii="Times New Roman" w:cs="Times New Roman" w:eastAsia="Times New Roman" w:hAnsi="Times New Roman"/>
                <w:sz w:val="18"/>
                <w:szCs w:val="18"/>
                <w:color w:val="auto"/>
              </w:rPr>
              <w:t>.</w:t>
            </w:r>
          </w:p>
        </w:tc>
        <w:tc>
          <w:tcPr>
            <w:tcW w:w="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3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Les fonctions confiées au Salarié sont par</w:t>
            </w:r>
          </w:p>
        </w:tc>
        <w:tc>
          <w:tcPr>
            <w:tcW w:w="2380" w:type="dxa"/>
            <w:vAlign w:val="bottom"/>
            <w:tcBorders>
              <w:right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nature évolutives et pourront</w:t>
            </w:r>
          </w:p>
        </w:tc>
        <w:tc>
          <w:tcPr>
            <w:tcW w:w="552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color w:val="auto"/>
              </w:rPr>
              <w:t>The functions entrusted to the Employee are by nature evolving and may</w:t>
            </w:r>
          </w:p>
        </w:tc>
        <w:tc>
          <w:tcPr>
            <w:tcW w:w="0" w:type="dxa"/>
            <w:vAlign w:val="bottom"/>
          </w:tcPr>
          <w:p>
            <w:pPr>
              <w:spacing w:after="0"/>
              <w:rPr>
                <w:sz w:val="1"/>
                <w:szCs w:val="1"/>
                <w:color w:val="auto"/>
              </w:rPr>
            </w:pPr>
          </w:p>
        </w:tc>
      </w:tr>
      <w:tr>
        <w:trPr>
          <w:trHeight w:val="234"/>
        </w:trPr>
        <w:tc>
          <w:tcPr>
            <w:tcW w:w="5740" w:type="dxa"/>
            <w:vAlign w:val="bottom"/>
            <w:tcBorders>
              <w:left w:val="single" w:sz="8" w:color="auto"/>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évoluées en fonction des nécessités de fonctionnement de la Société.</w:t>
            </w:r>
          </w:p>
        </w:tc>
        <w:tc>
          <w:tcPr>
            <w:tcW w:w="552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color w:val="auto"/>
              </w:rPr>
              <w:t>change according to the Company's operating requirements.</w:t>
            </w:r>
          </w:p>
        </w:tc>
        <w:tc>
          <w:tcPr>
            <w:tcW w:w="0" w:type="dxa"/>
            <w:vAlign w:val="bottom"/>
          </w:tcPr>
          <w:p>
            <w:pPr>
              <w:spacing w:after="0"/>
              <w:rPr>
                <w:sz w:val="1"/>
                <w:szCs w:val="1"/>
                <w:color w:val="auto"/>
              </w:rPr>
            </w:pPr>
          </w:p>
        </w:tc>
      </w:tr>
      <w:tr>
        <w:trPr>
          <w:trHeight w:val="445"/>
        </w:trPr>
        <w:tc>
          <w:tcPr>
            <w:tcW w:w="5740" w:type="dxa"/>
            <w:vAlign w:val="bottom"/>
            <w:tcBorders>
              <w:left w:val="single" w:sz="8" w:color="auto"/>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Elles lui seront précisées autant que de besoin par son supérieur hiérarchique.</w:t>
            </w:r>
          </w:p>
        </w:tc>
        <w:tc>
          <w:tcPr>
            <w:tcW w:w="552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color w:val="auto"/>
              </w:rPr>
              <w:t>They will be specified to him as necessary by his supervisor</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3360" w:type="dxa"/>
            <w:vAlign w:val="bottom"/>
            <w:tcBorders>
              <w:left w:val="single" w:sz="8" w:color="auto"/>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right w:val="single" w:sz="8" w:color="auto"/>
            </w:tcBorders>
          </w:tcPr>
          <w:p>
            <w:pPr>
              <w:spacing w:after="0"/>
              <w:rPr>
                <w:sz w:val="22"/>
                <w:szCs w:val="22"/>
                <w:color w:val="auto"/>
              </w:rPr>
            </w:pPr>
          </w:p>
        </w:tc>
        <w:tc>
          <w:tcPr>
            <w:tcW w:w="2220" w:type="dxa"/>
            <w:vAlign w:val="bottom"/>
            <w:tcBorders>
              <w:bottom w:val="single" w:sz="8" w:color="auto"/>
            </w:tcBorders>
            <w:gridSpan w:val="3"/>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3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3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Article 2 – Rémunération</w:t>
            </w: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2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Article 2 – Remuneration</w:t>
            </w:r>
          </w:p>
        </w:tc>
        <w:tc>
          <w:tcPr>
            <w:tcW w:w="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40" w:type="dxa"/>
            <w:vAlign w:val="bottom"/>
            <w:tcBorders>
              <w:left w:val="single" w:sz="8" w:color="auto"/>
              <w:bottom w:val="single" w:sz="8" w:color="auto"/>
              <w:right w:val="single" w:sz="8" w:color="auto"/>
            </w:tcBorders>
            <w:gridSpan w:val="4"/>
          </w:tcPr>
          <w:p>
            <w:pPr>
              <w:spacing w:after="0"/>
              <w:rPr>
                <w:sz w:val="2"/>
                <w:szCs w:val="2"/>
                <w:color w:val="auto"/>
              </w:rPr>
            </w:pPr>
          </w:p>
        </w:tc>
        <w:tc>
          <w:tcPr>
            <w:tcW w:w="5520" w:type="dxa"/>
            <w:vAlign w:val="bottom"/>
            <w:tcBorders>
              <w:bottom w:val="single" w:sz="8" w:color="auto"/>
              <w:right w:val="single" w:sz="8" w:color="auto"/>
            </w:tcBorders>
            <w:gridSpan w:val="7"/>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740" w:type="dxa"/>
            <w:vAlign w:val="bottom"/>
            <w:tcBorders>
              <w:left w:val="single" w:sz="8" w:color="auto"/>
              <w:right w:val="single" w:sz="8" w:color="auto"/>
            </w:tcBorders>
            <w:gridSpan w:val="4"/>
          </w:tcPr>
          <w:p>
            <w:pPr>
              <w:ind w:left="40"/>
              <w:spacing w:after="0" w:line="205" w:lineRule="exact"/>
              <w:rPr>
                <w:sz w:val="20"/>
                <w:szCs w:val="20"/>
                <w:color w:val="auto"/>
              </w:rPr>
            </w:pPr>
            <w:r>
              <w:rPr>
                <w:rFonts w:ascii="Times New Roman" w:cs="Times New Roman" w:eastAsia="Times New Roman" w:hAnsi="Times New Roman"/>
                <w:sz w:val="18"/>
                <w:szCs w:val="18"/>
                <w:color w:val="auto"/>
              </w:rPr>
              <w:t>En contrepartie de son activité, le Salarié recevra une rémunération annuelle</w:t>
            </w:r>
          </w:p>
        </w:tc>
        <w:tc>
          <w:tcPr>
            <w:tcW w:w="5520" w:type="dxa"/>
            <w:vAlign w:val="bottom"/>
            <w:tcBorders>
              <w:right w:val="single" w:sz="8" w:color="auto"/>
            </w:tcBorders>
            <w:gridSpan w:val="7"/>
          </w:tcPr>
          <w:p>
            <w:pPr>
              <w:ind w:left="20"/>
              <w:spacing w:after="0" w:line="205" w:lineRule="exact"/>
              <w:rPr>
                <w:sz w:val="20"/>
                <w:szCs w:val="20"/>
                <w:color w:val="auto"/>
              </w:rPr>
            </w:pPr>
            <w:r>
              <w:rPr>
                <w:rFonts w:ascii="Times New Roman" w:cs="Times New Roman" w:eastAsia="Times New Roman" w:hAnsi="Times New Roman"/>
                <w:sz w:val="18"/>
                <w:szCs w:val="18"/>
                <w:color w:val="auto"/>
              </w:rPr>
              <w:t>In return for his or her activity, the Employee will receive a gross fixed</w:t>
            </w:r>
          </w:p>
        </w:tc>
        <w:tc>
          <w:tcPr>
            <w:tcW w:w="0" w:type="dxa"/>
            <w:vAlign w:val="bottom"/>
          </w:tcPr>
          <w:p>
            <w:pPr>
              <w:spacing w:after="0"/>
              <w:rPr>
                <w:sz w:val="1"/>
                <w:szCs w:val="1"/>
                <w:color w:val="auto"/>
              </w:rPr>
            </w:pPr>
          </w:p>
        </w:tc>
      </w:tr>
      <w:tr>
        <w:trPr>
          <w:trHeight w:val="203"/>
        </w:trPr>
        <w:tc>
          <w:tcPr>
            <w:tcW w:w="5740" w:type="dxa"/>
            <w:vAlign w:val="bottom"/>
            <w:tcBorders>
              <w:left w:val="single" w:sz="8" w:color="auto"/>
              <w:right w:val="single" w:sz="8" w:color="auto"/>
            </w:tcBorders>
            <w:gridSpan w:val="4"/>
          </w:tcPr>
          <w:p>
            <w:pPr>
              <w:ind w:left="40"/>
              <w:spacing w:after="0" w:line="202" w:lineRule="exact"/>
              <w:rPr>
                <w:sz w:val="20"/>
                <w:szCs w:val="20"/>
                <w:color w:val="auto"/>
              </w:rPr>
            </w:pPr>
            <w:r>
              <w:rPr>
                <w:rFonts w:ascii="Times New Roman" w:cs="Times New Roman" w:eastAsia="Times New Roman" w:hAnsi="Times New Roman"/>
                <w:sz w:val="18"/>
                <w:szCs w:val="18"/>
                <w:color w:val="auto"/>
              </w:rPr>
              <w:t xml:space="preserve">brute fixe forfaitaire de </w:t>
            </w:r>
            <w:r>
              <w:rPr>
                <w:rFonts w:ascii="Times New Roman" w:cs="Times New Roman" w:eastAsia="Times New Roman" w:hAnsi="Times New Roman"/>
                <w:sz w:val="18"/>
                <w:szCs w:val="18"/>
                <w:color w:val="222222"/>
              </w:rPr>
              <w:t>255.550 euros (deux-cent cinquante cinq mille cinq-</w:t>
            </w:r>
          </w:p>
        </w:tc>
        <w:tc>
          <w:tcPr>
            <w:tcW w:w="5520" w:type="dxa"/>
            <w:vAlign w:val="bottom"/>
            <w:tcBorders>
              <w:right w:val="single" w:sz="8" w:color="auto"/>
            </w:tcBorders>
            <w:gridSpan w:val="7"/>
          </w:tcPr>
          <w:p>
            <w:pPr>
              <w:ind w:left="20"/>
              <w:spacing w:after="0" w:line="202" w:lineRule="exact"/>
              <w:rPr>
                <w:sz w:val="20"/>
                <w:szCs w:val="20"/>
                <w:color w:val="auto"/>
              </w:rPr>
            </w:pPr>
            <w:r>
              <w:rPr>
                <w:rFonts w:ascii="Times New Roman" w:cs="Times New Roman" w:eastAsia="Times New Roman" w:hAnsi="Times New Roman"/>
                <w:sz w:val="18"/>
                <w:szCs w:val="18"/>
                <w:color w:val="auto"/>
              </w:rPr>
              <w:t>annual remuneration of EUR 255,550 (two hundred fifty-five thousand,</w:t>
            </w:r>
          </w:p>
        </w:tc>
        <w:tc>
          <w:tcPr>
            <w:tcW w:w="0" w:type="dxa"/>
            <w:vAlign w:val="bottom"/>
          </w:tcPr>
          <w:p>
            <w:pPr>
              <w:spacing w:after="0"/>
              <w:rPr>
                <w:sz w:val="1"/>
                <w:szCs w:val="1"/>
                <w:color w:val="auto"/>
              </w:rPr>
            </w:pPr>
          </w:p>
        </w:tc>
      </w:tr>
      <w:tr>
        <w:trPr>
          <w:trHeight w:val="261"/>
        </w:trPr>
        <w:tc>
          <w:tcPr>
            <w:tcW w:w="33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222222"/>
              </w:rPr>
              <w:t>cents cinquante Euros).</w:t>
            </w:r>
          </w:p>
        </w:tc>
        <w:tc>
          <w:tcPr>
            <w:tcW w:w="1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Borders>
              <w:right w:val="single" w:sz="8" w:color="auto"/>
            </w:tcBorders>
          </w:tcPr>
          <w:p>
            <w:pPr>
              <w:spacing w:after="0"/>
              <w:rPr>
                <w:sz w:val="22"/>
                <w:szCs w:val="22"/>
                <w:color w:val="auto"/>
              </w:rPr>
            </w:pPr>
          </w:p>
        </w:tc>
        <w:tc>
          <w:tcPr>
            <w:tcW w:w="2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five hundred fifty euros).</w:t>
            </w:r>
          </w:p>
        </w:tc>
        <w:tc>
          <w:tcPr>
            <w:tcW w:w="6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3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740" w:type="dxa"/>
            <w:vAlign w:val="bottom"/>
            <w:tcBorders>
              <w:left w:val="single" w:sz="8" w:color="auto"/>
              <w:bottom w:val="single" w:sz="8" w:color="auto"/>
              <w:right w:val="single" w:sz="8" w:color="auto"/>
            </w:tcBorders>
            <w:gridSpan w:val="4"/>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3"/>
          </w:tcPr>
          <w:p>
            <w:pPr>
              <w:spacing w:after="0"/>
              <w:rPr>
                <w:sz w:val="19"/>
                <w:szCs w:val="19"/>
                <w:color w:val="auto"/>
              </w:rPr>
            </w:pPr>
          </w:p>
        </w:tc>
        <w:tc>
          <w:tcPr>
            <w:tcW w:w="1900" w:type="dxa"/>
            <w:vAlign w:val="bottom"/>
            <w:tcBorders>
              <w:bottom w:val="single" w:sz="8" w:color="auto"/>
              <w:right w:val="single" w:sz="8" w:color="auto"/>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740" w:type="dxa"/>
            <w:vAlign w:val="bottom"/>
            <w:tcBorders>
              <w:left w:val="single" w:sz="8" w:color="auto"/>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En plus de la rémunération fixe visée ci-dessus, le Salarié pourra percevoir</w:t>
            </w:r>
          </w:p>
        </w:tc>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addition</w:t>
            </w:r>
          </w:p>
        </w:tc>
        <w:tc>
          <w:tcPr>
            <w:tcW w:w="2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to</w:t>
            </w:r>
          </w:p>
        </w:tc>
        <w:tc>
          <w:tcPr>
            <w:tcW w:w="2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the  fixed  annual  remuneration</w:t>
            </w:r>
          </w:p>
        </w:tc>
        <w:tc>
          <w:tcPr>
            <w:tcW w:w="190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referred  to  above,  the</w:t>
            </w:r>
          </w:p>
        </w:tc>
        <w:tc>
          <w:tcPr>
            <w:tcW w:w="0" w:type="dxa"/>
            <w:vAlign w:val="bottom"/>
          </w:tcPr>
          <w:p>
            <w:pPr>
              <w:spacing w:after="0"/>
              <w:rPr>
                <w:sz w:val="1"/>
                <w:szCs w:val="1"/>
                <w:color w:val="auto"/>
              </w:rPr>
            </w:pPr>
          </w:p>
        </w:tc>
      </w:tr>
      <w:tr>
        <w:trPr>
          <w:trHeight w:val="216"/>
        </w:trPr>
        <w:tc>
          <w:tcPr>
            <w:tcW w:w="33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une  rémunération  variable  d’un  montant</w:t>
            </w:r>
          </w:p>
        </w:tc>
        <w:tc>
          <w:tcPr>
            <w:tcW w:w="11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correspondant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à</w:t>
            </w:r>
          </w:p>
        </w:tc>
        <w:tc>
          <w:tcPr>
            <w:tcW w:w="10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  de  sa</w:t>
            </w:r>
          </w:p>
        </w:tc>
        <w:tc>
          <w:tcPr>
            <w:tcW w:w="552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color w:val="auto"/>
              </w:rPr>
              <w:t>Employee may receive variable compensation in an amount corresponding</w:t>
            </w:r>
          </w:p>
        </w:tc>
        <w:tc>
          <w:tcPr>
            <w:tcW w:w="0" w:type="dxa"/>
            <w:vAlign w:val="bottom"/>
          </w:tcPr>
          <w:p>
            <w:pPr>
              <w:spacing w:after="0"/>
              <w:rPr>
                <w:sz w:val="1"/>
                <w:szCs w:val="1"/>
                <w:color w:val="auto"/>
              </w:rPr>
            </w:pPr>
          </w:p>
        </w:tc>
      </w:tr>
      <w:tr>
        <w:trPr>
          <w:trHeight w:val="216"/>
        </w:trPr>
        <w:tc>
          <w:tcPr>
            <w:tcW w:w="33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rémunération annuelle brute fixe (ci-après</w:t>
            </w:r>
          </w:p>
        </w:tc>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dénommée la</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Rémunération</w:t>
            </w:r>
          </w:p>
        </w:tc>
        <w:tc>
          <w:tcPr>
            <w:tcW w:w="552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color w:val="auto"/>
              </w:rPr>
              <w:t>to 50% of his gross fixed annual remuneration (hereinafter referred to as</w:t>
            </w:r>
          </w:p>
        </w:tc>
        <w:tc>
          <w:tcPr>
            <w:tcW w:w="0" w:type="dxa"/>
            <w:vAlign w:val="bottom"/>
          </w:tcPr>
          <w:p>
            <w:pPr>
              <w:spacing w:after="0"/>
              <w:rPr>
                <w:sz w:val="1"/>
                <w:szCs w:val="1"/>
                <w:color w:val="auto"/>
              </w:rPr>
            </w:pPr>
          </w:p>
        </w:tc>
      </w:tr>
      <w:tr>
        <w:trPr>
          <w:trHeight w:val="234"/>
        </w:trPr>
        <w:tc>
          <w:tcPr>
            <w:tcW w:w="33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Variable ») calculée de la façon suivante:</w:t>
            </w: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422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the "Variable Remuneration") calculated as follows:</w:t>
            </w:r>
          </w:p>
        </w:tc>
        <w:tc>
          <w:tcPr>
            <w:tcW w:w="1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60" w:type="dxa"/>
            <w:vAlign w:val="bottom"/>
            <w:tcBorders>
              <w:left w:val="single" w:sz="8" w:color="auto"/>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360" w:type="dxa"/>
            <w:vAlign w:val="bottom"/>
            <w:tcBorders>
              <w:left w:val="single" w:sz="8" w:color="auto"/>
            </w:tcBorders>
          </w:tcPr>
          <w:p>
            <w:pPr>
              <w:ind w:left="40"/>
              <w:spacing w:after="0" w:line="205" w:lineRule="exact"/>
              <w:rPr>
                <w:sz w:val="20"/>
                <w:szCs w:val="20"/>
                <w:color w:val="auto"/>
              </w:rPr>
            </w:pPr>
            <w:r>
              <w:rPr>
                <w:rFonts w:ascii="Times New Roman" w:cs="Times New Roman" w:eastAsia="Times New Roman" w:hAnsi="Times New Roman"/>
                <w:sz w:val="18"/>
                <w:szCs w:val="18"/>
                <w:b w:val="1"/>
                <w:bCs w:val="1"/>
                <w:color w:val="auto"/>
              </w:rPr>
              <w:t>RV=P1-PL</w:t>
            </w: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122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RV=P1–PL</w:t>
            </w: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Où :</w:t>
            </w: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Where:</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3360" w:type="dxa"/>
            <w:vAlign w:val="bottom"/>
            <w:tcBorders>
              <w:lef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RV</w:t>
            </w:r>
            <w:r>
              <w:rPr>
                <w:rFonts w:ascii="Times New Roman" w:cs="Times New Roman" w:eastAsia="Times New Roman" w:hAnsi="Times New Roman"/>
                <w:sz w:val="18"/>
                <w:szCs w:val="18"/>
                <w:color w:val="auto"/>
              </w:rPr>
              <w:t xml:space="preserve"> = la Rémunération Variable ;</w:t>
            </w: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Borders>
              <w:right w:val="single" w:sz="8" w:color="auto"/>
            </w:tcBorders>
          </w:tcPr>
          <w:p>
            <w:pPr>
              <w:spacing w:after="0"/>
              <w:rPr>
                <w:sz w:val="24"/>
                <w:szCs w:val="24"/>
                <w:color w:val="auto"/>
              </w:rPr>
            </w:pPr>
          </w:p>
        </w:tc>
        <w:tc>
          <w:tcPr>
            <w:tcW w:w="282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RV =</w:t>
            </w:r>
            <w:r>
              <w:rPr>
                <w:rFonts w:ascii="Times New Roman" w:cs="Times New Roman" w:eastAsia="Times New Roman" w:hAnsi="Times New Roman"/>
                <w:sz w:val="18"/>
                <w:szCs w:val="18"/>
                <w:color w:val="auto"/>
              </w:rPr>
              <w:t xml:space="preserve"> Variable Remuneration;</w:t>
            </w: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740" w:type="dxa"/>
            <w:vAlign w:val="bottom"/>
            <w:tcBorders>
              <w:left w:val="single" w:sz="8" w:color="auto"/>
              <w:right w:val="single" w:sz="8" w:color="auto"/>
            </w:tcBorders>
            <w:gridSpan w:val="4"/>
          </w:tcPr>
          <w:p>
            <w:pPr>
              <w:ind w:left="3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P1</w:t>
            </w:r>
            <w:r>
              <w:rPr>
                <w:rFonts w:ascii="Times New Roman" w:cs="Times New Roman" w:eastAsia="Times New Roman" w:hAnsi="Times New Roman"/>
                <w:sz w:val="18"/>
                <w:szCs w:val="18"/>
                <w:color w:val="auto"/>
              </w:rPr>
              <w:t xml:space="preserve"> = une prime de 50% de la rémunération brute annuelle fixe en</w:t>
            </w:r>
          </w:p>
        </w:tc>
        <w:tc>
          <w:tcPr>
            <w:tcW w:w="5520" w:type="dxa"/>
            <w:vAlign w:val="bottom"/>
            <w:tcBorders>
              <w:right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P1 =</w:t>
            </w:r>
            <w:r>
              <w:rPr>
                <w:rFonts w:ascii="Times New Roman" w:cs="Times New Roman" w:eastAsia="Times New Roman" w:hAnsi="Times New Roman"/>
                <w:sz w:val="18"/>
                <w:szCs w:val="18"/>
                <w:color w:val="auto"/>
              </w:rPr>
              <w:t xml:space="preserve"> a bonus of 50% of the gross annual fixed remuneration based</w:t>
            </w:r>
          </w:p>
        </w:tc>
        <w:tc>
          <w:tcPr>
            <w:tcW w:w="0" w:type="dxa"/>
            <w:vAlign w:val="bottom"/>
          </w:tcPr>
          <w:p>
            <w:pPr>
              <w:spacing w:after="0"/>
              <w:rPr>
                <w:sz w:val="1"/>
                <w:szCs w:val="1"/>
                <w:color w:val="auto"/>
              </w:rPr>
            </w:pPr>
          </w:p>
        </w:tc>
      </w:tr>
      <w:tr>
        <w:trPr>
          <w:trHeight w:val="203"/>
        </w:trPr>
        <w:tc>
          <w:tcPr>
            <w:tcW w:w="5740" w:type="dxa"/>
            <w:vAlign w:val="bottom"/>
            <w:tcBorders>
              <w:left w:val="single" w:sz="8" w:color="auto"/>
              <w:right w:val="single" w:sz="8" w:color="auto"/>
            </w:tcBorders>
            <w:gridSpan w:val="4"/>
          </w:tcPr>
          <w:p>
            <w:pPr>
              <w:ind w:left="680"/>
              <w:spacing w:after="0" w:line="202" w:lineRule="exact"/>
              <w:rPr>
                <w:sz w:val="20"/>
                <w:szCs w:val="20"/>
                <w:color w:val="auto"/>
              </w:rPr>
            </w:pPr>
            <w:r>
              <w:rPr>
                <w:rFonts w:ascii="Times New Roman" w:cs="Times New Roman" w:eastAsia="Times New Roman" w:hAnsi="Times New Roman"/>
                <w:sz w:val="18"/>
                <w:szCs w:val="18"/>
                <w:color w:val="auto"/>
              </w:rPr>
              <w:t>fonction des performances du groupe Brady pendant l’exercice de</w:t>
            </w:r>
          </w:p>
        </w:tc>
        <w:tc>
          <w:tcPr>
            <w:tcW w:w="5520" w:type="dxa"/>
            <w:vAlign w:val="bottom"/>
            <w:tcBorders>
              <w:right w:val="single" w:sz="8" w:color="auto"/>
            </w:tcBorders>
            <w:gridSpan w:val="7"/>
          </w:tcPr>
          <w:p>
            <w:pPr>
              <w:jc w:val="right"/>
              <w:spacing w:after="0" w:line="202" w:lineRule="exact"/>
              <w:rPr>
                <w:sz w:val="20"/>
                <w:szCs w:val="20"/>
                <w:color w:val="auto"/>
              </w:rPr>
            </w:pPr>
            <w:r>
              <w:rPr>
                <w:rFonts w:ascii="Times New Roman" w:cs="Times New Roman" w:eastAsia="Times New Roman" w:hAnsi="Times New Roman"/>
                <w:sz w:val="18"/>
                <w:szCs w:val="18"/>
                <w:color w:val="auto"/>
              </w:rPr>
              <w:t>on the Brady Group's performance during the reference year,</w:t>
            </w:r>
          </w:p>
        </w:tc>
        <w:tc>
          <w:tcPr>
            <w:tcW w:w="0" w:type="dxa"/>
            <w:vAlign w:val="bottom"/>
          </w:tcPr>
          <w:p>
            <w:pPr>
              <w:spacing w:after="0"/>
              <w:rPr>
                <w:sz w:val="1"/>
                <w:szCs w:val="1"/>
                <w:color w:val="auto"/>
              </w:rPr>
            </w:pPr>
          </w:p>
        </w:tc>
      </w:tr>
      <w:tr>
        <w:trPr>
          <w:trHeight w:val="203"/>
        </w:trPr>
        <w:tc>
          <w:tcPr>
            <w:tcW w:w="5740" w:type="dxa"/>
            <w:vAlign w:val="bottom"/>
            <w:tcBorders>
              <w:left w:val="single" w:sz="8" w:color="auto"/>
              <w:right w:val="single" w:sz="8" w:color="auto"/>
            </w:tcBorders>
            <w:gridSpan w:val="4"/>
          </w:tcPr>
          <w:p>
            <w:pPr>
              <w:ind w:left="680"/>
              <w:spacing w:after="0" w:line="202" w:lineRule="exact"/>
              <w:rPr>
                <w:sz w:val="20"/>
                <w:szCs w:val="20"/>
                <w:color w:val="auto"/>
              </w:rPr>
            </w:pPr>
            <w:r>
              <w:rPr>
                <w:rFonts w:ascii="Times New Roman" w:cs="Times New Roman" w:eastAsia="Times New Roman" w:hAnsi="Times New Roman"/>
                <w:sz w:val="18"/>
                <w:szCs w:val="18"/>
                <w:color w:val="auto"/>
              </w:rPr>
              <w:t>référence, calculée en fonction du Bonus Plan applicable au Salarié.</w:t>
            </w:r>
          </w:p>
        </w:tc>
        <w:tc>
          <w:tcPr>
            <w:tcW w:w="5520" w:type="dxa"/>
            <w:vAlign w:val="bottom"/>
            <w:tcBorders>
              <w:right w:val="single" w:sz="8" w:color="auto"/>
            </w:tcBorders>
            <w:gridSpan w:val="7"/>
          </w:tcPr>
          <w:p>
            <w:pPr>
              <w:jc w:val="right"/>
              <w:spacing w:after="0" w:line="202" w:lineRule="exact"/>
              <w:rPr>
                <w:sz w:val="20"/>
                <w:szCs w:val="20"/>
                <w:color w:val="auto"/>
              </w:rPr>
            </w:pPr>
            <w:r>
              <w:rPr>
                <w:rFonts w:ascii="Times New Roman" w:cs="Times New Roman" w:eastAsia="Times New Roman" w:hAnsi="Times New Roman"/>
                <w:sz w:val="18"/>
                <w:szCs w:val="18"/>
                <w:color w:val="auto"/>
              </w:rPr>
              <w:t>calculated  according  to  the  Bonus  Plan  applicable  to  the</w:t>
            </w:r>
          </w:p>
        </w:tc>
        <w:tc>
          <w:tcPr>
            <w:tcW w:w="0" w:type="dxa"/>
            <w:vAlign w:val="bottom"/>
          </w:tcPr>
          <w:p>
            <w:pPr>
              <w:spacing w:after="0"/>
              <w:rPr>
                <w:sz w:val="1"/>
                <w:szCs w:val="1"/>
                <w:color w:val="auto"/>
              </w:rPr>
            </w:pPr>
          </w:p>
        </w:tc>
      </w:tr>
      <w:tr>
        <w:trPr>
          <w:trHeight w:val="234"/>
        </w:trPr>
        <w:tc>
          <w:tcPr>
            <w:tcW w:w="3360" w:type="dxa"/>
            <w:vAlign w:val="bottom"/>
            <w:tcBorders>
              <w:left w:val="single" w:sz="8" w:color="auto"/>
            </w:tcBorders>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2220" w:type="dxa"/>
            <w:vAlign w:val="bottom"/>
            <w:gridSpan w:val="3"/>
          </w:tcPr>
          <w:p>
            <w:pPr>
              <w:jc w:val="center"/>
              <w:ind w:right="30"/>
              <w:spacing w:after="0"/>
              <w:rPr>
                <w:sz w:val="20"/>
                <w:szCs w:val="20"/>
                <w:color w:val="auto"/>
              </w:rPr>
            </w:pPr>
            <w:r>
              <w:rPr>
                <w:rFonts w:ascii="Times New Roman" w:cs="Times New Roman" w:eastAsia="Times New Roman" w:hAnsi="Times New Roman"/>
                <w:sz w:val="18"/>
                <w:szCs w:val="18"/>
                <w:color w:val="auto"/>
              </w:rPr>
              <w:t>Employee.</w:t>
            </w:r>
          </w:p>
        </w:tc>
        <w:tc>
          <w:tcPr>
            <w:tcW w:w="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740" w:type="dxa"/>
            <w:vAlign w:val="bottom"/>
            <w:tcBorders>
              <w:left w:val="single" w:sz="8" w:color="auto"/>
              <w:right w:val="single" w:sz="8" w:color="auto"/>
            </w:tcBorders>
            <w:gridSpan w:val="4"/>
          </w:tcPr>
          <w:p>
            <w:pPr>
              <w:ind w:left="3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PL</w:t>
            </w:r>
            <w:r>
              <w:rPr>
                <w:rFonts w:ascii="Times New Roman" w:cs="Times New Roman" w:eastAsia="Times New Roman" w:hAnsi="Times New Roman"/>
                <w:sz w:val="18"/>
                <w:szCs w:val="18"/>
                <w:color w:val="auto"/>
              </w:rPr>
              <w:t xml:space="preserve"> = la participation légale du Salarié au titre de l’exercice de</w:t>
            </w:r>
          </w:p>
        </w:tc>
        <w:tc>
          <w:tcPr>
            <w:tcW w:w="5520" w:type="dxa"/>
            <w:vAlign w:val="bottom"/>
            <w:tcBorders>
              <w:right w:val="single" w:sz="8" w:color="auto"/>
            </w:tcBorders>
            <w:gridSpan w:val="7"/>
            <w:vMerge w:val="restart"/>
          </w:tcPr>
          <w:p>
            <w:pPr>
              <w:ind w:left="3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PL =</w:t>
            </w:r>
            <w:r>
              <w:rPr>
                <w:rFonts w:ascii="Times New Roman" w:cs="Times New Roman" w:eastAsia="Times New Roman" w:hAnsi="Times New Roman"/>
                <w:sz w:val="18"/>
                <w:szCs w:val="18"/>
                <w:color w:val="auto"/>
              </w:rPr>
              <w:t xml:space="preserve"> The legal profit-sharing for the reference year.</w:t>
            </w:r>
          </w:p>
        </w:tc>
        <w:tc>
          <w:tcPr>
            <w:tcW w:w="0" w:type="dxa"/>
            <w:vAlign w:val="bottom"/>
          </w:tcPr>
          <w:p>
            <w:pPr>
              <w:spacing w:after="0"/>
              <w:rPr>
                <w:sz w:val="1"/>
                <w:szCs w:val="1"/>
                <w:color w:val="auto"/>
              </w:rPr>
            </w:pPr>
          </w:p>
        </w:tc>
      </w:tr>
      <w:tr>
        <w:trPr>
          <w:trHeight w:val="234"/>
        </w:trPr>
        <w:tc>
          <w:tcPr>
            <w:tcW w:w="3360" w:type="dxa"/>
            <w:vAlign w:val="bottom"/>
            <w:tcBorders>
              <w:lef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référence.</w:t>
            </w: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5520" w:type="dxa"/>
            <w:vAlign w:val="bottom"/>
            <w:tcBorders>
              <w:right w:val="single" w:sz="8" w:color="auto"/>
            </w:tcBorders>
            <w:gridSpan w:val="7"/>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740" w:type="dxa"/>
            <w:vAlign w:val="bottom"/>
            <w:tcBorders>
              <w:left w:val="single" w:sz="8" w:color="auto"/>
              <w:bottom w:val="single" w:sz="8" w:color="auto"/>
              <w:right w:val="single" w:sz="8" w:color="auto"/>
            </w:tcBorders>
            <w:gridSpan w:val="4"/>
          </w:tcPr>
          <w:p>
            <w:pPr>
              <w:spacing w:after="0"/>
              <w:rPr>
                <w:sz w:val="22"/>
                <w:szCs w:val="22"/>
                <w:color w:val="auto"/>
              </w:rPr>
            </w:pPr>
          </w:p>
        </w:tc>
        <w:tc>
          <w:tcPr>
            <w:tcW w:w="5520" w:type="dxa"/>
            <w:vAlign w:val="bottom"/>
            <w:tcBorders>
              <w:bottom w:val="single" w:sz="8" w:color="auto"/>
              <w:right w:val="single" w:sz="8" w:color="auto"/>
            </w:tcBorders>
            <w:gridSpan w:val="7"/>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5740" w:type="dxa"/>
            <w:vAlign w:val="bottom"/>
            <w:tcBorders>
              <w:left w:val="single" w:sz="8" w:color="auto"/>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Il est entendu que le bonus correspondant à P1 pourra être revu et modifié</w:t>
            </w:r>
          </w:p>
        </w:tc>
        <w:tc>
          <w:tcPr>
            <w:tcW w:w="552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color w:val="auto"/>
              </w:rPr>
              <w:t>It is understood that the bonus corresponding to P1 may be unilaterally</w:t>
            </w:r>
          </w:p>
        </w:tc>
        <w:tc>
          <w:tcPr>
            <w:tcW w:w="0" w:type="dxa"/>
            <w:vAlign w:val="bottom"/>
          </w:tcPr>
          <w:p>
            <w:pPr>
              <w:spacing w:after="0"/>
              <w:rPr>
                <w:sz w:val="1"/>
                <w:szCs w:val="1"/>
                <w:color w:val="auto"/>
              </w:rPr>
            </w:pPr>
          </w:p>
        </w:tc>
      </w:tr>
      <w:tr>
        <w:trPr>
          <w:trHeight w:val="234"/>
        </w:trPr>
        <w:tc>
          <w:tcPr>
            <w:tcW w:w="446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chaque année de manière unilatérale par la Société.</w:t>
            </w:r>
          </w:p>
        </w:tc>
        <w:tc>
          <w:tcPr>
            <w:tcW w:w="200" w:type="dxa"/>
            <w:vAlign w:val="bottom"/>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422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reviewed and modified each year by the Company.</w:t>
            </w:r>
          </w:p>
        </w:tc>
        <w:tc>
          <w:tcPr>
            <w:tcW w:w="1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60" w:type="dxa"/>
            <w:vAlign w:val="bottom"/>
            <w:tcBorders>
              <w:left w:val="single" w:sz="8" w:color="auto"/>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6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Article 3 – Autres avantages</w:t>
            </w: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2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Article 3 – Other Benefits</w:t>
            </w:r>
          </w:p>
        </w:tc>
        <w:tc>
          <w:tcPr>
            <w:tcW w:w="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740" w:type="dxa"/>
            <w:vAlign w:val="bottom"/>
            <w:tcBorders>
              <w:left w:val="single" w:sz="8" w:color="auto"/>
              <w:bottom w:val="single" w:sz="8" w:color="auto"/>
              <w:right w:val="single" w:sz="8" w:color="auto"/>
            </w:tcBorders>
            <w:gridSpan w:val="4"/>
          </w:tcPr>
          <w:p>
            <w:pPr>
              <w:spacing w:after="0"/>
              <w:rPr>
                <w:sz w:val="22"/>
                <w:szCs w:val="22"/>
                <w:color w:val="auto"/>
              </w:rPr>
            </w:pPr>
          </w:p>
        </w:tc>
        <w:tc>
          <w:tcPr>
            <w:tcW w:w="1220" w:type="dxa"/>
            <w:vAlign w:val="bottom"/>
            <w:tcBorders>
              <w:bottom w:val="single" w:sz="8" w:color="auto"/>
            </w:tcBorders>
            <w:gridSpan w:val="2"/>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3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5740" w:type="dxa"/>
            <w:vAlign w:val="bottom"/>
            <w:tcBorders>
              <w:left w:val="single" w:sz="8" w:color="auto"/>
              <w:right w:val="single" w:sz="8" w:color="auto"/>
            </w:tcBorders>
            <w:gridSpan w:val="4"/>
          </w:tcPr>
          <w:p>
            <w:pPr>
              <w:ind w:left="60"/>
              <w:spacing w:after="0" w:line="205" w:lineRule="exact"/>
              <w:rPr>
                <w:sz w:val="20"/>
                <w:szCs w:val="20"/>
                <w:color w:val="auto"/>
              </w:rPr>
            </w:pPr>
            <w:r>
              <w:rPr>
                <w:rFonts w:ascii="Times New Roman" w:cs="Times New Roman" w:eastAsia="Times New Roman" w:hAnsi="Times New Roman"/>
                <w:sz w:val="18"/>
                <w:szCs w:val="18"/>
                <w:color w:val="auto"/>
              </w:rPr>
              <w:t xml:space="preserve">Le Salarié bénéficiera d’avantages dit « </w:t>
            </w:r>
            <w:r>
              <w:rPr>
                <w:rFonts w:ascii="Times New Roman" w:cs="Times New Roman" w:eastAsia="Times New Roman" w:hAnsi="Times New Roman"/>
                <w:sz w:val="18"/>
                <w:szCs w:val="18"/>
                <w:i w:val="1"/>
                <w:iCs w:val="1"/>
                <w:color w:val="auto"/>
              </w:rPr>
              <w:t>equity benefits</w:t>
            </w:r>
            <w:r>
              <w:rPr>
                <w:rFonts w:ascii="Times New Roman" w:cs="Times New Roman" w:eastAsia="Times New Roman" w:hAnsi="Times New Roman"/>
                <w:sz w:val="18"/>
                <w:szCs w:val="18"/>
                <w:color w:val="auto"/>
              </w:rPr>
              <w:t xml:space="preserve"> » dans des conditions</w:t>
            </w:r>
          </w:p>
        </w:tc>
        <w:tc>
          <w:tcPr>
            <w:tcW w:w="122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8"/>
                <w:szCs w:val="18"/>
                <w:color w:val="auto"/>
              </w:rPr>
              <w:t>The  Employee</w:t>
            </w:r>
          </w:p>
        </w:tc>
        <w:tc>
          <w:tcPr>
            <w:tcW w:w="1000" w:type="dxa"/>
            <w:vAlign w:val="bottom"/>
          </w:tcPr>
          <w:p>
            <w:pPr>
              <w:ind w:left="80"/>
              <w:spacing w:after="0" w:line="205" w:lineRule="exact"/>
              <w:rPr>
                <w:sz w:val="20"/>
                <w:szCs w:val="20"/>
                <w:color w:val="auto"/>
              </w:rPr>
            </w:pPr>
            <w:r>
              <w:rPr>
                <w:rFonts w:ascii="Times New Roman" w:cs="Times New Roman" w:eastAsia="Times New Roman" w:hAnsi="Times New Roman"/>
                <w:sz w:val="18"/>
                <w:szCs w:val="18"/>
                <w:color w:val="auto"/>
              </w:rPr>
              <w:t>will  benefit</w:t>
            </w:r>
          </w:p>
        </w:tc>
        <w:tc>
          <w:tcPr>
            <w:tcW w:w="60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rPr>
              <w:t>from</w:t>
            </w:r>
          </w:p>
        </w:tc>
        <w:tc>
          <w:tcPr>
            <w:tcW w:w="80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so-called</w:t>
            </w:r>
          </w:p>
        </w:tc>
        <w:tc>
          <w:tcPr>
            <w:tcW w:w="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"equity</w:t>
            </w:r>
          </w:p>
        </w:tc>
        <w:tc>
          <w:tcPr>
            <w:tcW w:w="1300" w:type="dxa"/>
            <w:vAlign w:val="bottom"/>
            <w:tcBorders>
              <w:right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benefits"  under</w:t>
            </w:r>
          </w:p>
        </w:tc>
        <w:tc>
          <w:tcPr>
            <w:tcW w:w="0" w:type="dxa"/>
            <w:vAlign w:val="bottom"/>
          </w:tcPr>
          <w:p>
            <w:pPr>
              <w:spacing w:after="0"/>
              <w:rPr>
                <w:sz w:val="1"/>
                <w:szCs w:val="1"/>
                <w:color w:val="auto"/>
              </w:rPr>
            </w:pPr>
          </w:p>
        </w:tc>
      </w:tr>
      <w:tr>
        <w:trPr>
          <w:trHeight w:val="203"/>
        </w:trPr>
        <w:tc>
          <w:tcPr>
            <w:tcW w:w="5740" w:type="dxa"/>
            <w:vAlign w:val="bottom"/>
            <w:tcBorders>
              <w:left w:val="single" w:sz="8" w:color="auto"/>
              <w:right w:val="single" w:sz="8" w:color="auto"/>
            </w:tcBorders>
            <w:gridSpan w:val="4"/>
          </w:tcPr>
          <w:p>
            <w:pPr>
              <w:ind w:left="40"/>
              <w:spacing w:after="0" w:line="202" w:lineRule="exact"/>
              <w:rPr>
                <w:sz w:val="20"/>
                <w:szCs w:val="20"/>
                <w:color w:val="auto"/>
              </w:rPr>
            </w:pPr>
            <w:r>
              <w:rPr>
                <w:rFonts w:ascii="Times New Roman" w:cs="Times New Roman" w:eastAsia="Times New Roman" w:hAnsi="Times New Roman"/>
                <w:sz w:val="18"/>
                <w:szCs w:val="18"/>
                <w:color w:val="auto"/>
              </w:rPr>
              <w:t>précisées par une lettre d’attribution. Les conditions de ces « equity benefits »</w:t>
            </w:r>
          </w:p>
        </w:tc>
        <w:tc>
          <w:tcPr>
            <w:tcW w:w="5520" w:type="dxa"/>
            <w:vAlign w:val="bottom"/>
            <w:tcBorders>
              <w:right w:val="single" w:sz="8" w:color="auto"/>
            </w:tcBorders>
            <w:gridSpan w:val="7"/>
          </w:tcPr>
          <w:p>
            <w:pPr>
              <w:ind w:left="20"/>
              <w:spacing w:after="0" w:line="202" w:lineRule="exact"/>
              <w:rPr>
                <w:sz w:val="20"/>
                <w:szCs w:val="20"/>
                <w:color w:val="auto"/>
              </w:rPr>
            </w:pPr>
            <w:r>
              <w:rPr>
                <w:rFonts w:ascii="Times New Roman" w:cs="Times New Roman" w:eastAsia="Times New Roman" w:hAnsi="Times New Roman"/>
                <w:sz w:val="18"/>
                <w:szCs w:val="18"/>
                <w:color w:val="auto"/>
                <w:w w:val="99"/>
              </w:rPr>
              <w:t>conditions specified by a letter of attribution. The conditions of these equity</w:t>
            </w:r>
          </w:p>
        </w:tc>
        <w:tc>
          <w:tcPr>
            <w:tcW w:w="0" w:type="dxa"/>
            <w:vAlign w:val="bottom"/>
          </w:tcPr>
          <w:p>
            <w:pPr>
              <w:spacing w:after="0"/>
              <w:rPr>
                <w:sz w:val="1"/>
                <w:szCs w:val="1"/>
                <w:color w:val="auto"/>
              </w:rPr>
            </w:pPr>
          </w:p>
        </w:tc>
      </w:tr>
      <w:tr>
        <w:trPr>
          <w:trHeight w:val="207"/>
        </w:trPr>
        <w:tc>
          <w:tcPr>
            <w:tcW w:w="5740" w:type="dxa"/>
            <w:vAlign w:val="bottom"/>
            <w:tcBorders>
              <w:left w:val="single" w:sz="8" w:color="auto"/>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seront définis unilatéralement et pourront être modifiés à la seule discrétion de</w:t>
            </w:r>
          </w:p>
        </w:tc>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benefits will</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2"/>
              </w:rPr>
              <w:t>be</w:t>
            </w: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defined unilaterally</w:t>
            </w:r>
          </w:p>
        </w:tc>
        <w:tc>
          <w:tcPr>
            <w:tcW w:w="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and may</w:t>
            </w:r>
          </w:p>
        </w:tc>
        <w:tc>
          <w:tcPr>
            <w:tcW w:w="190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be modified at the sole</w:t>
            </w:r>
          </w:p>
        </w:tc>
        <w:tc>
          <w:tcPr>
            <w:tcW w:w="0" w:type="dxa"/>
            <w:vAlign w:val="bottom"/>
          </w:tcPr>
          <w:p>
            <w:pPr>
              <w:spacing w:after="0"/>
              <w:rPr>
                <w:sz w:val="1"/>
                <w:szCs w:val="1"/>
                <w:color w:val="auto"/>
              </w:rPr>
            </w:pPr>
          </w:p>
        </w:tc>
      </w:tr>
      <w:tr>
        <w:trPr>
          <w:trHeight w:val="216"/>
        </w:trPr>
        <w:tc>
          <w:tcPr>
            <w:tcW w:w="5740" w:type="dxa"/>
            <w:vAlign w:val="bottom"/>
            <w:tcBorders>
              <w:left w:val="single" w:sz="8" w:color="auto"/>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la Société et du Groupe auquel elle appartient. Le Salarié n’a aucun droit</w:t>
            </w:r>
          </w:p>
        </w:tc>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discretion of</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Company</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and the</w:t>
            </w:r>
          </w:p>
        </w:tc>
        <w:tc>
          <w:tcPr>
            <w:tcW w:w="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Group to</w:t>
            </w:r>
          </w:p>
        </w:tc>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which</w:t>
            </w:r>
          </w:p>
        </w:tc>
        <w:tc>
          <w:tcPr>
            <w:tcW w:w="13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it belongs. The</w:t>
            </w:r>
          </w:p>
        </w:tc>
        <w:tc>
          <w:tcPr>
            <w:tcW w:w="0" w:type="dxa"/>
            <w:vAlign w:val="bottom"/>
          </w:tcPr>
          <w:p>
            <w:pPr>
              <w:spacing w:after="0"/>
              <w:rPr>
                <w:sz w:val="1"/>
                <w:szCs w:val="1"/>
                <w:color w:val="auto"/>
              </w:rPr>
            </w:pPr>
          </w:p>
        </w:tc>
      </w:tr>
      <w:tr>
        <w:trPr>
          <w:trHeight w:val="270"/>
        </w:trPr>
        <w:tc>
          <w:tcPr>
            <w:tcW w:w="33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acquis à bénéficier de ces « equity benefits ».</w:t>
            </w:r>
          </w:p>
        </w:tc>
        <w:tc>
          <w:tcPr>
            <w:tcW w:w="1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Borders>
              <w:right w:val="single" w:sz="8" w:color="auto"/>
            </w:tcBorders>
          </w:tcPr>
          <w:p>
            <w:pPr>
              <w:spacing w:after="0"/>
              <w:rPr>
                <w:sz w:val="23"/>
                <w:szCs w:val="23"/>
                <w:color w:val="auto"/>
              </w:rPr>
            </w:pPr>
          </w:p>
        </w:tc>
        <w:tc>
          <w:tcPr>
            <w:tcW w:w="552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color w:val="auto"/>
              </w:rPr>
              <w:t>Employee has no acquired right to benefit from these equity benefits.</w:t>
            </w:r>
          </w:p>
        </w:tc>
        <w:tc>
          <w:tcPr>
            <w:tcW w:w="0" w:type="dxa"/>
            <w:vAlign w:val="bottom"/>
          </w:tcPr>
          <w:p>
            <w:pPr>
              <w:spacing w:after="0"/>
              <w:rPr>
                <w:sz w:val="1"/>
                <w:szCs w:val="1"/>
                <w:color w:val="auto"/>
              </w:rPr>
            </w:pPr>
          </w:p>
        </w:tc>
      </w:tr>
      <w:tr>
        <w:trPr>
          <w:trHeight w:val="202"/>
        </w:trPr>
        <w:tc>
          <w:tcPr>
            <w:tcW w:w="3360" w:type="dxa"/>
            <w:vAlign w:val="bottom"/>
            <w:tcBorders>
              <w:left w:val="single" w:sz="8" w:color="auto"/>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3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916" w:right="319" w:bottom="1440" w:gutter="0" w:footer="0" w:header="0"/>
        </w:sectPr>
      </w:pPr>
    </w:p>
    <w:bookmarkStart w:id="140" w:name="page141"/>
    <w:bookmarkEnd w:id="14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5740" w:type="dxa"/>
            <w:vAlign w:val="bottom"/>
            <w:tcBorders>
              <w:top w:val="single" w:sz="8" w:color="auto"/>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Le Salarié est admissible au programme de santé réservé aux cadres du</w:t>
            </w:r>
          </w:p>
        </w:tc>
        <w:tc>
          <w:tcPr>
            <w:tcW w:w="55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Employee is eligible for the Brady Group Executive Health Program</w:t>
            </w:r>
          </w:p>
        </w:tc>
      </w:tr>
      <w:tr>
        <w:trPr>
          <w:trHeight w:val="203"/>
        </w:trPr>
        <w:tc>
          <w:tcPr>
            <w:tcW w:w="5740" w:type="dxa"/>
            <w:vAlign w:val="bottom"/>
            <w:tcBorders>
              <w:left w:val="single" w:sz="8" w:color="auto"/>
              <w:right w:val="single" w:sz="8" w:color="auto"/>
            </w:tcBorders>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groupe Brady offert par la Clinique Mayo. Le Salarié se verra remboursé sur</w:t>
            </w:r>
          </w:p>
        </w:tc>
        <w:tc>
          <w:tcPr>
            <w:tcW w:w="5520" w:type="dxa"/>
            <w:vAlign w:val="bottom"/>
            <w:tcBorders>
              <w:right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offered by the Mayo Clinic. The Employee will be reimbursed upon</w:t>
            </w:r>
          </w:p>
        </w:tc>
      </w:tr>
      <w:tr>
        <w:trPr>
          <w:trHeight w:val="261"/>
        </w:trPr>
        <w:tc>
          <w:tcPr>
            <w:tcW w:w="550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présentation des justificatifs.</w:t>
            </w:r>
          </w:p>
        </w:tc>
        <w:tc>
          <w:tcPr>
            <w:tcW w:w="240" w:type="dxa"/>
            <w:vAlign w:val="bottom"/>
            <w:tcBorders>
              <w:right w:val="single" w:sz="8" w:color="auto"/>
            </w:tcBorders>
          </w:tcPr>
          <w:p>
            <w:pPr>
              <w:spacing w:after="0"/>
              <w:rPr>
                <w:sz w:val="22"/>
                <w:szCs w:val="22"/>
                <w:color w:val="auto"/>
              </w:rPr>
            </w:pP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presentation of the supporting documents.</w:t>
            </w:r>
          </w:p>
        </w:tc>
      </w:tr>
      <w:tr>
        <w:trPr>
          <w:trHeight w:val="27"/>
        </w:trPr>
        <w:tc>
          <w:tcPr>
            <w:tcW w:w="5740" w:type="dxa"/>
            <w:vAlign w:val="bottom"/>
            <w:tcBorders>
              <w:left w:val="single" w:sz="8" w:color="auto"/>
              <w:bottom w:val="single" w:sz="8" w:color="auto"/>
              <w:right w:val="single" w:sz="8" w:color="auto"/>
            </w:tcBorders>
            <w:gridSpan w:val="2"/>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r>
      <w:tr>
        <w:trPr>
          <w:trHeight w:val="205"/>
        </w:trPr>
        <w:tc>
          <w:tcPr>
            <w:tcW w:w="5740" w:type="dxa"/>
            <w:vAlign w:val="bottom"/>
            <w:tcBorders>
              <w:left w:val="single" w:sz="8" w:color="auto"/>
              <w:right w:val="single" w:sz="8" w:color="auto"/>
            </w:tcBorders>
            <w:gridSpan w:val="2"/>
          </w:tcPr>
          <w:p>
            <w:pPr>
              <w:ind w:left="60"/>
              <w:spacing w:after="0" w:line="205" w:lineRule="exact"/>
              <w:rPr>
                <w:sz w:val="20"/>
                <w:szCs w:val="20"/>
                <w:color w:val="auto"/>
              </w:rPr>
            </w:pPr>
            <w:r>
              <w:rPr>
                <w:rFonts w:ascii="Times New Roman" w:cs="Times New Roman" w:eastAsia="Times New Roman" w:hAnsi="Times New Roman"/>
                <w:sz w:val="18"/>
                <w:szCs w:val="18"/>
                <w:color w:val="auto"/>
              </w:rPr>
              <w:t>Le Salarié pourra bénéficié d’un remboursement de services de planification</w:t>
            </w:r>
          </w:p>
        </w:tc>
        <w:tc>
          <w:tcPr>
            <w:tcW w:w="5520" w:type="dxa"/>
            <w:vAlign w:val="bottom"/>
            <w:tcBorders>
              <w:right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The Employee will be eligible to be reimbursed for personal financial</w:t>
            </w:r>
          </w:p>
        </w:tc>
      </w:tr>
      <w:tr>
        <w:trPr>
          <w:trHeight w:val="203"/>
        </w:trPr>
        <w:tc>
          <w:tcPr>
            <w:tcW w:w="5740" w:type="dxa"/>
            <w:vAlign w:val="bottom"/>
            <w:tcBorders>
              <w:left w:val="single" w:sz="8" w:color="auto"/>
              <w:right w:val="single" w:sz="8" w:color="auto"/>
            </w:tcBorders>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financière personnelle et de préparation des déclarations de revenus dans une</w:t>
            </w:r>
          </w:p>
        </w:tc>
        <w:tc>
          <w:tcPr>
            <w:tcW w:w="5520" w:type="dxa"/>
            <w:vAlign w:val="bottom"/>
            <w:tcBorders>
              <w:right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planning and tax preparation services with an annual reimbursement of up</w:t>
            </w:r>
          </w:p>
        </w:tc>
      </w:tr>
      <w:tr>
        <w:trPr>
          <w:trHeight w:val="207"/>
        </w:trPr>
        <w:tc>
          <w:tcPr>
            <w:tcW w:w="574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limite de 10. 000 euros par an (dix mille euros). Il est à noter que la</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 EUR 10,000 (ten thousand euros). Note that estate planning, attorney</w:t>
            </w:r>
          </w:p>
        </w:tc>
      </w:tr>
      <w:tr>
        <w:trPr>
          <w:trHeight w:val="216"/>
        </w:trPr>
        <w:tc>
          <w:tcPr>
            <w:tcW w:w="550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planification successorale, les frais d'avocat, les frais de placement ou</w:t>
            </w:r>
          </w:p>
        </w:tc>
        <w:tc>
          <w:tcPr>
            <w:tcW w:w="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de</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fees, investment or brokerage fees are excluded from this reimbursement.</w:t>
            </w:r>
          </w:p>
        </w:tc>
      </w:tr>
      <w:tr>
        <w:trPr>
          <w:trHeight w:val="234"/>
        </w:trPr>
        <w:tc>
          <w:tcPr>
            <w:tcW w:w="550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courtage sont exclus de ce remboursement</w:t>
            </w:r>
          </w:p>
        </w:tc>
        <w:tc>
          <w:tcPr>
            <w:tcW w:w="240" w:type="dxa"/>
            <w:vAlign w:val="bottom"/>
            <w:tcBorders>
              <w:right w:val="single" w:sz="8" w:color="auto"/>
            </w:tcBorders>
          </w:tcPr>
          <w:p>
            <w:pPr>
              <w:spacing w:after="0"/>
              <w:rPr>
                <w:sz w:val="20"/>
                <w:szCs w:val="20"/>
                <w:color w:val="auto"/>
              </w:rPr>
            </w:pPr>
          </w:p>
        </w:tc>
        <w:tc>
          <w:tcPr>
            <w:tcW w:w="5520" w:type="dxa"/>
            <w:vAlign w:val="bottom"/>
            <w:tcBorders>
              <w:right w:val="single" w:sz="8" w:color="auto"/>
            </w:tcBorders>
          </w:tcPr>
          <w:p>
            <w:pPr>
              <w:spacing w:after="0"/>
              <w:rPr>
                <w:sz w:val="20"/>
                <w:szCs w:val="20"/>
                <w:color w:val="auto"/>
              </w:rPr>
            </w:pPr>
          </w:p>
        </w:tc>
      </w:tr>
      <w:tr>
        <w:trPr>
          <w:trHeight w:val="238"/>
        </w:trPr>
        <w:tc>
          <w:tcPr>
            <w:tcW w:w="5740" w:type="dxa"/>
            <w:vAlign w:val="bottom"/>
            <w:tcBorders>
              <w:left w:val="single" w:sz="8" w:color="auto"/>
              <w:bottom w:val="single" w:sz="8" w:color="auto"/>
              <w:right w:val="single" w:sz="8" w:color="auto"/>
            </w:tcBorders>
            <w:gridSpan w:val="2"/>
          </w:tcPr>
          <w:p>
            <w:pPr>
              <w:spacing w:after="0"/>
              <w:rPr>
                <w:sz w:val="20"/>
                <w:szCs w:val="20"/>
                <w:color w:val="auto"/>
              </w:rPr>
            </w:pPr>
          </w:p>
        </w:tc>
        <w:tc>
          <w:tcPr>
            <w:tcW w:w="5520" w:type="dxa"/>
            <w:vAlign w:val="bottom"/>
            <w:tcBorders>
              <w:bottom w:val="single" w:sz="8" w:color="auto"/>
              <w:right w:val="single" w:sz="8" w:color="auto"/>
            </w:tcBorders>
          </w:tcPr>
          <w:p>
            <w:pPr>
              <w:spacing w:after="0"/>
              <w:rPr>
                <w:sz w:val="20"/>
                <w:szCs w:val="20"/>
                <w:color w:val="auto"/>
              </w:rPr>
            </w:pPr>
          </w:p>
        </w:tc>
      </w:tr>
      <w:tr>
        <w:trPr>
          <w:trHeight w:val="205"/>
        </w:trPr>
        <w:tc>
          <w:tcPr>
            <w:tcW w:w="5740" w:type="dxa"/>
            <w:vAlign w:val="bottom"/>
            <w:tcBorders>
              <w:left w:val="single" w:sz="8" w:color="auto"/>
              <w:right w:val="single" w:sz="8" w:color="auto"/>
            </w:tcBorders>
            <w:gridSpan w:val="2"/>
          </w:tcPr>
          <w:p>
            <w:pPr>
              <w:ind w:left="60"/>
              <w:spacing w:after="0" w:line="205" w:lineRule="exact"/>
              <w:rPr>
                <w:sz w:val="20"/>
                <w:szCs w:val="20"/>
                <w:color w:val="auto"/>
              </w:rPr>
            </w:pPr>
            <w:r>
              <w:rPr>
                <w:rFonts w:ascii="Times New Roman" w:cs="Times New Roman" w:eastAsia="Times New Roman" w:hAnsi="Times New Roman"/>
                <w:sz w:val="18"/>
                <w:szCs w:val="18"/>
                <w:color w:val="auto"/>
              </w:rPr>
              <w:t>L'employé recevra une prime de fidélité le 3 janvier 2020. Elle prendra la</w:t>
            </w:r>
          </w:p>
        </w:tc>
        <w:tc>
          <w:tcPr>
            <w:tcW w:w="5520" w:type="dxa"/>
            <w:vAlign w:val="bottom"/>
            <w:tcBorders>
              <w:right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The Employee will receive a retention award on January 3, 2020. It will</w:t>
            </w:r>
          </w:p>
        </w:tc>
      </w:tr>
      <w:tr>
        <w:trPr>
          <w:trHeight w:val="203"/>
        </w:trPr>
        <w:tc>
          <w:tcPr>
            <w:tcW w:w="5740" w:type="dxa"/>
            <w:vAlign w:val="bottom"/>
            <w:tcBorders>
              <w:left w:val="single" w:sz="8" w:color="auto"/>
              <w:right w:val="single" w:sz="8" w:color="auto"/>
            </w:tcBorders>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forme d'une attribution d'actions (one-time equity grant) de 75 000 dollars US</w:t>
            </w:r>
          </w:p>
        </w:tc>
        <w:tc>
          <w:tcPr>
            <w:tcW w:w="5520" w:type="dxa"/>
            <w:vAlign w:val="bottom"/>
            <w:tcBorders>
              <w:right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take the form of a one-time equity grant of USD $75,000 (seventy five</w:t>
            </w:r>
          </w:p>
        </w:tc>
      </w:tr>
      <w:tr>
        <w:trPr>
          <w:trHeight w:val="261"/>
        </w:trPr>
        <w:tc>
          <w:tcPr>
            <w:tcW w:w="550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(soixante-quinze mille dollars US).</w:t>
            </w:r>
          </w:p>
        </w:tc>
        <w:tc>
          <w:tcPr>
            <w:tcW w:w="240" w:type="dxa"/>
            <w:vAlign w:val="bottom"/>
            <w:tcBorders>
              <w:right w:val="single" w:sz="8" w:color="auto"/>
            </w:tcBorders>
          </w:tcPr>
          <w:p>
            <w:pPr>
              <w:spacing w:after="0"/>
              <w:rPr>
                <w:sz w:val="22"/>
                <w:szCs w:val="22"/>
                <w:color w:val="auto"/>
              </w:rPr>
            </w:pP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thousand US dollars).</w:t>
            </w:r>
          </w:p>
        </w:tc>
      </w:tr>
      <w:tr>
        <w:trPr>
          <w:trHeight w:val="229"/>
        </w:trPr>
        <w:tc>
          <w:tcPr>
            <w:tcW w:w="5740" w:type="dxa"/>
            <w:vAlign w:val="bottom"/>
            <w:tcBorders>
              <w:left w:val="single" w:sz="8" w:color="auto"/>
              <w:bottom w:val="single" w:sz="8" w:color="auto"/>
              <w:right w:val="single" w:sz="8" w:color="auto"/>
            </w:tcBorders>
            <w:gridSpan w:val="2"/>
          </w:tcPr>
          <w:p>
            <w:pPr>
              <w:spacing w:after="0"/>
              <w:rPr>
                <w:sz w:val="19"/>
                <w:szCs w:val="19"/>
                <w:color w:val="auto"/>
              </w:rPr>
            </w:pPr>
          </w:p>
        </w:tc>
        <w:tc>
          <w:tcPr>
            <w:tcW w:w="5520" w:type="dxa"/>
            <w:vAlign w:val="bottom"/>
            <w:tcBorders>
              <w:bottom w:val="single" w:sz="8" w:color="auto"/>
              <w:right w:val="single" w:sz="8" w:color="auto"/>
            </w:tcBorders>
          </w:tcPr>
          <w:p>
            <w:pPr>
              <w:spacing w:after="0"/>
              <w:rPr>
                <w:sz w:val="19"/>
                <w:szCs w:val="19"/>
                <w:color w:val="auto"/>
              </w:rPr>
            </w:pPr>
          </w:p>
        </w:tc>
      </w:tr>
      <w:tr>
        <w:trPr>
          <w:trHeight w:val="201"/>
        </w:trPr>
        <w:tc>
          <w:tcPr>
            <w:tcW w:w="5740" w:type="dxa"/>
            <w:vAlign w:val="bottom"/>
            <w:tcBorders>
              <w:left w:val="single" w:sz="8" w:color="auto"/>
              <w:right w:val="single" w:sz="8" w:color="auto"/>
            </w:tcBorders>
            <w:gridSpan w:val="2"/>
          </w:tcPr>
          <w:p>
            <w:pPr>
              <w:ind w:left="60"/>
              <w:spacing w:after="0" w:line="201" w:lineRule="exact"/>
              <w:rPr>
                <w:sz w:val="20"/>
                <w:szCs w:val="20"/>
                <w:color w:val="auto"/>
              </w:rPr>
            </w:pPr>
            <w:r>
              <w:rPr>
                <w:rFonts w:ascii="Times New Roman" w:cs="Times New Roman" w:eastAsia="Times New Roman" w:hAnsi="Times New Roman"/>
                <w:sz w:val="18"/>
                <w:szCs w:val="18"/>
                <w:color w:val="auto"/>
              </w:rPr>
              <w:t xml:space="preserve">Ces  avantages  sont  liées  au  poste  de  «  </w:t>
            </w:r>
            <w:r>
              <w:rPr>
                <w:rFonts w:ascii="Times New Roman" w:cs="Times New Roman" w:eastAsia="Times New Roman" w:hAnsi="Times New Roman"/>
                <w:sz w:val="18"/>
                <w:szCs w:val="18"/>
                <w:b w:val="1"/>
                <w:bCs w:val="1"/>
                <w:color w:val="auto"/>
              </w:rPr>
              <w:t>Vice President and General</w:t>
            </w:r>
          </w:p>
        </w:tc>
        <w:tc>
          <w:tcPr>
            <w:tcW w:w="5520" w:type="dxa"/>
            <w:vAlign w:val="bottom"/>
            <w:tcBorders>
              <w:right w:val="single" w:sz="8" w:color="auto"/>
            </w:tcBorders>
          </w:tcPr>
          <w:p>
            <w:pPr>
              <w:ind w:left="20"/>
              <w:spacing w:after="0" w:line="201" w:lineRule="exact"/>
              <w:rPr>
                <w:sz w:val="20"/>
                <w:szCs w:val="20"/>
                <w:color w:val="auto"/>
              </w:rPr>
            </w:pPr>
            <w:r>
              <w:rPr>
                <w:rFonts w:ascii="Times New Roman" w:cs="Times New Roman" w:eastAsia="Times New Roman" w:hAnsi="Times New Roman"/>
                <w:sz w:val="18"/>
                <w:szCs w:val="18"/>
                <w:color w:val="auto"/>
              </w:rPr>
              <w:t>These benefits are related to the position of Vice President and General</w:t>
            </w:r>
          </w:p>
        </w:tc>
      </w:tr>
      <w:tr>
        <w:trPr>
          <w:trHeight w:val="207"/>
        </w:trPr>
        <w:tc>
          <w:tcPr>
            <w:tcW w:w="574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Manager, WPS »</w:t>
            </w:r>
            <w:r>
              <w:rPr>
                <w:rFonts w:ascii="Times New Roman" w:cs="Times New Roman" w:eastAsia="Times New Roman" w:hAnsi="Times New Roman"/>
                <w:sz w:val="18"/>
                <w:szCs w:val="18"/>
                <w:color w:val="auto"/>
              </w:rPr>
              <w:t>. Ils cesseront de s’appliquer immédiatement dès lors que le</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Manager, WPS. They will cease to apply immediately as soon as the</w:t>
            </w:r>
          </w:p>
        </w:tc>
      </w:tr>
      <w:tr>
        <w:trPr>
          <w:trHeight w:val="261"/>
        </w:trPr>
        <w:tc>
          <w:tcPr>
            <w:tcW w:w="550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Salarié n’occupera plus ce poste.</w:t>
            </w:r>
          </w:p>
        </w:tc>
        <w:tc>
          <w:tcPr>
            <w:tcW w:w="240" w:type="dxa"/>
            <w:vAlign w:val="bottom"/>
            <w:tcBorders>
              <w:right w:val="single" w:sz="8" w:color="auto"/>
            </w:tcBorders>
          </w:tcPr>
          <w:p>
            <w:pPr>
              <w:spacing w:after="0"/>
              <w:rPr>
                <w:sz w:val="22"/>
                <w:szCs w:val="22"/>
                <w:color w:val="auto"/>
              </w:rPr>
            </w:pP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Employee no longer occupies this position.</w:t>
            </w:r>
          </w:p>
        </w:tc>
      </w:tr>
      <w:tr>
        <w:trPr>
          <w:trHeight w:val="229"/>
        </w:trPr>
        <w:tc>
          <w:tcPr>
            <w:tcW w:w="5500" w:type="dxa"/>
            <w:vAlign w:val="bottom"/>
            <w:tcBorders>
              <w:left w:val="single" w:sz="8" w:color="auto"/>
              <w:bottom w:val="single" w:sz="8" w:color="auto"/>
            </w:tcBorders>
          </w:tcPr>
          <w:p>
            <w:pPr>
              <w:spacing w:after="0"/>
              <w:rPr>
                <w:sz w:val="19"/>
                <w:szCs w:val="19"/>
                <w:color w:val="auto"/>
              </w:rPr>
            </w:pPr>
          </w:p>
        </w:tc>
        <w:tc>
          <w:tcPr>
            <w:tcW w:w="240" w:type="dxa"/>
            <w:vAlign w:val="bottom"/>
            <w:tcBorders>
              <w:bottom w:val="single" w:sz="8" w:color="auto"/>
              <w:right w:val="single" w:sz="8" w:color="auto"/>
            </w:tcBorders>
          </w:tcPr>
          <w:p>
            <w:pPr>
              <w:spacing w:after="0"/>
              <w:rPr>
                <w:sz w:val="19"/>
                <w:szCs w:val="19"/>
                <w:color w:val="auto"/>
              </w:rPr>
            </w:pPr>
          </w:p>
        </w:tc>
        <w:tc>
          <w:tcPr>
            <w:tcW w:w="5520" w:type="dxa"/>
            <w:vAlign w:val="bottom"/>
            <w:tcBorders>
              <w:bottom w:val="single" w:sz="8" w:color="auto"/>
              <w:right w:val="single" w:sz="8" w:color="auto"/>
            </w:tcBorders>
          </w:tcPr>
          <w:p>
            <w:pPr>
              <w:spacing w:after="0"/>
              <w:rPr>
                <w:sz w:val="19"/>
                <w:szCs w:val="19"/>
                <w:color w:val="auto"/>
              </w:rPr>
            </w:pPr>
          </w:p>
        </w:tc>
      </w:tr>
      <w:tr>
        <w:trPr>
          <w:trHeight w:val="237"/>
        </w:trPr>
        <w:tc>
          <w:tcPr>
            <w:tcW w:w="550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Article 4 – Participation à l’actionnariat</w:t>
            </w:r>
          </w:p>
        </w:tc>
        <w:tc>
          <w:tcPr>
            <w:tcW w:w="240" w:type="dxa"/>
            <w:vAlign w:val="bottom"/>
            <w:tcBorders>
              <w:right w:val="single" w:sz="8" w:color="auto"/>
            </w:tcBorders>
          </w:tcPr>
          <w:p>
            <w:pPr>
              <w:spacing w:after="0"/>
              <w:rPr>
                <w:sz w:val="20"/>
                <w:szCs w:val="20"/>
                <w:color w:val="auto"/>
              </w:rPr>
            </w:pP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Article 4 – Shareholding</w:t>
            </w:r>
          </w:p>
        </w:tc>
      </w:tr>
      <w:tr>
        <w:trPr>
          <w:trHeight w:val="27"/>
        </w:trPr>
        <w:tc>
          <w:tcPr>
            <w:tcW w:w="5740" w:type="dxa"/>
            <w:vAlign w:val="bottom"/>
            <w:tcBorders>
              <w:left w:val="single" w:sz="8" w:color="auto"/>
              <w:bottom w:val="single" w:sz="8" w:color="auto"/>
              <w:right w:val="single" w:sz="8" w:color="auto"/>
            </w:tcBorders>
            <w:gridSpan w:val="2"/>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r>
      <w:tr>
        <w:trPr>
          <w:trHeight w:val="205"/>
        </w:trPr>
        <w:tc>
          <w:tcPr>
            <w:tcW w:w="5740" w:type="dxa"/>
            <w:vAlign w:val="bottom"/>
            <w:tcBorders>
              <w:left w:val="single" w:sz="8" w:color="auto"/>
              <w:right w:val="single" w:sz="8" w:color="auto"/>
            </w:tcBorders>
            <w:gridSpan w:val="2"/>
          </w:tcPr>
          <w:p>
            <w:pPr>
              <w:ind w:left="60"/>
              <w:spacing w:after="0" w:line="204" w:lineRule="exact"/>
              <w:rPr>
                <w:sz w:val="20"/>
                <w:szCs w:val="20"/>
                <w:color w:val="auto"/>
              </w:rPr>
            </w:pPr>
            <w:r>
              <w:rPr>
                <w:rFonts w:ascii="Times New Roman" w:cs="Times New Roman" w:eastAsia="Times New Roman" w:hAnsi="Times New Roman"/>
                <w:sz w:val="18"/>
                <w:szCs w:val="18"/>
                <w:color w:val="auto"/>
              </w:rPr>
              <w:t>Le Salarié aura l’obligation, au plus tard à la date du 5</w:t>
            </w:r>
            <w:r>
              <w:rPr>
                <w:rFonts w:ascii="Times New Roman" w:cs="Times New Roman" w:eastAsia="Times New Roman" w:hAnsi="Times New Roman"/>
                <w:sz w:val="23"/>
                <w:szCs w:val="23"/>
                <w:color w:val="auto"/>
                <w:vertAlign w:val="superscript"/>
              </w:rPr>
              <w:t>ème</w:t>
            </w:r>
            <w:r>
              <w:rPr>
                <w:rFonts w:ascii="Times New Roman" w:cs="Times New Roman" w:eastAsia="Times New Roman" w:hAnsi="Times New Roman"/>
                <w:sz w:val="18"/>
                <w:szCs w:val="18"/>
                <w:color w:val="auto"/>
              </w:rPr>
              <w:t xml:space="preserve">  anniversaire du</w:t>
            </w:r>
          </w:p>
        </w:tc>
        <w:tc>
          <w:tcPr>
            <w:tcW w:w="5520" w:type="dxa"/>
            <w:vAlign w:val="bottom"/>
            <w:tcBorders>
              <w:right w:val="single" w:sz="8" w:color="auto"/>
            </w:tcBorders>
          </w:tcPr>
          <w:p>
            <w:pPr>
              <w:ind w:left="20"/>
              <w:spacing w:after="0" w:line="204" w:lineRule="exact"/>
              <w:rPr>
                <w:sz w:val="20"/>
                <w:szCs w:val="20"/>
                <w:color w:val="auto"/>
              </w:rPr>
            </w:pPr>
            <w:r>
              <w:rPr>
                <w:rFonts w:ascii="Times New Roman" w:cs="Times New Roman" w:eastAsia="Times New Roman" w:hAnsi="Times New Roman"/>
                <w:sz w:val="18"/>
                <w:szCs w:val="18"/>
                <w:color w:val="auto"/>
              </w:rPr>
              <w:t>The Employee will be required, no later than on the 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anniversary of this</w:t>
            </w:r>
          </w:p>
        </w:tc>
      </w:tr>
      <w:tr>
        <w:trPr>
          <w:trHeight w:val="203"/>
        </w:trPr>
        <w:tc>
          <w:tcPr>
            <w:tcW w:w="5740" w:type="dxa"/>
            <w:vAlign w:val="bottom"/>
            <w:tcBorders>
              <w:left w:val="single" w:sz="8" w:color="auto"/>
              <w:right w:val="single" w:sz="8" w:color="auto"/>
            </w:tcBorders>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présent avenant, de détenir une participation en capital de Brady Corporation</w:t>
            </w:r>
          </w:p>
        </w:tc>
        <w:tc>
          <w:tcPr>
            <w:tcW w:w="5520" w:type="dxa"/>
            <w:vAlign w:val="bottom"/>
            <w:tcBorders>
              <w:right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amendment, to hold an equity interest in Brady Corporation, the value of</w:t>
            </w:r>
          </w:p>
        </w:tc>
      </w:tr>
      <w:tr>
        <w:trPr>
          <w:trHeight w:val="203"/>
        </w:trPr>
        <w:tc>
          <w:tcPr>
            <w:tcW w:w="5740" w:type="dxa"/>
            <w:vAlign w:val="bottom"/>
            <w:tcBorders>
              <w:left w:val="single" w:sz="8" w:color="auto"/>
              <w:right w:val="single" w:sz="8" w:color="auto"/>
            </w:tcBorders>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dont la valeur devra au moins être égale à l’équivalent de 2 fois le salaire</w:t>
            </w:r>
          </w:p>
        </w:tc>
        <w:tc>
          <w:tcPr>
            <w:tcW w:w="5520" w:type="dxa"/>
            <w:vAlign w:val="bottom"/>
            <w:tcBorders>
              <w:right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which shall be at least equal to the equivalent of twice the Employee's</w:t>
            </w:r>
          </w:p>
        </w:tc>
      </w:tr>
      <w:tr>
        <w:trPr>
          <w:trHeight w:val="234"/>
        </w:trPr>
        <w:tc>
          <w:tcPr>
            <w:tcW w:w="550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annuel brut de base du Salarié</w:t>
            </w:r>
          </w:p>
        </w:tc>
        <w:tc>
          <w:tcPr>
            <w:tcW w:w="240" w:type="dxa"/>
            <w:vAlign w:val="bottom"/>
            <w:tcBorders>
              <w:right w:val="single" w:sz="8" w:color="auto"/>
            </w:tcBorders>
          </w:tcPr>
          <w:p>
            <w:pPr>
              <w:spacing w:after="0"/>
              <w:rPr>
                <w:sz w:val="20"/>
                <w:szCs w:val="20"/>
                <w:color w:val="auto"/>
              </w:rPr>
            </w:pP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annual gross base salary.</w:t>
            </w:r>
          </w:p>
        </w:tc>
      </w:tr>
      <w:tr>
        <w:trPr>
          <w:trHeight w:val="257"/>
        </w:trPr>
        <w:tc>
          <w:tcPr>
            <w:tcW w:w="5500" w:type="dxa"/>
            <w:vAlign w:val="bottom"/>
            <w:tcBorders>
              <w:left w:val="single" w:sz="8" w:color="auto"/>
              <w:bottom w:val="single" w:sz="8" w:color="auto"/>
            </w:tcBorders>
          </w:tcPr>
          <w:p>
            <w:pPr>
              <w:spacing w:after="0"/>
              <w:rPr>
                <w:sz w:val="22"/>
                <w:szCs w:val="22"/>
                <w:color w:val="auto"/>
              </w:rPr>
            </w:pPr>
          </w:p>
        </w:tc>
        <w:tc>
          <w:tcPr>
            <w:tcW w:w="240" w:type="dxa"/>
            <w:vAlign w:val="bottom"/>
            <w:tcBorders>
              <w:bottom w:val="single" w:sz="8" w:color="auto"/>
              <w:right w:val="single" w:sz="8" w:color="auto"/>
            </w:tcBorders>
          </w:tcPr>
          <w:p>
            <w:pPr>
              <w:spacing w:after="0"/>
              <w:rPr>
                <w:sz w:val="22"/>
                <w:szCs w:val="22"/>
                <w:color w:val="auto"/>
              </w:rPr>
            </w:pPr>
          </w:p>
        </w:tc>
        <w:tc>
          <w:tcPr>
            <w:tcW w:w="5520" w:type="dxa"/>
            <w:vAlign w:val="bottom"/>
            <w:tcBorders>
              <w:bottom w:val="single" w:sz="8" w:color="auto"/>
              <w:right w:val="single" w:sz="8" w:color="auto"/>
            </w:tcBorders>
          </w:tcPr>
          <w:p>
            <w:pPr>
              <w:spacing w:after="0"/>
              <w:rPr>
                <w:sz w:val="22"/>
                <w:szCs w:val="22"/>
                <w:color w:val="auto"/>
              </w:rPr>
            </w:pPr>
          </w:p>
        </w:tc>
      </w:tr>
      <w:tr>
        <w:trPr>
          <w:trHeight w:val="237"/>
        </w:trPr>
        <w:tc>
          <w:tcPr>
            <w:tcW w:w="550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Article 5 – Modification des fonction</w:t>
            </w:r>
          </w:p>
        </w:tc>
        <w:tc>
          <w:tcPr>
            <w:tcW w:w="240" w:type="dxa"/>
            <w:vAlign w:val="bottom"/>
            <w:tcBorders>
              <w:right w:val="single" w:sz="8" w:color="auto"/>
            </w:tcBorders>
          </w:tcPr>
          <w:p>
            <w:pPr>
              <w:spacing w:after="0"/>
              <w:rPr>
                <w:sz w:val="20"/>
                <w:szCs w:val="20"/>
                <w:color w:val="auto"/>
              </w:rPr>
            </w:pP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Article 5 – Modification of position</w:t>
            </w:r>
          </w:p>
        </w:tc>
      </w:tr>
      <w:tr>
        <w:trPr>
          <w:trHeight w:val="256"/>
        </w:trPr>
        <w:tc>
          <w:tcPr>
            <w:tcW w:w="5500" w:type="dxa"/>
            <w:vAlign w:val="bottom"/>
            <w:tcBorders>
              <w:left w:val="single" w:sz="8" w:color="auto"/>
              <w:bottom w:val="single" w:sz="8" w:color="auto"/>
            </w:tcBorders>
          </w:tcPr>
          <w:p>
            <w:pPr>
              <w:spacing w:after="0"/>
              <w:rPr>
                <w:sz w:val="22"/>
                <w:szCs w:val="22"/>
                <w:color w:val="auto"/>
              </w:rPr>
            </w:pPr>
          </w:p>
        </w:tc>
        <w:tc>
          <w:tcPr>
            <w:tcW w:w="240" w:type="dxa"/>
            <w:vAlign w:val="bottom"/>
            <w:tcBorders>
              <w:bottom w:val="single" w:sz="8" w:color="auto"/>
              <w:right w:val="single" w:sz="8" w:color="auto"/>
            </w:tcBorders>
          </w:tcPr>
          <w:p>
            <w:pPr>
              <w:spacing w:after="0"/>
              <w:rPr>
                <w:sz w:val="22"/>
                <w:szCs w:val="22"/>
                <w:color w:val="auto"/>
              </w:rPr>
            </w:pPr>
          </w:p>
        </w:tc>
        <w:tc>
          <w:tcPr>
            <w:tcW w:w="5520" w:type="dxa"/>
            <w:vAlign w:val="bottom"/>
            <w:tcBorders>
              <w:bottom w:val="single" w:sz="8" w:color="auto"/>
              <w:right w:val="single" w:sz="8" w:color="auto"/>
            </w:tcBorders>
          </w:tcPr>
          <w:p>
            <w:pPr>
              <w:spacing w:after="0"/>
              <w:rPr>
                <w:sz w:val="22"/>
                <w:szCs w:val="22"/>
                <w:color w:val="auto"/>
              </w:rPr>
            </w:pPr>
          </w:p>
        </w:tc>
      </w:tr>
      <w:tr>
        <w:trPr>
          <w:trHeight w:val="205"/>
        </w:trPr>
        <w:tc>
          <w:tcPr>
            <w:tcW w:w="5500" w:type="dxa"/>
            <w:vAlign w:val="bottom"/>
            <w:tcBorders>
              <w:left w:val="single" w:sz="8" w:color="auto"/>
            </w:tcBorders>
          </w:tcPr>
          <w:p>
            <w:pPr>
              <w:ind w:left="40"/>
              <w:spacing w:after="0" w:line="205" w:lineRule="exact"/>
              <w:rPr>
                <w:sz w:val="20"/>
                <w:szCs w:val="20"/>
                <w:color w:val="auto"/>
              </w:rPr>
            </w:pPr>
            <w:r>
              <w:rPr>
                <w:rFonts w:ascii="Times New Roman" w:cs="Times New Roman" w:eastAsia="Times New Roman" w:hAnsi="Times New Roman"/>
                <w:sz w:val="18"/>
                <w:szCs w:val="18"/>
                <w:color w:val="auto"/>
              </w:rPr>
              <w:t>Si le Salarié devait changer de poste à son initiative ou à la demande</w:t>
            </w:r>
          </w:p>
        </w:tc>
        <w:tc>
          <w:tcPr>
            <w:tcW w:w="240" w:type="dxa"/>
            <w:vAlign w:val="bottom"/>
            <w:tcBorders>
              <w:right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la</w:t>
            </w:r>
          </w:p>
        </w:tc>
        <w:tc>
          <w:tcPr>
            <w:tcW w:w="5520" w:type="dxa"/>
            <w:vAlign w:val="bottom"/>
            <w:tcBorders>
              <w:right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Should the Employee change his position at his own initiative or at the</w:t>
            </w:r>
          </w:p>
        </w:tc>
      </w:tr>
      <w:tr>
        <w:trPr>
          <w:trHeight w:val="203"/>
        </w:trPr>
        <w:tc>
          <w:tcPr>
            <w:tcW w:w="5740" w:type="dxa"/>
            <w:vAlign w:val="bottom"/>
            <w:tcBorders>
              <w:left w:val="single" w:sz="8" w:color="auto"/>
              <w:right w:val="single" w:sz="8" w:color="auto"/>
            </w:tcBorders>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Société, le Salarié accepte négocier avec la Société une rémunération et des</w:t>
            </w:r>
          </w:p>
        </w:tc>
        <w:tc>
          <w:tcPr>
            <w:tcW w:w="5520" w:type="dxa"/>
            <w:vAlign w:val="bottom"/>
            <w:tcBorders>
              <w:right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request of the Company, the Employee agrees to negotiate with the</w:t>
            </w:r>
          </w:p>
        </w:tc>
      </w:tr>
      <w:tr>
        <w:trPr>
          <w:trHeight w:val="203"/>
        </w:trPr>
        <w:tc>
          <w:tcPr>
            <w:tcW w:w="5740" w:type="dxa"/>
            <w:vAlign w:val="bottom"/>
            <w:tcBorders>
              <w:left w:val="single" w:sz="8" w:color="auto"/>
              <w:right w:val="single" w:sz="8" w:color="auto"/>
            </w:tcBorders>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avantages (de quelque nature qu’ils soient) alignés avec son nouveau poste.</w:t>
            </w:r>
          </w:p>
        </w:tc>
        <w:tc>
          <w:tcPr>
            <w:tcW w:w="5520" w:type="dxa"/>
            <w:vAlign w:val="bottom"/>
            <w:tcBorders>
              <w:right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Company remuneration and benefits (of any kind) in line with his new</w:t>
            </w:r>
          </w:p>
        </w:tc>
      </w:tr>
      <w:tr>
        <w:trPr>
          <w:trHeight w:val="198"/>
        </w:trPr>
        <w:tc>
          <w:tcPr>
            <w:tcW w:w="5740" w:type="dxa"/>
            <w:vAlign w:val="bottom"/>
            <w:tcBorders>
              <w:left w:val="single" w:sz="8" w:color="auto"/>
              <w:right w:val="single" w:sz="8" w:color="auto"/>
            </w:tcBorders>
            <w:gridSpan w:val="2"/>
          </w:tcPr>
          <w:p>
            <w:pPr>
              <w:ind w:left="40"/>
              <w:spacing w:after="0" w:line="199" w:lineRule="exact"/>
              <w:rPr>
                <w:sz w:val="20"/>
                <w:szCs w:val="20"/>
                <w:color w:val="auto"/>
              </w:rPr>
            </w:pPr>
            <w:r>
              <w:rPr>
                <w:rFonts w:ascii="Times New Roman" w:cs="Times New Roman" w:eastAsia="Times New Roman" w:hAnsi="Times New Roman"/>
                <w:sz w:val="18"/>
                <w:szCs w:val="18"/>
                <w:color w:val="auto"/>
              </w:rPr>
              <w:t>Cela implique que la rémunération et les avantages (de quelque nature qu’ils</w:t>
            </w:r>
          </w:p>
        </w:tc>
        <w:tc>
          <w:tcPr>
            <w:tcW w:w="5520" w:type="dxa"/>
            <w:vAlign w:val="bottom"/>
            <w:tcBorders>
              <w:right w:val="single" w:sz="8" w:color="auto"/>
            </w:tcBorders>
          </w:tcPr>
          <w:p>
            <w:pPr>
              <w:ind w:left="20"/>
              <w:spacing w:after="0" w:line="199" w:lineRule="exact"/>
              <w:rPr>
                <w:sz w:val="20"/>
                <w:szCs w:val="20"/>
                <w:color w:val="auto"/>
              </w:rPr>
            </w:pPr>
            <w:r>
              <w:rPr>
                <w:rFonts w:ascii="Times New Roman" w:cs="Times New Roman" w:eastAsia="Times New Roman" w:hAnsi="Times New Roman"/>
                <w:sz w:val="18"/>
                <w:szCs w:val="18"/>
                <w:color w:val="auto"/>
              </w:rPr>
              <w:t>position. This implies that the remuneration and benefits (of whatever</w:t>
            </w:r>
          </w:p>
        </w:tc>
      </w:tr>
      <w:tr>
        <w:trPr>
          <w:trHeight w:val="203"/>
        </w:trPr>
        <w:tc>
          <w:tcPr>
            <w:tcW w:w="5740" w:type="dxa"/>
            <w:vAlign w:val="bottom"/>
            <w:tcBorders>
              <w:left w:val="single" w:sz="8" w:color="auto"/>
              <w:right w:val="single" w:sz="8" w:color="auto"/>
            </w:tcBorders>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soient) pourraient être d’un niveau inférieur à ceux dont il bénéficie sur son</w:t>
            </w:r>
          </w:p>
        </w:tc>
        <w:tc>
          <w:tcPr>
            <w:tcW w:w="5520" w:type="dxa"/>
            <w:vAlign w:val="bottom"/>
            <w:tcBorders>
              <w:right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 xml:space="preserve">nature) may be at a lower level than those enjoyed in the position of </w:t>
            </w:r>
            <w:r>
              <w:rPr>
                <w:rFonts w:ascii="Times New Roman" w:cs="Times New Roman" w:eastAsia="Times New Roman" w:hAnsi="Times New Roman"/>
                <w:sz w:val="18"/>
                <w:szCs w:val="18"/>
                <w:b w:val="1"/>
                <w:bCs w:val="1"/>
                <w:color w:val="auto"/>
              </w:rPr>
              <w:t>Vice</w:t>
            </w:r>
          </w:p>
        </w:tc>
      </w:tr>
      <w:tr>
        <w:trPr>
          <w:trHeight w:val="238"/>
        </w:trPr>
        <w:tc>
          <w:tcPr>
            <w:tcW w:w="550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 xml:space="preserve">poste de « </w:t>
            </w:r>
            <w:r>
              <w:rPr>
                <w:rFonts w:ascii="Times New Roman" w:cs="Times New Roman" w:eastAsia="Times New Roman" w:hAnsi="Times New Roman"/>
                <w:sz w:val="18"/>
                <w:szCs w:val="18"/>
                <w:b w:val="1"/>
                <w:bCs w:val="1"/>
                <w:color w:val="auto"/>
              </w:rPr>
              <w:t>Vice President and General Manager, WPS</w:t>
            </w:r>
            <w:r>
              <w:rPr>
                <w:rFonts w:ascii="Times New Roman" w:cs="Times New Roman" w:eastAsia="Times New Roman" w:hAnsi="Times New Roman"/>
                <w:sz w:val="18"/>
                <w:szCs w:val="18"/>
                <w:color w:val="auto"/>
              </w:rPr>
              <w:t xml:space="preserve"> »</w:t>
            </w:r>
          </w:p>
        </w:tc>
        <w:tc>
          <w:tcPr>
            <w:tcW w:w="240" w:type="dxa"/>
            <w:vAlign w:val="bottom"/>
            <w:tcBorders>
              <w:right w:val="single" w:sz="8" w:color="auto"/>
            </w:tcBorders>
          </w:tcPr>
          <w:p>
            <w:pPr>
              <w:spacing w:after="0"/>
              <w:rPr>
                <w:sz w:val="20"/>
                <w:szCs w:val="20"/>
                <w:color w:val="auto"/>
              </w:rPr>
            </w:pP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President and General Manager, WPS</w:t>
            </w:r>
            <w:r>
              <w:rPr>
                <w:rFonts w:ascii="Times New Roman" w:cs="Times New Roman" w:eastAsia="Times New Roman" w:hAnsi="Times New Roman"/>
                <w:sz w:val="18"/>
                <w:szCs w:val="18"/>
                <w:color w:val="auto"/>
              </w:rPr>
              <w:t>.</w:t>
            </w:r>
          </w:p>
        </w:tc>
      </w:tr>
      <w:tr>
        <w:trPr>
          <w:trHeight w:val="256"/>
        </w:trPr>
        <w:tc>
          <w:tcPr>
            <w:tcW w:w="5500" w:type="dxa"/>
            <w:vAlign w:val="bottom"/>
            <w:tcBorders>
              <w:left w:val="single" w:sz="8" w:color="auto"/>
              <w:bottom w:val="single" w:sz="8" w:color="auto"/>
            </w:tcBorders>
          </w:tcPr>
          <w:p>
            <w:pPr>
              <w:spacing w:after="0"/>
              <w:rPr>
                <w:sz w:val="22"/>
                <w:szCs w:val="22"/>
                <w:color w:val="auto"/>
              </w:rPr>
            </w:pPr>
          </w:p>
        </w:tc>
        <w:tc>
          <w:tcPr>
            <w:tcW w:w="240" w:type="dxa"/>
            <w:vAlign w:val="bottom"/>
            <w:tcBorders>
              <w:bottom w:val="single" w:sz="8" w:color="auto"/>
              <w:right w:val="single" w:sz="8" w:color="auto"/>
            </w:tcBorders>
          </w:tcPr>
          <w:p>
            <w:pPr>
              <w:spacing w:after="0"/>
              <w:rPr>
                <w:sz w:val="22"/>
                <w:szCs w:val="22"/>
                <w:color w:val="auto"/>
              </w:rPr>
            </w:pPr>
          </w:p>
        </w:tc>
        <w:tc>
          <w:tcPr>
            <w:tcW w:w="5520" w:type="dxa"/>
            <w:vAlign w:val="bottom"/>
            <w:tcBorders>
              <w:bottom w:val="single" w:sz="8" w:color="auto"/>
              <w:right w:val="single" w:sz="8" w:color="auto"/>
            </w:tcBorders>
          </w:tcPr>
          <w:p>
            <w:pPr>
              <w:spacing w:after="0"/>
              <w:rPr>
                <w:sz w:val="22"/>
                <w:szCs w:val="22"/>
                <w:color w:val="auto"/>
              </w:rPr>
            </w:pPr>
          </w:p>
        </w:tc>
      </w:tr>
      <w:tr>
        <w:trPr>
          <w:trHeight w:val="237"/>
        </w:trPr>
        <w:tc>
          <w:tcPr>
            <w:tcW w:w="550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Article 6 – Non-sollicitation</w:t>
            </w:r>
          </w:p>
        </w:tc>
        <w:tc>
          <w:tcPr>
            <w:tcW w:w="240" w:type="dxa"/>
            <w:vAlign w:val="bottom"/>
            <w:tcBorders>
              <w:right w:val="single" w:sz="8" w:color="auto"/>
            </w:tcBorders>
          </w:tcPr>
          <w:p>
            <w:pPr>
              <w:spacing w:after="0"/>
              <w:rPr>
                <w:sz w:val="20"/>
                <w:szCs w:val="20"/>
                <w:color w:val="auto"/>
              </w:rPr>
            </w:pP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Article 6 – Non-solicitation</w:t>
            </w:r>
          </w:p>
        </w:tc>
      </w:tr>
      <w:tr>
        <w:trPr>
          <w:trHeight w:val="27"/>
        </w:trPr>
        <w:tc>
          <w:tcPr>
            <w:tcW w:w="5740" w:type="dxa"/>
            <w:vAlign w:val="bottom"/>
            <w:tcBorders>
              <w:left w:val="single" w:sz="8" w:color="auto"/>
              <w:bottom w:val="single" w:sz="8" w:color="auto"/>
              <w:right w:val="single" w:sz="8" w:color="auto"/>
            </w:tcBorders>
            <w:gridSpan w:val="2"/>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r>
      <w:tr>
        <w:trPr>
          <w:trHeight w:val="218"/>
        </w:trPr>
        <w:tc>
          <w:tcPr>
            <w:tcW w:w="574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Le Salarié s’engage, pendant toute la durée de son Contrat et pendant une</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 the whole term of his Contract and for a term of 12 months as from the</w:t>
            </w:r>
          </w:p>
        </w:tc>
      </w:tr>
      <w:tr>
        <w:trPr>
          <w:trHeight w:val="234"/>
        </w:trPr>
        <w:tc>
          <w:tcPr>
            <w:tcW w:w="550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durée de 12 mois à compter de la date de son départ effectif de la Société :</w:t>
            </w:r>
          </w:p>
        </w:tc>
        <w:tc>
          <w:tcPr>
            <w:tcW w:w="240" w:type="dxa"/>
            <w:vAlign w:val="bottom"/>
            <w:tcBorders>
              <w:right w:val="single" w:sz="8" w:color="auto"/>
            </w:tcBorders>
          </w:tcPr>
          <w:p>
            <w:pPr>
              <w:spacing w:after="0"/>
              <w:rPr>
                <w:sz w:val="20"/>
                <w:szCs w:val="20"/>
                <w:color w:val="auto"/>
              </w:rPr>
            </w:pP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date of his actual departure from the Company, the Employee agrees:</w:t>
            </w:r>
          </w:p>
        </w:tc>
      </w:tr>
      <w:tr>
        <w:trPr>
          <w:trHeight w:val="414"/>
        </w:trPr>
        <w:tc>
          <w:tcPr>
            <w:tcW w:w="574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 à ne pas offrir de poste à toute personne ayant travaillé pour la Société au</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not to offer any employment whatsoever to any person who, during the</w:t>
            </w:r>
          </w:p>
        </w:tc>
      </w:tr>
      <w:tr>
        <w:trPr>
          <w:trHeight w:val="216"/>
        </w:trPr>
        <w:tc>
          <w:tcPr>
            <w:tcW w:w="574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cours des 12 mois précédant son départ, et à ne pas tenter, de quelque manière</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period of 12 months preceding such departure, was an employee of the</w:t>
            </w:r>
          </w:p>
        </w:tc>
      </w:tr>
      <w:tr>
        <w:trPr>
          <w:trHeight w:val="216"/>
        </w:trPr>
        <w:tc>
          <w:tcPr>
            <w:tcW w:w="574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que ce soit, directement ou indirectement, de convaincre ou d'inciter l'une de</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9"/>
              </w:rPr>
              <w:t>Company, or to attempt, through any means whatsoever, whether directly or</w:t>
            </w:r>
          </w:p>
        </w:tc>
      </w:tr>
      <w:tr>
        <w:trPr>
          <w:trHeight w:val="216"/>
        </w:trPr>
        <w:tc>
          <w:tcPr>
            <w:tcW w:w="550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ces personnes à accepter un autre poste et/ou à quitter la Société ;</w:t>
            </w:r>
          </w:p>
        </w:tc>
        <w:tc>
          <w:tcPr>
            <w:tcW w:w="240" w:type="dxa"/>
            <w:vAlign w:val="bottom"/>
            <w:tcBorders>
              <w:right w:val="single" w:sz="8" w:color="auto"/>
            </w:tcBorders>
          </w:tcPr>
          <w:p>
            <w:pPr>
              <w:spacing w:after="0"/>
              <w:rPr>
                <w:sz w:val="18"/>
                <w:szCs w:val="18"/>
                <w:color w:val="auto"/>
              </w:rPr>
            </w:pP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indirectly,  to  persuade  or  to  encourage  such  person  to  accept  other</w:t>
            </w:r>
          </w:p>
        </w:tc>
      </w:tr>
      <w:tr>
        <w:trPr>
          <w:trHeight w:val="234"/>
        </w:trPr>
        <w:tc>
          <w:tcPr>
            <w:tcW w:w="5500" w:type="dxa"/>
            <w:vAlign w:val="bottom"/>
            <w:tcBorders>
              <w:lef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employment and/or to leave the Company; and</w:t>
            </w:r>
          </w:p>
        </w:tc>
      </w:tr>
      <w:tr>
        <w:trPr>
          <w:trHeight w:val="414"/>
        </w:trPr>
        <w:tc>
          <w:tcPr>
            <w:tcW w:w="574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 à ne pas recruter, ou faire recruter par un tiers avec lequel le Salarié</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not to hire, or to have a third party with whom the Employee has business</w:t>
            </w:r>
          </w:p>
        </w:tc>
      </w:tr>
      <w:tr>
        <w:trPr>
          <w:trHeight w:val="216"/>
        </w:trPr>
        <w:tc>
          <w:tcPr>
            <w:tcW w:w="574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entretient des relations d'affaires, une personne ayant travaillé pour la Société</w:t>
            </w: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dealings hire, any person who, during the period of 12 months preceding</w:t>
            </w:r>
          </w:p>
        </w:tc>
      </w:tr>
      <w:tr>
        <w:trPr>
          <w:trHeight w:val="234"/>
        </w:trPr>
        <w:tc>
          <w:tcPr>
            <w:tcW w:w="550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au cours d'une période de 12 mois précédant ce départ.</w:t>
            </w:r>
          </w:p>
        </w:tc>
        <w:tc>
          <w:tcPr>
            <w:tcW w:w="240" w:type="dxa"/>
            <w:vAlign w:val="bottom"/>
            <w:tcBorders>
              <w:right w:val="single" w:sz="8" w:color="auto"/>
            </w:tcBorders>
          </w:tcPr>
          <w:p>
            <w:pPr>
              <w:spacing w:after="0"/>
              <w:rPr>
                <w:sz w:val="20"/>
                <w:szCs w:val="20"/>
                <w:color w:val="auto"/>
              </w:rPr>
            </w:pPr>
          </w:p>
        </w:tc>
        <w:tc>
          <w:tcPr>
            <w:tcW w:w="5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such departure, was an employee of the Company.</w:t>
            </w:r>
          </w:p>
        </w:tc>
      </w:tr>
      <w:tr>
        <w:trPr>
          <w:trHeight w:val="243"/>
        </w:trPr>
        <w:tc>
          <w:tcPr>
            <w:tcW w:w="5500" w:type="dxa"/>
            <w:vAlign w:val="bottom"/>
            <w:tcBorders>
              <w:left w:val="single" w:sz="8" w:color="auto"/>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5520" w:type="dxa"/>
            <w:vAlign w:val="bottom"/>
            <w:tcBorders>
              <w:bottom w:val="single" w:sz="8" w:color="auto"/>
              <w:right w:val="single" w:sz="8" w:color="auto"/>
            </w:tcBorders>
          </w:tcPr>
          <w:p>
            <w:pPr>
              <w:spacing w:after="0"/>
              <w:rPr>
                <w:sz w:val="21"/>
                <w:szCs w:val="21"/>
                <w:color w:val="auto"/>
              </w:rPr>
            </w:pPr>
          </w:p>
        </w:tc>
      </w:tr>
    </w:tbl>
    <w:p>
      <w:pPr>
        <w:sectPr>
          <w:pgSz w:w="11900" w:h="16838" w:orient="portrait"/>
          <w:cols w:equalWidth="0" w:num="1">
            <w:col w:w="11260"/>
          </w:cols>
          <w:pgMar w:left="320" w:top="916" w:right="319" w:bottom="1440" w:gutter="0" w:footer="0" w:header="0"/>
        </w:sectPr>
      </w:pPr>
    </w:p>
    <w:bookmarkStart w:id="141" w:name="page142"/>
    <w:bookmarkEnd w:id="14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594360</wp:posOffset>
            </wp:positionV>
            <wp:extent cx="7140575" cy="64033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8">
                      <a:extLst>
                        <a:ext uri="{28A0092B-C50C-407E-A947-70E740481C1C}"/>
                      </a:extLst>
                    </a:blip>
                    <a:srcRect/>
                    <a:stretch>
                      <a:fillRect/>
                    </a:stretch>
                  </pic:blipFill>
                  <pic:spPr bwMode="auto">
                    <a:xfrm>
                      <a:off x="0" y="0"/>
                      <a:ext cx="7140575" cy="6403340"/>
                    </a:xfrm>
                    <a:prstGeom prst="rect">
                      <a:avLst/>
                    </a:prstGeom>
                    <a:noFill/>
                  </pic:spPr>
                </pic:pic>
              </a:graphicData>
            </a:graphic>
          </wp:anchor>
        </w:drawing>
      </w:r>
    </w:p>
    <w:tbl>
      <w:tblPr>
        <w:tblLayout w:type="fixed"/>
        <w:tblInd w:w="1"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Article 7 – Non-Concurrence</w:t>
            </w:r>
          </w:p>
        </w:tc>
        <w:tc>
          <w:tcPr>
            <w:tcW w:w="3620" w:type="dxa"/>
            <w:vAlign w:val="bottom"/>
          </w:tcPr>
          <w:p>
            <w:pPr>
              <w:ind w:left="1760"/>
              <w:spacing w:after="0"/>
              <w:rPr>
                <w:sz w:val="20"/>
                <w:szCs w:val="20"/>
                <w:color w:val="auto"/>
              </w:rPr>
            </w:pPr>
            <w:r>
              <w:rPr>
                <w:rFonts w:ascii="Times New Roman" w:cs="Times New Roman" w:eastAsia="Times New Roman" w:hAnsi="Times New Roman"/>
                <w:sz w:val="18"/>
                <w:szCs w:val="18"/>
                <w:b w:val="1"/>
                <w:bCs w:val="1"/>
                <w:color w:val="auto"/>
                <w:w w:val="98"/>
              </w:rPr>
              <w:t>Article 7 – Non-compete</w:t>
            </w:r>
          </w:p>
        </w:tc>
      </w:tr>
    </w:tbl>
    <w:p>
      <w:pPr>
        <w:spacing w:after="0" w:line="49" w:lineRule="exact"/>
        <w:rPr>
          <w:sz w:val="20"/>
          <w:szCs w:val="20"/>
          <w:color w:val="auto"/>
        </w:rPr>
      </w:pPr>
    </w:p>
    <w:p>
      <w:pPr>
        <w:ind w:left="1"/>
        <w:spacing w:after="0" w:line="259" w:lineRule="auto"/>
        <w:rPr>
          <w:sz w:val="20"/>
          <w:szCs w:val="20"/>
          <w:color w:val="auto"/>
        </w:rPr>
      </w:pPr>
      <w:r>
        <w:rPr>
          <w:rFonts w:ascii="Times New Roman" w:cs="Times New Roman" w:eastAsia="Times New Roman" w:hAnsi="Times New Roman"/>
          <w:sz w:val="18"/>
          <w:szCs w:val="18"/>
          <w:color w:val="auto"/>
        </w:rPr>
        <w:t>Compte tenu de la nature des fonctions du Salarié ainsi que des Considering the nature of the Employee’s duties, and the responsibilities he responsabilités qui lui sont confiées, les Parties conviennent d’une obligation will have, the Parties agree that a non-compete obligation will be effective de non-concurrence qui a vocation à prendre effet à l’issue de la relation de at the end of the employment relationship, i.e. on the date of termination of travail, c’est-à-dire à la date de cessation des fonctions du Salarié au sein de la the Employee’s duties at the Company. Société.</w:t>
      </w:r>
    </w:p>
    <w:p>
      <w:pPr>
        <w:spacing w:after="0" w:line="205" w:lineRule="exact"/>
        <w:rPr>
          <w:sz w:val="20"/>
          <w:szCs w:val="20"/>
          <w:color w:val="auto"/>
        </w:rPr>
      </w:pPr>
    </w:p>
    <w:p>
      <w:pPr>
        <w:ind w:left="5721"/>
        <w:spacing w:after="0"/>
        <w:rPr>
          <w:sz w:val="20"/>
          <w:szCs w:val="20"/>
          <w:color w:val="auto"/>
        </w:rPr>
      </w:pPr>
      <w:r>
        <w:rPr>
          <w:rFonts w:ascii="Times New Roman" w:cs="Times New Roman" w:eastAsia="Times New Roman" w:hAnsi="Times New Roman"/>
          <w:sz w:val="18"/>
          <w:szCs w:val="18"/>
          <w:color w:val="auto"/>
        </w:rPr>
        <w:t>After this employment Contract has terminated, and in order to protect the</w:t>
      </w:r>
    </w:p>
    <w:p>
      <w:pPr>
        <w:spacing w:after="0" w:line="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color w:val="auto"/>
        </w:rPr>
        <w:t>A l’issue du présent Contrat, et afin de protéger les intérêts légitimes de la legitimate interests of the Company, the Parties agree that the Employee</w:t>
      </w:r>
    </w:p>
    <w:p>
      <w:pPr>
        <w:spacing w:after="0" w:line="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color w:val="auto"/>
        </w:rPr>
        <w:t>Société, les Parties conviennent que le Salarié s’interdit d’exercer, directement undertakes not to directly or indirectly carry out any activity that would</w:t>
      </w:r>
    </w:p>
    <w:p>
      <w:pPr>
        <w:spacing w:after="0" w:line="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color w:val="auto"/>
        </w:rPr>
        <w:t>ou indirectement, une activité concurrente à celle de la Société et plus compete with that of the Company and, in particular, any activity related to</w:t>
      </w:r>
    </w:p>
    <w:p>
      <w:pPr>
        <w:spacing w:after="0" w:line="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color w:val="auto"/>
        </w:rPr>
        <w:t>particulièrement toute activité liée à la fabrication ou à la commercialisation manufacturing or marketing of solutions that identify and protect people,</w:t>
      </w:r>
    </w:p>
    <w:p>
      <w:pPr>
        <w:spacing w:after="0" w:line="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color w:val="auto"/>
        </w:rPr>
        <w:t>de solutions qui identifient et protègent les personnes, les produits et les lieux. products and places.</w:t>
      </w:r>
    </w:p>
    <w:p>
      <w:pPr>
        <w:spacing w:after="0" w:line="20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color w:val="auto"/>
        </w:rPr>
        <w:t>L’interdiction de concurrence restera contraignante pour une durée de 12 mois The prohibition on competition will remain binding for a period of 12</w:t>
      </w:r>
    </w:p>
    <w:p>
      <w:pPr>
        <w:spacing w:after="0" w:line="27" w:lineRule="exact"/>
        <w:rPr>
          <w:sz w:val="20"/>
          <w:szCs w:val="20"/>
          <w:color w:val="auto"/>
        </w:rPr>
      </w:pPr>
    </w:p>
    <w:p>
      <w:pPr>
        <w:ind w:left="1" w:hanging="1"/>
        <w:spacing w:after="0" w:line="250" w:lineRule="auto"/>
        <w:tabs>
          <w:tab w:leader="none" w:pos="12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compter de la date de cessation des fonctions de l’Employé dans la Société. months, starting on the date of termination of the Employee’s duties at the Cette interdiction de non-concurrence porte sur les territoires suivants : Company.</w:t>
      </w:r>
    </w:p>
    <w:p>
      <w:pPr>
        <w:ind w:left="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Belgium and France.</w:t>
      </w:r>
    </w:p>
    <w:tbl>
      <w:tblPr>
        <w:tblLayout w:type="fixed"/>
        <w:tblInd w:w="1" w:type="dxa"/>
        <w:tblCellMar>
          <w:top w:w="0" w:type="dxa"/>
          <w:left w:w="0" w:type="dxa"/>
          <w:bottom w:w="0" w:type="dxa"/>
          <w:right w:w="0" w:type="dxa"/>
        </w:tblCellMar>
      </w:tblPr>
      <w:tr>
        <w:trPr>
          <w:trHeight w:val="207"/>
        </w:trPr>
        <w:tc>
          <w:tcPr>
            <w:tcW w:w="5680" w:type="dxa"/>
            <w:vAlign w:val="bottom"/>
          </w:tcPr>
          <w:p>
            <w:pPr>
              <w:spacing w:after="0"/>
              <w:rPr>
                <w:sz w:val="17"/>
                <w:szCs w:val="17"/>
                <w:color w:val="auto"/>
              </w:rPr>
            </w:pPr>
          </w:p>
        </w:tc>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This non-compete duty shall apply to the following territories: Belgium and</w:t>
            </w:r>
          </w:p>
        </w:tc>
      </w:tr>
      <w:tr>
        <w:trPr>
          <w:trHeight w:val="216"/>
        </w:trPr>
        <w:tc>
          <w:tcPr>
            <w:tcW w:w="1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 Salarié reconnaît que les conditions d’application de l’obligation de non- France.</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concurrence telles qu’exposées ci-dessus ne l’empêchent pas d’exercer une</w:t>
            </w:r>
          </w:p>
        </w:tc>
        <w:tc>
          <w:tcPr>
            <w:tcW w:w="5500" w:type="dxa"/>
            <w:vAlign w:val="bottom"/>
          </w:tcPr>
          <w:p>
            <w:pPr>
              <w:spacing w:after="0"/>
              <w:rPr>
                <w:sz w:val="18"/>
                <w:szCs w:val="18"/>
                <w:color w:val="auto"/>
              </w:rPr>
            </w:pPr>
          </w:p>
        </w:tc>
      </w:tr>
      <w:tr>
        <w:trPr>
          <w:trHeight w:val="216"/>
        </w:trPr>
        <w:tc>
          <w:tcPr>
            <w:tcW w:w="1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activité conforme à son expérience et à sa formation et ne portent pas atteinte The Employee acknowledges that the conditions in which the above non-</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à sa liberté de travail.</w:t>
            </w:r>
          </w:p>
        </w:tc>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compete duty applies will not prevent him from carrying out an activity that</w:t>
            </w:r>
          </w:p>
        </w:tc>
      </w:tr>
      <w:tr>
        <w:trPr>
          <w:trHeight w:val="216"/>
        </w:trPr>
        <w:tc>
          <w:tcPr>
            <w:tcW w:w="5680" w:type="dxa"/>
            <w:vAlign w:val="bottom"/>
          </w:tcPr>
          <w:p>
            <w:pPr>
              <w:spacing w:after="0"/>
              <w:rPr>
                <w:sz w:val="18"/>
                <w:szCs w:val="18"/>
                <w:color w:val="auto"/>
              </w:rPr>
            </w:pPr>
          </w:p>
        </w:tc>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corresponds to his training and experience, and will not impact his freedom</w:t>
            </w:r>
          </w:p>
        </w:tc>
      </w:tr>
      <w:tr>
        <w:trPr>
          <w:trHeight w:val="216"/>
        </w:trPr>
        <w:tc>
          <w:tcPr>
            <w:tcW w:w="1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 cas d’application de la clause de non-concurrence, le Salarié percevra une to work.</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indemnité  mensuelle  d’un  montant  brut  correspondant  à  30%  de  la</w:t>
            </w:r>
          </w:p>
        </w:tc>
        <w:tc>
          <w:tcPr>
            <w:tcW w:w="5500" w:type="dxa"/>
            <w:vAlign w:val="bottom"/>
          </w:tcPr>
          <w:p>
            <w:pPr>
              <w:spacing w:after="0"/>
              <w:rPr>
                <w:sz w:val="18"/>
                <w:szCs w:val="18"/>
                <w:color w:val="auto"/>
              </w:rPr>
            </w:pPr>
          </w:p>
        </w:tc>
      </w:tr>
      <w:tr>
        <w:trPr>
          <w:trHeight w:val="216"/>
        </w:trPr>
        <w:tc>
          <w:tcPr>
            <w:tcW w:w="1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rémunération mensuelle brute fixe moyenne versée au Salarié au titre des In the event that the non-compete clause is implemented, the Employee</w:t>
            </w:r>
          </w:p>
        </w:tc>
      </w:tr>
      <w:tr>
        <w:trPr>
          <w:trHeight w:val="216"/>
        </w:trPr>
        <w:tc>
          <w:tcPr>
            <w:tcW w:w="1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douze derniers mois précédant la rupture du Contrat. Cette indemnité inclue shall receive a gross monthly compensation amounting to 30% of the</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l’indemnité compensatrice de congés payés.</w:t>
            </w:r>
          </w:p>
        </w:tc>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monthly gross average base salary paid to the Employee for the last 12</w:t>
            </w:r>
          </w:p>
        </w:tc>
      </w:tr>
      <w:tr>
        <w:trPr>
          <w:trHeight w:val="216"/>
        </w:trPr>
        <w:tc>
          <w:tcPr>
            <w:tcW w:w="5680" w:type="dxa"/>
            <w:vAlign w:val="bottom"/>
          </w:tcPr>
          <w:p>
            <w:pPr>
              <w:spacing w:after="0"/>
              <w:rPr>
                <w:sz w:val="18"/>
                <w:szCs w:val="18"/>
                <w:color w:val="auto"/>
              </w:rPr>
            </w:pPr>
          </w:p>
        </w:tc>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months prior to the termination of the Contract. This compensation includes</w:t>
            </w:r>
          </w:p>
        </w:tc>
      </w:tr>
      <w:tr>
        <w:trPr>
          <w:trHeight w:val="216"/>
        </w:trPr>
        <w:tc>
          <w:tcPr>
            <w:tcW w:w="1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 Société se réserve le droit de renoncer à l’application de la présente clause compensation in lieu of paid leave.</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et le Salarié ne pourra plus prétendre au versement de l’indemnité de non-</w:t>
            </w:r>
          </w:p>
        </w:tc>
        <w:tc>
          <w:tcPr>
            <w:tcW w:w="5500" w:type="dxa"/>
            <w:vAlign w:val="bottom"/>
          </w:tcPr>
          <w:p>
            <w:pPr>
              <w:spacing w:after="0"/>
              <w:rPr>
                <w:sz w:val="18"/>
                <w:szCs w:val="18"/>
                <w:color w:val="auto"/>
              </w:rPr>
            </w:pPr>
          </w:p>
        </w:tc>
      </w:tr>
      <w:tr>
        <w:trPr>
          <w:trHeight w:val="216"/>
        </w:trPr>
        <w:tc>
          <w:tcPr>
            <w:tcW w:w="1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concurrence. La Société en informera le Salarié par lettre recommandée avec The Company reserves the right to waive this clause and the Employee</w:t>
            </w:r>
          </w:p>
        </w:tc>
      </w:tr>
      <w:tr>
        <w:trPr>
          <w:trHeight w:val="216"/>
        </w:trPr>
        <w:tc>
          <w:tcPr>
            <w:tcW w:w="1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demande d’avis de réception dans les 15 jours ouvrables à compter de la would no longer be entitled to claim for the payment of the non-compete</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notification de la rupture du Contrat.</w:t>
            </w:r>
          </w:p>
        </w:tc>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compensation.  The  Employee  will  receive  written  notice  thereof  by</w:t>
            </w:r>
          </w:p>
        </w:tc>
      </w:tr>
      <w:tr>
        <w:trPr>
          <w:trHeight w:val="216"/>
        </w:trPr>
        <w:tc>
          <w:tcPr>
            <w:tcW w:w="5680" w:type="dxa"/>
            <w:vAlign w:val="bottom"/>
          </w:tcPr>
          <w:p>
            <w:pPr>
              <w:spacing w:after="0"/>
              <w:rPr>
                <w:sz w:val="18"/>
                <w:szCs w:val="18"/>
                <w:color w:val="auto"/>
              </w:rPr>
            </w:pPr>
          </w:p>
        </w:tc>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registered letter with acknowledgement of receipt, within 15 working days</w:t>
            </w:r>
          </w:p>
        </w:tc>
      </w:tr>
      <w:tr>
        <w:trPr>
          <w:trHeight w:val="216"/>
        </w:trPr>
        <w:tc>
          <w:tcPr>
            <w:tcW w:w="1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Toute violation des dispositions de la présente clause par le Salarié libère la following the notice of termination of the Contract.</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Société du versement de l’indemnité de non-concurrence et rend le Salarié</w:t>
            </w:r>
          </w:p>
        </w:tc>
        <w:tc>
          <w:tcPr>
            <w:tcW w:w="5500" w:type="dxa"/>
            <w:vAlign w:val="bottom"/>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redevable des sommes reçues à ce titre.</w:t>
            </w:r>
          </w:p>
        </w:tc>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In the event that the Employee breaches this clause, the Company would be</w:t>
            </w:r>
          </w:p>
        </w:tc>
      </w:tr>
      <w:tr>
        <w:trPr>
          <w:trHeight w:val="216"/>
        </w:trPr>
        <w:tc>
          <w:tcPr>
            <w:tcW w:w="5680" w:type="dxa"/>
            <w:vAlign w:val="bottom"/>
          </w:tcPr>
          <w:p>
            <w:pPr>
              <w:spacing w:after="0"/>
              <w:rPr>
                <w:sz w:val="18"/>
                <w:szCs w:val="18"/>
                <w:color w:val="auto"/>
              </w:rPr>
            </w:pPr>
          </w:p>
        </w:tc>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released from paying the non-compete compensation and the Employee</w:t>
            </w:r>
          </w:p>
        </w:tc>
      </w:tr>
      <w:tr>
        <w:trPr>
          <w:trHeight w:val="216"/>
        </w:trPr>
        <w:tc>
          <w:tcPr>
            <w:tcW w:w="1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 ailleurs, en cas de violation de cette interdiction, le Salarié s’expose au would be liable for any sums paid in this respect.</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paiement d’une indemnité forfaitaire égale à la rémunération de ses six (6)</w:t>
            </w:r>
          </w:p>
        </w:tc>
        <w:tc>
          <w:tcPr>
            <w:tcW w:w="5500" w:type="dxa"/>
            <w:vAlign w:val="bottom"/>
          </w:tcPr>
          <w:p>
            <w:pPr>
              <w:spacing w:after="0"/>
              <w:rPr>
                <w:sz w:val="18"/>
                <w:szCs w:val="18"/>
                <w:color w:val="auto"/>
              </w:rPr>
            </w:pPr>
          </w:p>
        </w:tc>
      </w:tr>
      <w:tr>
        <w:trPr>
          <w:trHeight w:val="216"/>
        </w:trPr>
        <w:tc>
          <w:tcPr>
            <w:tcW w:w="1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derniers mois d’activité sans préjudice du droit pour la Société de faire cesser Furthermore, in the event of a breach, the Employee would be liable for the</w:t>
            </w:r>
          </w:p>
        </w:tc>
      </w:tr>
      <w:tr>
        <w:trPr>
          <w:trHeight w:val="216"/>
        </w:trPr>
        <w:tc>
          <w:tcPr>
            <w:tcW w:w="1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ladite violation par tout moyen et de demander réparation de l’entier préjudice payment  of  an  all-inclusive  contractual  compensation  equal  to  the</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subi.</w:t>
            </w:r>
          </w:p>
        </w:tc>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remuneration  for  his  last  six  (6)  months  of  activity,  subject  to  the</w:t>
            </w:r>
          </w:p>
        </w:tc>
      </w:tr>
      <w:tr>
        <w:trPr>
          <w:trHeight w:val="216"/>
        </w:trPr>
        <w:tc>
          <w:tcPr>
            <w:tcW w:w="5680" w:type="dxa"/>
            <w:vAlign w:val="bottom"/>
          </w:tcPr>
          <w:p>
            <w:pPr>
              <w:spacing w:after="0"/>
              <w:rPr>
                <w:sz w:val="18"/>
                <w:szCs w:val="18"/>
                <w:color w:val="auto"/>
              </w:rPr>
            </w:pPr>
          </w:p>
        </w:tc>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Company’s right to obtain the cessation of the breach by all available</w:t>
            </w:r>
          </w:p>
        </w:tc>
      </w:tr>
      <w:tr>
        <w:trPr>
          <w:trHeight w:val="234"/>
        </w:trPr>
        <w:tc>
          <w:tcPr>
            <w:tcW w:w="5680" w:type="dxa"/>
            <w:vAlign w:val="bottom"/>
          </w:tcPr>
          <w:p>
            <w:pPr>
              <w:spacing w:after="0"/>
              <w:rPr>
                <w:sz w:val="20"/>
                <w:szCs w:val="20"/>
                <w:color w:val="auto"/>
              </w:rPr>
            </w:pPr>
          </w:p>
        </w:tc>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means, and to fully remedy any loss suffered.</w:t>
            </w:r>
          </w:p>
        </w:tc>
      </w:tr>
    </w:tbl>
    <w:p>
      <w:pPr>
        <w:sectPr>
          <w:pgSz w:w="11900" w:h="16838" w:orient="portrait"/>
          <w:cols w:equalWidth="0" w:num="1">
            <w:col w:w="11181"/>
          </w:cols>
          <w:pgMar w:left="359" w:top="954" w:right="359" w:bottom="1440" w:gutter="0" w:footer="0" w:header="0"/>
        </w:sectPr>
      </w:pPr>
    </w:p>
    <w:bookmarkStart w:id="142" w:name="page143"/>
    <w:bookmarkEnd w:id="14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594360</wp:posOffset>
            </wp:positionV>
            <wp:extent cx="7140575" cy="224599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9">
                      <a:extLst>
                        <a:ext uri="{28A0092B-C50C-407E-A947-70E740481C1C}"/>
                      </a:extLst>
                    </a:blip>
                    <a:srcRect/>
                    <a:stretch>
                      <a:fillRect/>
                    </a:stretch>
                  </pic:blipFill>
                  <pic:spPr bwMode="auto">
                    <a:xfrm>
                      <a:off x="0" y="0"/>
                      <a:ext cx="7140575" cy="22459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Article 8 – Absence de modification des autres dispositions du Contrat</w:t>
            </w:r>
          </w:p>
        </w:tc>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Article 8 – Absence of modification of the other provisions of the</w:t>
            </w:r>
          </w:p>
        </w:tc>
      </w:tr>
      <w:tr>
        <w:trPr>
          <w:trHeight w:val="238"/>
        </w:trPr>
        <w:tc>
          <w:tcPr>
            <w:tcW w:w="5580" w:type="dxa"/>
            <w:vAlign w:val="bottom"/>
          </w:tcPr>
          <w:p>
            <w:pPr>
              <w:spacing w:after="0"/>
              <w:rPr>
                <w:sz w:val="20"/>
                <w:szCs w:val="20"/>
                <w:color w:val="auto"/>
              </w:rPr>
            </w:pPr>
          </w:p>
        </w:tc>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Contract</w:t>
            </w:r>
          </w:p>
        </w:tc>
      </w:tr>
      <w:tr>
        <w:trPr>
          <w:trHeight w:val="27"/>
        </w:trPr>
        <w:tc>
          <w:tcPr>
            <w:tcW w:w="5580" w:type="dxa"/>
            <w:vAlign w:val="bottom"/>
            <w:tcBorders>
              <w:bottom w:val="single" w:sz="8" w:color="auto"/>
            </w:tcBorders>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237"/>
        </w:trPr>
        <w:tc>
          <w:tcPr>
            <w:tcW w:w="5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 autres clauses du Contrat demeurent inchangées.</w:t>
            </w:r>
          </w:p>
        </w:tc>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other clauses of the Contract remain unchanged.</w:t>
            </w:r>
          </w:p>
        </w:tc>
      </w:tr>
      <w:tr>
        <w:trPr>
          <w:trHeight w:val="410"/>
        </w:trPr>
        <w:tc>
          <w:tcPr>
            <w:tcW w:w="11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Le présent avenant a été établi en deux exemplaires originaux dont un a été This amendment has been drawn up in two original copies, one of which</w:t>
            </w:r>
          </w:p>
        </w:tc>
      </w:tr>
      <w:tr>
        <w:trPr>
          <w:trHeight w:val="238"/>
        </w:trPr>
        <w:tc>
          <w:tcPr>
            <w:tcW w:w="5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remis au Salarié</w:t>
            </w:r>
            <w:r>
              <w:rPr>
                <w:rFonts w:ascii="Times New Roman" w:cs="Times New Roman" w:eastAsia="Times New Roman" w:hAnsi="Times New Roman"/>
                <w:sz w:val="18"/>
                <w:szCs w:val="18"/>
                <w:b w:val="1"/>
                <w:bCs w:val="1"/>
                <w:color w:val="auto"/>
              </w:rPr>
              <w:t>.</w:t>
            </w:r>
          </w:p>
        </w:tc>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has been given to the Employee.</w:t>
            </w:r>
          </w:p>
        </w:tc>
      </w:tr>
    </w:tbl>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Article 9 – Divers</w:t>
            </w:r>
          </w:p>
        </w:tc>
        <w:tc>
          <w:tcPr>
            <w:tcW w:w="596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Article 9 – Miscellaneous</w:t>
            </w:r>
          </w:p>
        </w:tc>
        <w:tc>
          <w:tcPr>
            <w:tcW w:w="0" w:type="dxa"/>
            <w:vAlign w:val="bottom"/>
          </w:tcPr>
          <w:p>
            <w:pPr>
              <w:spacing w:after="0"/>
              <w:rPr>
                <w:sz w:val="1"/>
                <w:szCs w:val="1"/>
                <w:color w:val="auto"/>
              </w:rPr>
            </w:pPr>
          </w:p>
        </w:tc>
      </w:tr>
      <w:tr>
        <w:trPr>
          <w:trHeight w:val="27"/>
        </w:trPr>
        <w:tc>
          <w:tcPr>
            <w:tcW w:w="5300" w:type="dxa"/>
            <w:vAlign w:val="bottom"/>
            <w:tcBorders>
              <w:bottom w:val="single" w:sz="8" w:color="auto"/>
            </w:tcBorders>
          </w:tcPr>
          <w:p>
            <w:pPr>
              <w:spacing w:after="0"/>
              <w:rPr>
                <w:sz w:val="2"/>
                <w:szCs w:val="2"/>
                <w:color w:val="auto"/>
              </w:rPr>
            </w:pPr>
          </w:p>
        </w:tc>
        <w:tc>
          <w:tcPr>
            <w:tcW w:w="5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 présent avenant au Contrat a été établi en français et en anglais.</w:t>
            </w:r>
          </w:p>
        </w:tc>
        <w:tc>
          <w:tcPr>
            <w:tcW w:w="5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This amendment to the Contract has been drawn up in English and French.</w:t>
            </w:r>
          </w:p>
        </w:tc>
        <w:tc>
          <w:tcPr>
            <w:tcW w:w="0" w:type="dxa"/>
            <w:vAlign w:val="bottom"/>
          </w:tcPr>
          <w:p>
            <w:pPr>
              <w:spacing w:after="0"/>
              <w:rPr>
                <w:sz w:val="1"/>
                <w:szCs w:val="1"/>
                <w:color w:val="auto"/>
              </w:rPr>
            </w:pPr>
          </w:p>
        </w:tc>
      </w:tr>
      <w:tr>
        <w:trPr>
          <w:trHeight w:val="414"/>
        </w:trPr>
        <w:tc>
          <w:tcPr>
            <w:tcW w:w="11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En cas de contradiction entre la version française et la version anglaise de In the event of any contradiction between the French and English versions</w:t>
            </w:r>
          </w:p>
        </w:tc>
        <w:tc>
          <w:tcPr>
            <w:tcW w:w="0" w:type="dxa"/>
            <w:vAlign w:val="bottom"/>
          </w:tcPr>
          <w:p>
            <w:pPr>
              <w:spacing w:after="0"/>
              <w:rPr>
                <w:sz w:val="1"/>
                <w:szCs w:val="1"/>
                <w:color w:val="auto"/>
              </w:rPr>
            </w:pPr>
          </w:p>
        </w:tc>
      </w:tr>
      <w:tr>
        <w:trPr>
          <w:trHeight w:val="234"/>
        </w:trPr>
        <w:tc>
          <w:tcPr>
            <w:tcW w:w="5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l’avenant au Contrat, la version française fera foi.</w:t>
            </w:r>
          </w:p>
        </w:tc>
        <w:tc>
          <w:tcPr>
            <w:tcW w:w="5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of the amendment to the Contract, the French version shall prevail.</w:t>
            </w:r>
          </w:p>
        </w:tc>
        <w:tc>
          <w:tcPr>
            <w:tcW w:w="0" w:type="dxa"/>
            <w:vAlign w:val="bottom"/>
          </w:tcPr>
          <w:p>
            <w:pPr>
              <w:spacing w:after="0"/>
              <w:rPr>
                <w:sz w:val="1"/>
                <w:szCs w:val="1"/>
                <w:color w:val="auto"/>
              </w:rPr>
            </w:pPr>
          </w:p>
        </w:tc>
      </w:tr>
      <w:tr>
        <w:trPr>
          <w:trHeight w:val="432"/>
        </w:trPr>
        <w:tc>
          <w:tcPr>
            <w:tcW w:w="53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L’avenant au Contrat est régi par le droit français.</w:t>
            </w:r>
          </w:p>
        </w:tc>
        <w:tc>
          <w:tcPr>
            <w:tcW w:w="5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amendment to the Contract shall be governed by French law.</w:t>
            </w:r>
          </w:p>
        </w:tc>
        <w:tc>
          <w:tcPr>
            <w:tcW w:w="0" w:type="dxa"/>
            <w:vAlign w:val="bottom"/>
          </w:tcPr>
          <w:p>
            <w:pPr>
              <w:spacing w:after="0"/>
              <w:rPr>
                <w:sz w:val="1"/>
                <w:szCs w:val="1"/>
                <w:color w:val="auto"/>
              </w:rPr>
            </w:pPr>
          </w:p>
        </w:tc>
      </w:tr>
      <w:tr>
        <w:trPr>
          <w:trHeight w:val="216"/>
        </w:trPr>
        <w:tc>
          <w:tcPr>
            <w:tcW w:w="5300" w:type="dxa"/>
            <w:vAlign w:val="bottom"/>
            <w:vMerge w:val="continue"/>
          </w:tcPr>
          <w:p>
            <w:pPr>
              <w:spacing w:after="0"/>
              <w:rPr>
                <w:sz w:val="18"/>
                <w:szCs w:val="18"/>
                <w:color w:val="auto"/>
              </w:rPr>
            </w:pPr>
          </w:p>
        </w:tc>
        <w:tc>
          <w:tcPr>
            <w:tcW w:w="59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in Roncq, January 7,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u w:val="single" w:color="auto"/>
          <w:color w:val="auto"/>
        </w:rPr>
        <w:t>/s/ PASCAL DEMAN</w:t>
      </w:r>
    </w:p>
    <w:p>
      <w:pPr>
        <w:spacing w:after="0" w:line="36"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Pascal Deman</w:t>
      </w:r>
    </w:p>
    <w:p>
      <w:pPr>
        <w:spacing w:after="0" w:line="200" w:lineRule="exact"/>
        <w:rPr>
          <w:sz w:val="20"/>
          <w:szCs w:val="20"/>
          <w:color w:val="auto"/>
        </w:rPr>
      </w:pPr>
    </w:p>
    <w:p>
      <w:pPr>
        <w:spacing w:after="0" w:line="268"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u w:val="single" w:color="auto"/>
          <w:color w:val="auto"/>
        </w:rPr>
        <w:t>/s/ J. MICHAEL NAUMAN</w:t>
      </w:r>
    </w:p>
    <w:p>
      <w:pPr>
        <w:spacing w:after="0" w:line="36"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J. Michael Nauman</w:t>
      </w:r>
    </w:p>
    <w:p>
      <w:pPr>
        <w:spacing w:after="0" w:line="2" w:lineRule="exact"/>
        <w:rPr>
          <w:sz w:val="20"/>
          <w:szCs w:val="20"/>
          <w:color w:val="auto"/>
        </w:rPr>
      </w:pPr>
    </w:p>
    <w:p>
      <w:pPr>
        <w:jc w:val="right"/>
        <w:ind w:right="2320"/>
        <w:spacing w:after="0"/>
        <w:rPr>
          <w:sz w:val="20"/>
          <w:szCs w:val="20"/>
          <w:color w:val="auto"/>
        </w:rPr>
      </w:pPr>
      <w:r>
        <w:rPr>
          <w:rFonts w:ascii="Times New Roman" w:cs="Times New Roman" w:eastAsia="Times New Roman" w:hAnsi="Times New Roman"/>
          <w:sz w:val="18"/>
          <w:szCs w:val="18"/>
          <w:color w:val="auto"/>
        </w:rPr>
        <w:t>President of Brady Groupe S.A.S.</w:t>
      </w:r>
    </w:p>
    <w:p>
      <w:pPr>
        <w:sectPr>
          <w:pgSz w:w="11900" w:h="16838" w:orient="portrait"/>
          <w:cols w:equalWidth="0" w:num="1">
            <w:col w:w="11260"/>
          </w:cols>
          <w:pgMar w:left="320" w:top="954" w:right="319" w:bottom="1440" w:gutter="0" w:footer="0" w:header="0"/>
        </w:sectPr>
      </w:pPr>
    </w:p>
    <w:bookmarkStart w:id="143" w:name="page144"/>
    <w:bookmarkEnd w:id="143"/>
    <w:tbl>
      <w:tblPr>
        <w:tblLayout w:type="fixed"/>
        <w:tblInd w:w="0" w:type="dxa"/>
        <w:tblCellMar>
          <w:top w:w="0" w:type="dxa"/>
          <w:left w:w="0" w:type="dxa"/>
          <w:bottom w:w="0" w:type="dxa"/>
          <w:right w:w="0" w:type="dxa"/>
        </w:tblCellMar>
      </w:tblPr>
      <w:tr>
        <w:trPr>
          <w:trHeight w:val="238"/>
        </w:trPr>
        <w:tc>
          <w:tcPr>
            <w:tcW w:w="42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8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w w:val="98"/>
              </w:rPr>
              <w:t>EXHIBIT 21</w:t>
            </w:r>
          </w:p>
        </w:tc>
      </w:tr>
      <w:tr>
        <w:trPr>
          <w:trHeight w:val="558"/>
        </w:trPr>
        <w:tc>
          <w:tcPr>
            <w:tcW w:w="9220" w:type="dxa"/>
            <w:vAlign w:val="bottom"/>
            <w:gridSpan w:val="5"/>
          </w:tcPr>
          <w:p>
            <w:pPr>
              <w:jc w:val="center"/>
              <w:ind w:left="1879"/>
              <w:spacing w:after="0"/>
              <w:rPr>
                <w:sz w:val="20"/>
                <w:szCs w:val="20"/>
                <w:color w:val="auto"/>
              </w:rPr>
            </w:pPr>
            <w:r>
              <w:rPr>
                <w:rFonts w:ascii="Times New Roman" w:cs="Times New Roman" w:eastAsia="Times New Roman" w:hAnsi="Times New Roman"/>
                <w:sz w:val="18"/>
                <w:szCs w:val="18"/>
                <w:b w:val="1"/>
                <w:bCs w:val="1"/>
                <w:color w:val="auto"/>
                <w:w w:val="99"/>
              </w:rPr>
              <w:t>SCHEDULE OF SUBSIDIARIES OF BRADY CORPORATION</w:t>
            </w: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4240" w:type="dxa"/>
            <w:vAlign w:val="bottom"/>
          </w:tcPr>
          <w:p>
            <w:pPr>
              <w:spacing w:after="0"/>
              <w:rPr>
                <w:sz w:val="20"/>
                <w:szCs w:val="20"/>
                <w:color w:val="auto"/>
              </w:rPr>
            </w:pPr>
          </w:p>
        </w:tc>
        <w:tc>
          <w:tcPr>
            <w:tcW w:w="4980" w:type="dxa"/>
            <w:vAlign w:val="bottom"/>
            <w:gridSpan w:val="4"/>
          </w:tcPr>
          <w:p>
            <w:pPr>
              <w:jc w:val="center"/>
              <w:ind w:right="2300"/>
              <w:spacing w:after="0"/>
              <w:rPr>
                <w:sz w:val="20"/>
                <w:szCs w:val="20"/>
                <w:color w:val="auto"/>
              </w:rPr>
            </w:pPr>
            <w:r>
              <w:rPr>
                <w:rFonts w:ascii="Times New Roman" w:cs="Times New Roman" w:eastAsia="Times New Roman" w:hAnsi="Times New Roman"/>
                <w:sz w:val="18"/>
                <w:szCs w:val="18"/>
                <w:b w:val="1"/>
                <w:bCs w:val="1"/>
                <w:color w:val="auto"/>
                <w:w w:val="99"/>
              </w:rPr>
              <w:t>July 31, 2020</w:t>
            </w:r>
          </w:p>
        </w:tc>
        <w:tc>
          <w:tcPr>
            <w:tcW w:w="19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94"/>
        </w:trPr>
        <w:tc>
          <w:tcPr>
            <w:tcW w:w="42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i w:val="1"/>
                <w:iCs w:val="1"/>
                <w:color w:val="auto"/>
              </w:rPr>
              <w:t>State (Country)</w:t>
            </w:r>
          </w:p>
        </w:tc>
        <w:tc>
          <w:tcPr>
            <w:tcW w:w="198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i w:val="1"/>
                <w:iCs w:val="1"/>
                <w:color w:val="auto"/>
              </w:rPr>
              <w:t>Percentage of Voting</w:t>
            </w:r>
          </w:p>
        </w:tc>
      </w:tr>
      <w:tr>
        <w:trPr>
          <w:trHeight w:val="256"/>
        </w:trPr>
        <w:tc>
          <w:tcPr>
            <w:tcW w:w="42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Name of Company</w:t>
            </w:r>
          </w:p>
        </w:tc>
        <w:tc>
          <w:tcPr>
            <w:tcW w:w="2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i w:val="1"/>
                <w:iCs w:val="1"/>
                <w:color w:val="auto"/>
              </w:rPr>
              <w:t>of Incorporation</w:t>
            </w:r>
          </w:p>
        </w:tc>
        <w:tc>
          <w:tcPr>
            <w:tcW w:w="198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i w:val="1"/>
                <w:iCs w:val="1"/>
                <w:color w:val="auto"/>
              </w:rPr>
              <w:t>Securities Owned</w:t>
            </w:r>
          </w:p>
        </w:tc>
      </w:tr>
      <w:tr>
        <w:trPr>
          <w:trHeight w:val="33"/>
        </w:trPr>
        <w:tc>
          <w:tcPr>
            <w:tcW w:w="424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0"/>
        </w:trPr>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Brady Corporation</w:t>
            </w:r>
          </w:p>
        </w:tc>
        <w:tc>
          <w:tcPr>
            <w:tcW w:w="27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1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Wisconsin</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Parent</w:t>
            </w:r>
          </w:p>
        </w:tc>
        <w:tc>
          <w:tcPr>
            <w:tcW w:w="20" w:type="dxa"/>
            <w:vAlign w:val="bottom"/>
          </w:tcPr>
          <w:p>
            <w:pPr>
              <w:spacing w:after="0"/>
              <w:rPr>
                <w:sz w:val="20"/>
                <w:szCs w:val="20"/>
                <w:color w:val="auto"/>
              </w:rPr>
            </w:pPr>
          </w:p>
        </w:tc>
      </w:tr>
      <w:tr>
        <w:trPr>
          <w:trHeight w:val="223"/>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Tricor Direct, Inc.</w:t>
            </w:r>
          </w:p>
        </w:tc>
        <w:tc>
          <w:tcPr>
            <w:tcW w:w="2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Delaware</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20" w:type="dxa"/>
            <w:vAlign w:val="bottom"/>
          </w:tcPr>
          <w:p>
            <w:pPr>
              <w:spacing w:after="0"/>
              <w:rPr>
                <w:sz w:val="19"/>
                <w:szCs w:val="19"/>
                <w:color w:val="auto"/>
              </w:rPr>
            </w:pPr>
          </w:p>
        </w:tc>
      </w:tr>
      <w:tr>
        <w:trPr>
          <w:trHeight w:val="33"/>
        </w:trPr>
        <w:tc>
          <w:tcPr>
            <w:tcW w:w="42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4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Doing Business As:</w:t>
            </w:r>
          </w:p>
        </w:tc>
        <w:tc>
          <w:tcPr>
            <w:tcW w:w="27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96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24"/>
        </w:trPr>
        <w:tc>
          <w:tcPr>
            <w:tcW w:w="42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Champion Americas</w:t>
            </w:r>
          </w:p>
        </w:tc>
        <w:tc>
          <w:tcPr>
            <w:tcW w:w="2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3"/>
        </w:trPr>
        <w:tc>
          <w:tcPr>
            <w:tcW w:w="42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42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Emedco</w:t>
            </w:r>
          </w:p>
        </w:tc>
        <w:tc>
          <w:tcPr>
            <w:tcW w:w="27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96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53"/>
        </w:trPr>
        <w:tc>
          <w:tcPr>
            <w:tcW w:w="424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Seton</w:t>
            </w:r>
          </w:p>
        </w:tc>
        <w:tc>
          <w:tcPr>
            <w:tcW w:w="2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39"/>
        </w:trPr>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Worldmark of Wisconsin Inc.</w:t>
            </w:r>
          </w:p>
        </w:tc>
        <w:tc>
          <w:tcPr>
            <w:tcW w:w="27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1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Delaware</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20" w:type="dxa"/>
            <w:vAlign w:val="bottom"/>
          </w:tcPr>
          <w:p>
            <w:pPr>
              <w:spacing w:after="0"/>
              <w:rPr>
                <w:sz w:val="20"/>
                <w:szCs w:val="20"/>
                <w:color w:val="auto"/>
              </w:rPr>
            </w:pPr>
          </w:p>
        </w:tc>
      </w:tr>
      <w:tr>
        <w:trPr>
          <w:trHeight w:val="224"/>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AIO Acquisition Inc.</w:t>
            </w:r>
          </w:p>
        </w:tc>
        <w:tc>
          <w:tcPr>
            <w:tcW w:w="2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Delaware</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20" w:type="dxa"/>
            <w:vAlign w:val="bottom"/>
          </w:tcPr>
          <w:p>
            <w:pPr>
              <w:spacing w:after="0"/>
              <w:rPr>
                <w:sz w:val="19"/>
                <w:szCs w:val="19"/>
                <w:color w:val="auto"/>
              </w:rPr>
            </w:pPr>
          </w:p>
        </w:tc>
      </w:tr>
      <w:tr>
        <w:trPr>
          <w:trHeight w:val="33"/>
        </w:trPr>
        <w:tc>
          <w:tcPr>
            <w:tcW w:w="42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4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Doing Business As:</w:t>
            </w:r>
          </w:p>
        </w:tc>
        <w:tc>
          <w:tcPr>
            <w:tcW w:w="27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96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54"/>
        </w:trPr>
        <w:tc>
          <w:tcPr>
            <w:tcW w:w="424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All-On-One Products</w:t>
            </w:r>
          </w:p>
        </w:tc>
        <w:tc>
          <w:tcPr>
            <w:tcW w:w="2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9"/>
        </w:trPr>
        <w:tc>
          <w:tcPr>
            <w:tcW w:w="42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Personnel Concepts</w:t>
            </w:r>
          </w:p>
        </w:tc>
        <w:tc>
          <w:tcPr>
            <w:tcW w:w="27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96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24"/>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Brady Holdings Mexico LLC</w:t>
            </w:r>
          </w:p>
        </w:tc>
        <w:tc>
          <w:tcPr>
            <w:tcW w:w="2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Delaware</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20" w:type="dxa"/>
            <w:vAlign w:val="bottom"/>
          </w:tcPr>
          <w:p>
            <w:pPr>
              <w:spacing w:after="0"/>
              <w:rPr>
                <w:sz w:val="19"/>
                <w:szCs w:val="19"/>
                <w:color w:val="auto"/>
              </w:rPr>
            </w:pPr>
          </w:p>
        </w:tc>
      </w:tr>
      <w:tr>
        <w:trPr>
          <w:trHeight w:val="33"/>
        </w:trPr>
        <w:tc>
          <w:tcPr>
            <w:tcW w:w="42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Clement Communications, Incorporated</w:t>
            </w:r>
          </w:p>
        </w:tc>
        <w:tc>
          <w:tcPr>
            <w:tcW w:w="27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1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Pennsylvania</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20" w:type="dxa"/>
            <w:vAlign w:val="bottom"/>
          </w:tcPr>
          <w:p>
            <w:pPr>
              <w:spacing w:after="0"/>
              <w:rPr>
                <w:sz w:val="20"/>
                <w:szCs w:val="20"/>
                <w:color w:val="auto"/>
              </w:rPr>
            </w:pPr>
          </w:p>
        </w:tc>
      </w:tr>
      <w:tr>
        <w:trPr>
          <w:trHeight w:val="223"/>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Brady International Co.</w:t>
            </w:r>
          </w:p>
        </w:tc>
        <w:tc>
          <w:tcPr>
            <w:tcW w:w="2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Wisconsin</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20" w:type="dxa"/>
            <w:vAlign w:val="bottom"/>
          </w:tcPr>
          <w:p>
            <w:pPr>
              <w:spacing w:after="0"/>
              <w:rPr>
                <w:sz w:val="19"/>
                <w:szCs w:val="19"/>
                <w:color w:val="auto"/>
              </w:rPr>
            </w:pPr>
          </w:p>
        </w:tc>
      </w:tr>
      <w:tr>
        <w:trPr>
          <w:trHeight w:val="33"/>
        </w:trPr>
        <w:tc>
          <w:tcPr>
            <w:tcW w:w="42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Brady Worldwide, Inc.</w:t>
            </w:r>
          </w:p>
        </w:tc>
        <w:tc>
          <w:tcPr>
            <w:tcW w:w="27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1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Wisconsin</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20" w:type="dxa"/>
            <w:vAlign w:val="bottom"/>
          </w:tcPr>
          <w:p>
            <w:pPr>
              <w:spacing w:after="0"/>
              <w:rPr>
                <w:sz w:val="20"/>
                <w:szCs w:val="20"/>
                <w:color w:val="auto"/>
              </w:rPr>
            </w:pPr>
          </w:p>
        </w:tc>
      </w:tr>
      <w:tr>
        <w:trPr>
          <w:trHeight w:val="253"/>
        </w:trPr>
        <w:tc>
          <w:tcPr>
            <w:tcW w:w="4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Doing Business As:</w:t>
            </w:r>
          </w:p>
        </w:tc>
        <w:tc>
          <w:tcPr>
            <w:tcW w:w="2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60"/>
        </w:trPr>
        <w:tc>
          <w:tcPr>
            <w:tcW w:w="42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Electromark</w:t>
            </w:r>
          </w:p>
        </w:tc>
        <w:tc>
          <w:tcPr>
            <w:tcW w:w="27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96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53"/>
        </w:trPr>
        <w:tc>
          <w:tcPr>
            <w:tcW w:w="424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Sorbent Products Company</w:t>
            </w:r>
          </w:p>
        </w:tc>
        <w:tc>
          <w:tcPr>
            <w:tcW w:w="2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60"/>
        </w:trPr>
        <w:tc>
          <w:tcPr>
            <w:tcW w:w="42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TISCOR</w:t>
            </w:r>
          </w:p>
        </w:tc>
        <w:tc>
          <w:tcPr>
            <w:tcW w:w="27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96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23"/>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Precision Dynamics Corporation</w:t>
            </w:r>
          </w:p>
        </w:tc>
        <w:tc>
          <w:tcPr>
            <w:tcW w:w="2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California</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20" w:type="dxa"/>
            <w:vAlign w:val="bottom"/>
          </w:tcPr>
          <w:p>
            <w:pPr>
              <w:spacing w:after="0"/>
              <w:rPr>
                <w:sz w:val="19"/>
                <w:szCs w:val="19"/>
                <w:color w:val="auto"/>
              </w:rPr>
            </w:pPr>
          </w:p>
        </w:tc>
      </w:tr>
      <w:tr>
        <w:trPr>
          <w:trHeight w:val="33"/>
        </w:trPr>
        <w:tc>
          <w:tcPr>
            <w:tcW w:w="42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6"/>
        </w:trPr>
        <w:tc>
          <w:tcPr>
            <w:tcW w:w="4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Doing Business As:</w:t>
            </w:r>
          </w:p>
        </w:tc>
        <w:tc>
          <w:tcPr>
            <w:tcW w:w="27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96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13"/>
        </w:trPr>
        <w:tc>
          <w:tcPr>
            <w:tcW w:w="424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Brady People ID</w:t>
            </w:r>
          </w:p>
        </w:tc>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9"/>
        </w:trPr>
        <w:tc>
          <w:tcPr>
            <w:tcW w:w="42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Dual Core</w:t>
            </w:r>
          </w:p>
        </w:tc>
        <w:tc>
          <w:tcPr>
            <w:tcW w:w="2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54"/>
        </w:trPr>
        <w:tc>
          <w:tcPr>
            <w:tcW w:w="424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IDenticard</w:t>
            </w:r>
          </w:p>
        </w:tc>
        <w:tc>
          <w:tcPr>
            <w:tcW w:w="2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9"/>
        </w:trPr>
        <w:tc>
          <w:tcPr>
            <w:tcW w:w="42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PDC IDenticard</w:t>
            </w:r>
          </w:p>
        </w:tc>
        <w:tc>
          <w:tcPr>
            <w:tcW w:w="27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96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53"/>
        </w:trPr>
        <w:tc>
          <w:tcPr>
            <w:tcW w:w="424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Pharmex</w:t>
            </w:r>
          </w:p>
        </w:tc>
        <w:tc>
          <w:tcPr>
            <w:tcW w:w="2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60"/>
        </w:trPr>
        <w:tc>
          <w:tcPr>
            <w:tcW w:w="42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PromoVision</w:t>
            </w:r>
          </w:p>
        </w:tc>
        <w:tc>
          <w:tcPr>
            <w:tcW w:w="27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96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54"/>
        </w:trPr>
        <w:tc>
          <w:tcPr>
            <w:tcW w:w="424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TimeMed Labeling Systems</w:t>
            </w:r>
          </w:p>
        </w:tc>
        <w:tc>
          <w:tcPr>
            <w:tcW w:w="2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39"/>
        </w:trPr>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Idem Indemnity, Inc.</w:t>
            </w:r>
          </w:p>
        </w:tc>
        <w:tc>
          <w:tcPr>
            <w:tcW w:w="27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1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w w:val="98"/>
              </w:rPr>
              <w:t>Vermont</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20" w:type="dxa"/>
            <w:vAlign w:val="bottom"/>
          </w:tcPr>
          <w:p>
            <w:pPr>
              <w:spacing w:after="0"/>
              <w:rPr>
                <w:sz w:val="20"/>
                <w:szCs w:val="20"/>
                <w:color w:val="auto"/>
              </w:rPr>
            </w:pPr>
          </w:p>
        </w:tc>
      </w:tr>
      <w:tr>
        <w:trPr>
          <w:trHeight w:val="223"/>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Brady Australia Holdings Pty. Ltd.</w:t>
            </w:r>
          </w:p>
        </w:tc>
        <w:tc>
          <w:tcPr>
            <w:tcW w:w="2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Australia</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20" w:type="dxa"/>
            <w:vAlign w:val="bottom"/>
          </w:tcPr>
          <w:p>
            <w:pPr>
              <w:spacing w:after="0"/>
              <w:rPr>
                <w:sz w:val="19"/>
                <w:szCs w:val="19"/>
                <w:color w:val="auto"/>
              </w:rPr>
            </w:pPr>
          </w:p>
        </w:tc>
      </w:tr>
      <w:tr>
        <w:trPr>
          <w:trHeight w:val="33"/>
        </w:trPr>
        <w:tc>
          <w:tcPr>
            <w:tcW w:w="42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6"/>
        </w:trPr>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Brady Australia Pty. Ltd.</w:t>
            </w:r>
          </w:p>
        </w:tc>
        <w:tc>
          <w:tcPr>
            <w:tcW w:w="27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1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Australia</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20" w:type="dxa"/>
            <w:vAlign w:val="bottom"/>
          </w:tcPr>
          <w:p>
            <w:pPr>
              <w:spacing w:after="0"/>
              <w:rPr>
                <w:sz w:val="20"/>
                <w:szCs w:val="20"/>
                <w:color w:val="auto"/>
              </w:rPr>
            </w:pPr>
          </w:p>
        </w:tc>
      </w:tr>
      <w:tr>
        <w:trPr>
          <w:trHeight w:val="254"/>
        </w:trPr>
        <w:tc>
          <w:tcPr>
            <w:tcW w:w="4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Doing Business As:</w:t>
            </w:r>
          </w:p>
        </w:tc>
        <w:tc>
          <w:tcPr>
            <w:tcW w:w="2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9"/>
        </w:trPr>
        <w:tc>
          <w:tcPr>
            <w:tcW w:w="42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Scafflag Australia</w:t>
            </w:r>
          </w:p>
        </w:tc>
        <w:tc>
          <w:tcPr>
            <w:tcW w:w="27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96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53"/>
        </w:trPr>
        <w:tc>
          <w:tcPr>
            <w:tcW w:w="424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Seton Australia</w:t>
            </w:r>
          </w:p>
        </w:tc>
        <w:tc>
          <w:tcPr>
            <w:tcW w:w="2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60"/>
        </w:trPr>
        <w:tc>
          <w:tcPr>
            <w:tcW w:w="42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Trafalgar First Aid</w:t>
            </w:r>
          </w:p>
        </w:tc>
        <w:tc>
          <w:tcPr>
            <w:tcW w:w="27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96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24"/>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Carroll Australasia Pty. Ltd.</w:t>
            </w:r>
          </w:p>
        </w:tc>
        <w:tc>
          <w:tcPr>
            <w:tcW w:w="2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Australia</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20" w:type="dxa"/>
            <w:vAlign w:val="bottom"/>
          </w:tcPr>
          <w:p>
            <w:pPr>
              <w:spacing w:after="0"/>
              <w:rPr>
                <w:sz w:val="19"/>
                <w:szCs w:val="19"/>
                <w:color w:val="auto"/>
              </w:rPr>
            </w:pPr>
          </w:p>
        </w:tc>
      </w:tr>
      <w:tr>
        <w:trPr>
          <w:trHeight w:val="33"/>
        </w:trPr>
        <w:tc>
          <w:tcPr>
            <w:tcW w:w="42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6"/>
        </w:trPr>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ID Warehouse Pty. Ltd.</w:t>
            </w:r>
          </w:p>
        </w:tc>
        <w:tc>
          <w:tcPr>
            <w:tcW w:w="27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1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Australia</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20" w:type="dxa"/>
            <w:vAlign w:val="bottom"/>
          </w:tcPr>
          <w:p>
            <w:pPr>
              <w:spacing w:after="0"/>
              <w:rPr>
                <w:sz w:val="20"/>
                <w:szCs w:val="20"/>
                <w:color w:val="auto"/>
              </w:rPr>
            </w:pPr>
          </w:p>
        </w:tc>
      </w:tr>
      <w:tr>
        <w:trPr>
          <w:trHeight w:val="224"/>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Precision Dynamics Europe Sprl</w:t>
            </w:r>
          </w:p>
        </w:tc>
        <w:tc>
          <w:tcPr>
            <w:tcW w:w="2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Belgium</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20" w:type="dxa"/>
            <w:vAlign w:val="bottom"/>
          </w:tcPr>
          <w:p>
            <w:pPr>
              <w:spacing w:after="0"/>
              <w:rPr>
                <w:sz w:val="19"/>
                <w:szCs w:val="19"/>
                <w:color w:val="auto"/>
              </w:rPr>
            </w:pPr>
          </w:p>
        </w:tc>
      </w:tr>
      <w:tr>
        <w:trPr>
          <w:trHeight w:val="33"/>
        </w:trPr>
        <w:tc>
          <w:tcPr>
            <w:tcW w:w="42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6"/>
        </w:trPr>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Transposafe Systems Belgium NV/SA</w:t>
            </w:r>
          </w:p>
        </w:tc>
        <w:tc>
          <w:tcPr>
            <w:tcW w:w="27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1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Belgium</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20" w:type="dxa"/>
            <w:vAlign w:val="bottom"/>
          </w:tcPr>
          <w:p>
            <w:pPr>
              <w:spacing w:after="0"/>
              <w:rPr>
                <w:sz w:val="20"/>
                <w:szCs w:val="20"/>
                <w:color w:val="auto"/>
              </w:rPr>
            </w:pPr>
          </w:p>
        </w:tc>
      </w:tr>
      <w:tr>
        <w:trPr>
          <w:trHeight w:val="223"/>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W.H. Brady N.V.</w:t>
            </w:r>
          </w:p>
        </w:tc>
        <w:tc>
          <w:tcPr>
            <w:tcW w:w="2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Belgium</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20" w:type="dxa"/>
            <w:vAlign w:val="bottom"/>
          </w:tcPr>
          <w:p>
            <w:pPr>
              <w:spacing w:after="0"/>
              <w:rPr>
                <w:sz w:val="19"/>
                <w:szCs w:val="19"/>
                <w:color w:val="auto"/>
              </w:rPr>
            </w:pPr>
          </w:p>
        </w:tc>
      </w:tr>
      <w:tr>
        <w:trPr>
          <w:trHeight w:val="33"/>
        </w:trPr>
        <w:tc>
          <w:tcPr>
            <w:tcW w:w="42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6"/>
        </w:trPr>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W.H.B. do Brasil Ltda.</w:t>
            </w:r>
          </w:p>
        </w:tc>
        <w:tc>
          <w:tcPr>
            <w:tcW w:w="27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1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Brazil</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20" w:type="dxa"/>
            <w:vAlign w:val="bottom"/>
          </w:tcPr>
          <w:p>
            <w:pPr>
              <w:spacing w:after="0"/>
              <w:rPr>
                <w:sz w:val="20"/>
                <w:szCs w:val="20"/>
                <w:color w:val="auto"/>
              </w:rPr>
            </w:pPr>
          </w:p>
        </w:tc>
      </w:tr>
      <w:tr>
        <w:trPr>
          <w:trHeight w:val="223"/>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BRC Financial</w:t>
            </w:r>
          </w:p>
        </w:tc>
        <w:tc>
          <w:tcPr>
            <w:tcW w:w="2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Canada</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20" w:type="dxa"/>
            <w:vAlign w:val="bottom"/>
          </w:tcPr>
          <w:p>
            <w:pPr>
              <w:spacing w:after="0"/>
              <w:rPr>
                <w:sz w:val="19"/>
                <w:szCs w:val="19"/>
                <w:color w:val="auto"/>
              </w:rPr>
            </w:pPr>
          </w:p>
        </w:tc>
      </w:tr>
      <w:tr>
        <w:trPr>
          <w:trHeight w:val="33"/>
        </w:trPr>
        <w:tc>
          <w:tcPr>
            <w:tcW w:w="42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6"/>
        </w:trPr>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W.H.B. Identification Solutions Inc.</w:t>
            </w:r>
          </w:p>
        </w:tc>
        <w:tc>
          <w:tcPr>
            <w:tcW w:w="27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1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w w:val="99"/>
              </w:rPr>
              <w:t>Canada</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20" w:type="dxa"/>
            <w:vAlign w:val="bottom"/>
          </w:tcPr>
          <w:p>
            <w:pPr>
              <w:spacing w:after="0"/>
              <w:rPr>
                <w:sz w:val="20"/>
                <w:szCs w:val="20"/>
                <w:color w:val="auto"/>
              </w:rPr>
            </w:pPr>
          </w:p>
        </w:tc>
      </w:tr>
      <w:tr>
        <w:trPr>
          <w:trHeight w:val="253"/>
        </w:trPr>
        <w:tc>
          <w:tcPr>
            <w:tcW w:w="4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Doing Business As:</w:t>
            </w:r>
          </w:p>
        </w:tc>
        <w:tc>
          <w:tcPr>
            <w:tcW w:w="2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60"/>
        </w:trPr>
        <w:tc>
          <w:tcPr>
            <w:tcW w:w="42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Brady</w:t>
            </w:r>
          </w:p>
        </w:tc>
        <w:tc>
          <w:tcPr>
            <w:tcW w:w="27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96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13"/>
        </w:trPr>
        <w:tc>
          <w:tcPr>
            <w:tcW w:w="424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Electromark</w:t>
            </w:r>
          </w:p>
        </w:tc>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9"/>
        </w:trPr>
        <w:tc>
          <w:tcPr>
            <w:tcW w:w="42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IDenticard</w:t>
            </w:r>
          </w:p>
        </w:tc>
        <w:tc>
          <w:tcPr>
            <w:tcW w:w="2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3"/>
        </w:trPr>
        <w:tc>
          <w:tcPr>
            <w:tcW w:w="424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Seton</w:t>
            </w:r>
          </w:p>
        </w:tc>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9"/>
        </w:trPr>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Brady (Beijing) Co. Ltd.</w:t>
            </w:r>
          </w:p>
        </w:tc>
        <w:tc>
          <w:tcPr>
            <w:tcW w:w="27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1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China</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20" w:type="dxa"/>
            <w:vAlign w:val="bottom"/>
          </w:tcPr>
          <w:p>
            <w:pPr>
              <w:spacing w:after="0"/>
              <w:rPr>
                <w:sz w:val="20"/>
                <w:szCs w:val="20"/>
                <w:color w:val="auto"/>
              </w:rPr>
            </w:pPr>
          </w:p>
        </w:tc>
      </w:tr>
      <w:tr>
        <w:trPr>
          <w:trHeight w:val="223"/>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Brady (Xiamen) Co., Ltd.</w:t>
            </w:r>
          </w:p>
        </w:tc>
        <w:tc>
          <w:tcPr>
            <w:tcW w:w="2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China</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20" w:type="dxa"/>
            <w:vAlign w:val="bottom"/>
          </w:tcPr>
          <w:p>
            <w:pPr>
              <w:spacing w:after="0"/>
              <w:rPr>
                <w:sz w:val="19"/>
                <w:szCs w:val="19"/>
                <w:color w:val="auto"/>
              </w:rPr>
            </w:pPr>
          </w:p>
        </w:tc>
      </w:tr>
      <w:tr>
        <w:trPr>
          <w:trHeight w:val="33"/>
        </w:trPr>
        <w:tc>
          <w:tcPr>
            <w:tcW w:w="42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Brady Investment Management (Shanghai) Co., Ltd.</w:t>
            </w:r>
          </w:p>
        </w:tc>
        <w:tc>
          <w:tcPr>
            <w:tcW w:w="2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China</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20" w:type="dxa"/>
            <w:vAlign w:val="bottom"/>
          </w:tcPr>
          <w:p>
            <w:pPr>
              <w:spacing w:after="0"/>
              <w:rPr>
                <w:sz w:val="19"/>
                <w:szCs w:val="19"/>
                <w:color w:val="auto"/>
              </w:rPr>
            </w:pPr>
          </w:p>
        </w:tc>
      </w:tr>
      <w:tr>
        <w:trPr>
          <w:trHeight w:val="33"/>
        </w:trPr>
        <w:tc>
          <w:tcPr>
            <w:tcW w:w="4240" w:type="dxa"/>
            <w:vAlign w:val="bottom"/>
            <w:shd w:val="clear" w:color="auto" w:fill="CCEEFF"/>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r>
    </w:tbl>
    <w:p>
      <w:pPr>
        <w:sectPr>
          <w:pgSz w:w="11900" w:h="16838" w:orient="portrait"/>
          <w:cols w:equalWidth="0" w:num="1">
            <w:col w:w="11200"/>
          </w:cols>
          <w:pgMar w:left="360" w:top="1238" w:right="339" w:bottom="325" w:gutter="0" w:footer="0" w:header="0"/>
        </w:sectPr>
      </w:pPr>
    </w:p>
    <w:bookmarkStart w:id="144" w:name="page145"/>
    <w:bookmarkEnd w:id="14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210"/>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Brady Printing (Shenzhen) Co., Ltd.</w:t>
            </w:r>
          </w:p>
        </w:tc>
        <w:tc>
          <w:tcPr>
            <w:tcW w:w="4220" w:type="dxa"/>
            <w:vAlign w:val="bottom"/>
          </w:tcPr>
          <w:p>
            <w:pPr>
              <w:jc w:val="center"/>
              <w:ind w:left="1519"/>
              <w:spacing w:after="0"/>
              <w:rPr>
                <w:sz w:val="20"/>
                <w:szCs w:val="20"/>
                <w:color w:val="auto"/>
              </w:rPr>
            </w:pPr>
            <w:r>
              <w:rPr>
                <w:rFonts w:ascii="Times New Roman" w:cs="Times New Roman" w:eastAsia="Times New Roman" w:hAnsi="Times New Roman"/>
                <w:sz w:val="16"/>
                <w:szCs w:val="16"/>
                <w:color w:val="auto"/>
                <w:w w:val="99"/>
              </w:rPr>
              <w:t>China</w:t>
            </w:r>
          </w:p>
        </w:tc>
        <w:tc>
          <w:tcPr>
            <w:tcW w:w="176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rPr>
              <w:t>100%</w:t>
            </w:r>
          </w:p>
        </w:tc>
      </w:tr>
      <w:tr>
        <w:trPr>
          <w:trHeight w:val="33"/>
        </w:trPr>
        <w:tc>
          <w:tcPr>
            <w:tcW w:w="520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Brady Technology (Wuxi) Co. Ltd.</w:t>
            </w:r>
          </w:p>
        </w:tc>
        <w:tc>
          <w:tcPr>
            <w:tcW w:w="4220" w:type="dxa"/>
            <w:vAlign w:val="bottom"/>
            <w:tcBorders>
              <w:bottom w:val="single" w:sz="8" w:color="CCEEFF"/>
            </w:tcBorders>
            <w:shd w:val="clear" w:color="auto" w:fill="CCEEFF"/>
          </w:tcPr>
          <w:p>
            <w:pPr>
              <w:jc w:val="center"/>
              <w:ind w:left="1519"/>
              <w:spacing w:after="0"/>
              <w:rPr>
                <w:sz w:val="20"/>
                <w:szCs w:val="20"/>
                <w:color w:val="auto"/>
              </w:rPr>
            </w:pPr>
            <w:r>
              <w:rPr>
                <w:rFonts w:ascii="Times New Roman" w:cs="Times New Roman" w:eastAsia="Times New Roman" w:hAnsi="Times New Roman"/>
                <w:sz w:val="16"/>
                <w:szCs w:val="16"/>
                <w:color w:val="auto"/>
                <w:w w:val="99"/>
              </w:rPr>
              <w:t>China</w:t>
            </w:r>
          </w:p>
        </w:tc>
        <w:tc>
          <w:tcPr>
            <w:tcW w:w="1760" w:type="dxa"/>
            <w:vAlign w:val="bottom"/>
            <w:tcBorders>
              <w:bottom w:val="single" w:sz="8" w:color="CCEEFF"/>
            </w:tcBorders>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rPr>
              <w:t>100%</w:t>
            </w:r>
          </w:p>
        </w:tc>
      </w:tr>
      <w:tr>
        <w:trPr>
          <w:trHeight w:val="224"/>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Brady A/S</w:t>
            </w:r>
          </w:p>
        </w:tc>
        <w:tc>
          <w:tcPr>
            <w:tcW w:w="4220" w:type="dxa"/>
            <w:vAlign w:val="bottom"/>
          </w:tcPr>
          <w:p>
            <w:pPr>
              <w:jc w:val="center"/>
              <w:ind w:left="1539"/>
              <w:spacing w:after="0"/>
              <w:rPr>
                <w:sz w:val="20"/>
                <w:szCs w:val="20"/>
                <w:color w:val="auto"/>
              </w:rPr>
            </w:pPr>
            <w:r>
              <w:rPr>
                <w:rFonts w:ascii="Times New Roman" w:cs="Times New Roman" w:eastAsia="Times New Roman" w:hAnsi="Times New Roman"/>
                <w:sz w:val="16"/>
                <w:szCs w:val="16"/>
                <w:color w:val="auto"/>
              </w:rPr>
              <w:t>Denmark</w:t>
            </w:r>
          </w:p>
        </w:tc>
        <w:tc>
          <w:tcPr>
            <w:tcW w:w="176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rPr>
              <w:t>100%</w:t>
            </w:r>
          </w:p>
        </w:tc>
      </w:tr>
      <w:tr>
        <w:trPr>
          <w:trHeight w:val="33"/>
        </w:trPr>
        <w:tc>
          <w:tcPr>
            <w:tcW w:w="520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Braton Europe S.A.R.L.</w:t>
            </w:r>
          </w:p>
        </w:tc>
        <w:tc>
          <w:tcPr>
            <w:tcW w:w="4220" w:type="dxa"/>
            <w:vAlign w:val="bottom"/>
            <w:tcBorders>
              <w:bottom w:val="single" w:sz="8" w:color="CCEEFF"/>
            </w:tcBorders>
            <w:shd w:val="clear" w:color="auto" w:fill="CCEEFF"/>
          </w:tcPr>
          <w:p>
            <w:pPr>
              <w:jc w:val="center"/>
              <w:ind w:left="1539"/>
              <w:spacing w:after="0"/>
              <w:rPr>
                <w:sz w:val="20"/>
                <w:szCs w:val="20"/>
                <w:color w:val="auto"/>
              </w:rPr>
            </w:pPr>
            <w:r>
              <w:rPr>
                <w:rFonts w:ascii="Times New Roman" w:cs="Times New Roman" w:eastAsia="Times New Roman" w:hAnsi="Times New Roman"/>
                <w:sz w:val="16"/>
                <w:szCs w:val="16"/>
                <w:color w:val="auto"/>
              </w:rPr>
              <w:t>France</w:t>
            </w:r>
          </w:p>
        </w:tc>
        <w:tc>
          <w:tcPr>
            <w:tcW w:w="1760" w:type="dxa"/>
            <w:vAlign w:val="bottom"/>
            <w:tcBorders>
              <w:bottom w:val="single" w:sz="8" w:color="CCEEFF"/>
            </w:tcBorders>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rPr>
              <w:t>100%</w:t>
            </w:r>
          </w:p>
        </w:tc>
      </w:tr>
      <w:tr>
        <w:trPr>
          <w:trHeight w:val="223"/>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Brady Groupe S.A.S.</w:t>
            </w:r>
          </w:p>
        </w:tc>
        <w:tc>
          <w:tcPr>
            <w:tcW w:w="4220" w:type="dxa"/>
            <w:vAlign w:val="bottom"/>
          </w:tcPr>
          <w:p>
            <w:pPr>
              <w:jc w:val="center"/>
              <w:ind w:left="1539"/>
              <w:spacing w:after="0"/>
              <w:rPr>
                <w:sz w:val="20"/>
                <w:szCs w:val="20"/>
                <w:color w:val="auto"/>
              </w:rPr>
            </w:pPr>
            <w:r>
              <w:rPr>
                <w:rFonts w:ascii="Times New Roman" w:cs="Times New Roman" w:eastAsia="Times New Roman" w:hAnsi="Times New Roman"/>
                <w:sz w:val="16"/>
                <w:szCs w:val="16"/>
                <w:color w:val="auto"/>
              </w:rPr>
              <w:t>France</w:t>
            </w:r>
          </w:p>
        </w:tc>
        <w:tc>
          <w:tcPr>
            <w:tcW w:w="176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rPr>
              <w:t>100%</w:t>
            </w:r>
          </w:p>
        </w:tc>
      </w:tr>
      <w:tr>
        <w:trPr>
          <w:trHeight w:val="33"/>
        </w:trPr>
        <w:tc>
          <w:tcPr>
            <w:tcW w:w="520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16"/>
        </w:trPr>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Doing Business As:</w:t>
            </w:r>
          </w:p>
        </w:tc>
        <w:tc>
          <w:tcPr>
            <w:tcW w:w="42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3"/>
        </w:trPr>
        <w:tc>
          <w:tcPr>
            <w:tcW w:w="520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BIG/PDC</w:t>
            </w:r>
          </w:p>
        </w:tc>
        <w:tc>
          <w:tcPr>
            <w:tcW w:w="422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9"/>
        </w:trPr>
        <w:tc>
          <w:tcPr>
            <w:tcW w:w="52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Seton</w:t>
            </w:r>
          </w:p>
        </w:tc>
        <w:tc>
          <w:tcPr>
            <w:tcW w:w="42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13"/>
        </w:trPr>
        <w:tc>
          <w:tcPr>
            <w:tcW w:w="520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Signals</w:t>
            </w:r>
          </w:p>
        </w:tc>
        <w:tc>
          <w:tcPr>
            <w:tcW w:w="422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39"/>
        </w:trPr>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Securimed S.A.S.</w:t>
            </w:r>
          </w:p>
        </w:tc>
        <w:tc>
          <w:tcPr>
            <w:tcW w:w="4220" w:type="dxa"/>
            <w:vAlign w:val="bottom"/>
            <w:tcBorders>
              <w:bottom w:val="single" w:sz="8" w:color="CCEEFF"/>
            </w:tcBorders>
            <w:shd w:val="clear" w:color="auto" w:fill="CCEEFF"/>
          </w:tcPr>
          <w:p>
            <w:pPr>
              <w:jc w:val="center"/>
              <w:ind w:left="1539"/>
              <w:spacing w:after="0"/>
              <w:rPr>
                <w:sz w:val="20"/>
                <w:szCs w:val="20"/>
                <w:color w:val="auto"/>
              </w:rPr>
            </w:pPr>
            <w:r>
              <w:rPr>
                <w:rFonts w:ascii="Times New Roman" w:cs="Times New Roman" w:eastAsia="Times New Roman" w:hAnsi="Times New Roman"/>
                <w:sz w:val="16"/>
                <w:szCs w:val="16"/>
                <w:color w:val="auto"/>
              </w:rPr>
              <w:t>France</w:t>
            </w:r>
          </w:p>
        </w:tc>
        <w:tc>
          <w:tcPr>
            <w:tcW w:w="1760" w:type="dxa"/>
            <w:vAlign w:val="bottom"/>
            <w:tcBorders>
              <w:bottom w:val="single" w:sz="8" w:color="CCEEFF"/>
            </w:tcBorders>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rPr>
              <w:t>100%</w:t>
            </w:r>
          </w:p>
        </w:tc>
      </w:tr>
      <w:tr>
        <w:trPr>
          <w:trHeight w:val="223"/>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Brady GmbH</w:t>
            </w:r>
          </w:p>
        </w:tc>
        <w:tc>
          <w:tcPr>
            <w:tcW w:w="4220" w:type="dxa"/>
            <w:vAlign w:val="bottom"/>
          </w:tcPr>
          <w:p>
            <w:pPr>
              <w:jc w:val="center"/>
              <w:ind w:left="1539"/>
              <w:spacing w:after="0"/>
              <w:rPr>
                <w:sz w:val="20"/>
                <w:szCs w:val="20"/>
                <w:color w:val="auto"/>
              </w:rPr>
            </w:pPr>
            <w:r>
              <w:rPr>
                <w:rFonts w:ascii="Times New Roman" w:cs="Times New Roman" w:eastAsia="Times New Roman" w:hAnsi="Times New Roman"/>
                <w:sz w:val="16"/>
                <w:szCs w:val="16"/>
                <w:color w:val="auto"/>
              </w:rPr>
              <w:t>Germany</w:t>
            </w:r>
          </w:p>
        </w:tc>
        <w:tc>
          <w:tcPr>
            <w:tcW w:w="176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rPr>
              <w:t>100%</w:t>
            </w:r>
          </w:p>
        </w:tc>
      </w:tr>
      <w:tr>
        <w:trPr>
          <w:trHeight w:val="33"/>
        </w:trPr>
        <w:tc>
          <w:tcPr>
            <w:tcW w:w="520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16"/>
        </w:trPr>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Doing Business As:</w:t>
            </w:r>
          </w:p>
        </w:tc>
        <w:tc>
          <w:tcPr>
            <w:tcW w:w="42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3"/>
        </w:trPr>
        <w:tc>
          <w:tcPr>
            <w:tcW w:w="520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Seton</w:t>
            </w:r>
          </w:p>
        </w:tc>
        <w:tc>
          <w:tcPr>
            <w:tcW w:w="422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9"/>
        </w:trPr>
        <w:tc>
          <w:tcPr>
            <w:tcW w:w="52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Transposafe</w:t>
            </w:r>
          </w:p>
        </w:tc>
        <w:tc>
          <w:tcPr>
            <w:tcW w:w="42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24"/>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Bakee Metal Manufactory Company Limited</w:t>
            </w:r>
          </w:p>
        </w:tc>
        <w:tc>
          <w:tcPr>
            <w:tcW w:w="4220" w:type="dxa"/>
            <w:vAlign w:val="bottom"/>
          </w:tcPr>
          <w:p>
            <w:pPr>
              <w:jc w:val="center"/>
              <w:ind w:left="1539"/>
              <w:spacing w:after="0"/>
              <w:rPr>
                <w:sz w:val="20"/>
                <w:szCs w:val="20"/>
                <w:color w:val="auto"/>
              </w:rPr>
            </w:pPr>
            <w:r>
              <w:rPr>
                <w:rFonts w:ascii="Times New Roman" w:cs="Times New Roman" w:eastAsia="Times New Roman" w:hAnsi="Times New Roman"/>
                <w:sz w:val="16"/>
                <w:szCs w:val="16"/>
                <w:color w:val="auto"/>
              </w:rPr>
              <w:t>Hong Kong</w:t>
            </w:r>
          </w:p>
        </w:tc>
        <w:tc>
          <w:tcPr>
            <w:tcW w:w="176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rPr>
              <w:t>100%</w:t>
            </w:r>
          </w:p>
        </w:tc>
      </w:tr>
      <w:tr>
        <w:trPr>
          <w:trHeight w:val="33"/>
        </w:trPr>
        <w:tc>
          <w:tcPr>
            <w:tcW w:w="520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Brady Corporation Hong Kong Limited</w:t>
            </w:r>
          </w:p>
        </w:tc>
        <w:tc>
          <w:tcPr>
            <w:tcW w:w="4220" w:type="dxa"/>
            <w:vAlign w:val="bottom"/>
            <w:tcBorders>
              <w:bottom w:val="single" w:sz="8" w:color="CCEEFF"/>
            </w:tcBorders>
            <w:shd w:val="clear" w:color="auto" w:fill="CCEEFF"/>
          </w:tcPr>
          <w:p>
            <w:pPr>
              <w:jc w:val="center"/>
              <w:ind w:left="1539"/>
              <w:spacing w:after="0"/>
              <w:rPr>
                <w:sz w:val="20"/>
                <w:szCs w:val="20"/>
                <w:color w:val="auto"/>
              </w:rPr>
            </w:pPr>
            <w:r>
              <w:rPr>
                <w:rFonts w:ascii="Times New Roman" w:cs="Times New Roman" w:eastAsia="Times New Roman" w:hAnsi="Times New Roman"/>
                <w:sz w:val="16"/>
                <w:szCs w:val="16"/>
                <w:color w:val="auto"/>
              </w:rPr>
              <w:t>Hong Kong</w:t>
            </w:r>
          </w:p>
        </w:tc>
        <w:tc>
          <w:tcPr>
            <w:tcW w:w="1760" w:type="dxa"/>
            <w:vAlign w:val="bottom"/>
            <w:tcBorders>
              <w:bottom w:val="single" w:sz="8" w:color="CCEEFF"/>
            </w:tcBorders>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rPr>
              <w:t>100%</w:t>
            </w:r>
          </w:p>
        </w:tc>
      </w:tr>
      <w:tr>
        <w:trPr>
          <w:trHeight w:val="223"/>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Brady Company India Private Limited</w:t>
            </w:r>
          </w:p>
        </w:tc>
        <w:tc>
          <w:tcPr>
            <w:tcW w:w="4220" w:type="dxa"/>
            <w:vAlign w:val="bottom"/>
          </w:tcPr>
          <w:p>
            <w:pPr>
              <w:jc w:val="center"/>
              <w:ind w:left="1519"/>
              <w:spacing w:after="0"/>
              <w:rPr>
                <w:sz w:val="20"/>
                <w:szCs w:val="20"/>
                <w:color w:val="auto"/>
              </w:rPr>
            </w:pPr>
            <w:r>
              <w:rPr>
                <w:rFonts w:ascii="Times New Roman" w:cs="Times New Roman" w:eastAsia="Times New Roman" w:hAnsi="Times New Roman"/>
                <w:sz w:val="16"/>
                <w:szCs w:val="16"/>
                <w:color w:val="auto"/>
              </w:rPr>
              <w:t>India</w:t>
            </w:r>
          </w:p>
        </w:tc>
        <w:tc>
          <w:tcPr>
            <w:tcW w:w="176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rPr>
              <w:t>100%</w:t>
            </w:r>
          </w:p>
        </w:tc>
      </w:tr>
      <w:tr>
        <w:trPr>
          <w:trHeight w:val="33"/>
        </w:trPr>
        <w:tc>
          <w:tcPr>
            <w:tcW w:w="520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6"/>
        </w:trPr>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Brady Italia, S.r.l.</w:t>
            </w:r>
          </w:p>
        </w:tc>
        <w:tc>
          <w:tcPr>
            <w:tcW w:w="4220" w:type="dxa"/>
            <w:vAlign w:val="bottom"/>
            <w:tcBorders>
              <w:bottom w:val="single" w:sz="8" w:color="CCEEFF"/>
            </w:tcBorders>
            <w:shd w:val="clear" w:color="auto" w:fill="CCEEFF"/>
          </w:tcPr>
          <w:p>
            <w:pPr>
              <w:jc w:val="center"/>
              <w:ind w:left="1519"/>
              <w:spacing w:after="0"/>
              <w:rPr>
                <w:sz w:val="20"/>
                <w:szCs w:val="20"/>
                <w:color w:val="auto"/>
              </w:rPr>
            </w:pPr>
            <w:r>
              <w:rPr>
                <w:rFonts w:ascii="Times New Roman" w:cs="Times New Roman" w:eastAsia="Times New Roman" w:hAnsi="Times New Roman"/>
                <w:sz w:val="16"/>
                <w:szCs w:val="16"/>
                <w:color w:val="auto"/>
              </w:rPr>
              <w:t>Italy</w:t>
            </w:r>
          </w:p>
        </w:tc>
        <w:tc>
          <w:tcPr>
            <w:tcW w:w="1760" w:type="dxa"/>
            <w:vAlign w:val="bottom"/>
            <w:tcBorders>
              <w:bottom w:val="single" w:sz="8" w:color="CCEEFF"/>
            </w:tcBorders>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rPr>
              <w:t>100%</w:t>
            </w:r>
          </w:p>
        </w:tc>
      </w:tr>
      <w:tr>
        <w:trPr>
          <w:trHeight w:val="224"/>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Nippon Brady K.K.</w:t>
            </w:r>
          </w:p>
        </w:tc>
        <w:tc>
          <w:tcPr>
            <w:tcW w:w="4220" w:type="dxa"/>
            <w:vAlign w:val="bottom"/>
          </w:tcPr>
          <w:p>
            <w:pPr>
              <w:jc w:val="center"/>
              <w:ind w:left="1539"/>
              <w:spacing w:after="0"/>
              <w:rPr>
                <w:sz w:val="20"/>
                <w:szCs w:val="20"/>
                <w:color w:val="auto"/>
              </w:rPr>
            </w:pPr>
            <w:r>
              <w:rPr>
                <w:rFonts w:ascii="Times New Roman" w:cs="Times New Roman" w:eastAsia="Times New Roman" w:hAnsi="Times New Roman"/>
                <w:sz w:val="16"/>
                <w:szCs w:val="16"/>
                <w:color w:val="auto"/>
                <w:w w:val="98"/>
              </w:rPr>
              <w:t>Japan</w:t>
            </w:r>
          </w:p>
        </w:tc>
        <w:tc>
          <w:tcPr>
            <w:tcW w:w="176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rPr>
              <w:t>100%</w:t>
            </w:r>
          </w:p>
        </w:tc>
      </w:tr>
      <w:tr>
        <w:trPr>
          <w:trHeight w:val="33"/>
        </w:trPr>
        <w:tc>
          <w:tcPr>
            <w:tcW w:w="520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Brady Finance Luxembourg S.à.r.l.</w:t>
            </w:r>
          </w:p>
        </w:tc>
        <w:tc>
          <w:tcPr>
            <w:tcW w:w="4220" w:type="dxa"/>
            <w:vAlign w:val="bottom"/>
            <w:tcBorders>
              <w:bottom w:val="single" w:sz="8" w:color="CCEEFF"/>
            </w:tcBorders>
            <w:shd w:val="clear" w:color="auto" w:fill="CCEEFF"/>
          </w:tcPr>
          <w:p>
            <w:pPr>
              <w:jc w:val="center"/>
              <w:ind w:left="1539"/>
              <w:spacing w:after="0"/>
              <w:rPr>
                <w:sz w:val="20"/>
                <w:szCs w:val="20"/>
                <w:color w:val="auto"/>
              </w:rPr>
            </w:pPr>
            <w:r>
              <w:rPr>
                <w:rFonts w:ascii="Times New Roman" w:cs="Times New Roman" w:eastAsia="Times New Roman" w:hAnsi="Times New Roman"/>
                <w:sz w:val="16"/>
                <w:szCs w:val="16"/>
                <w:color w:val="auto"/>
              </w:rPr>
              <w:t>Luxembourg</w:t>
            </w:r>
          </w:p>
        </w:tc>
        <w:tc>
          <w:tcPr>
            <w:tcW w:w="1760" w:type="dxa"/>
            <w:vAlign w:val="bottom"/>
            <w:tcBorders>
              <w:bottom w:val="single" w:sz="8" w:color="CCEEFF"/>
            </w:tcBorders>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rPr>
              <w:t>100%</w:t>
            </w:r>
          </w:p>
        </w:tc>
      </w:tr>
      <w:tr>
        <w:trPr>
          <w:trHeight w:val="223"/>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Brady Luxembourg S.à.r.l.</w:t>
            </w:r>
          </w:p>
        </w:tc>
        <w:tc>
          <w:tcPr>
            <w:tcW w:w="4220" w:type="dxa"/>
            <w:vAlign w:val="bottom"/>
          </w:tcPr>
          <w:p>
            <w:pPr>
              <w:jc w:val="center"/>
              <w:ind w:left="1539"/>
              <w:spacing w:after="0"/>
              <w:rPr>
                <w:sz w:val="20"/>
                <w:szCs w:val="20"/>
                <w:color w:val="auto"/>
              </w:rPr>
            </w:pPr>
            <w:r>
              <w:rPr>
                <w:rFonts w:ascii="Times New Roman" w:cs="Times New Roman" w:eastAsia="Times New Roman" w:hAnsi="Times New Roman"/>
                <w:sz w:val="16"/>
                <w:szCs w:val="16"/>
                <w:color w:val="auto"/>
              </w:rPr>
              <w:t>Luxembourg</w:t>
            </w:r>
          </w:p>
        </w:tc>
        <w:tc>
          <w:tcPr>
            <w:tcW w:w="176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rPr>
              <w:t>100%</w:t>
            </w:r>
          </w:p>
        </w:tc>
      </w:tr>
      <w:tr>
        <w:trPr>
          <w:trHeight w:val="33"/>
        </w:trPr>
        <w:tc>
          <w:tcPr>
            <w:tcW w:w="520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6"/>
        </w:trPr>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Brady S.à.r.l.</w:t>
            </w:r>
          </w:p>
        </w:tc>
        <w:tc>
          <w:tcPr>
            <w:tcW w:w="4220" w:type="dxa"/>
            <w:vAlign w:val="bottom"/>
            <w:tcBorders>
              <w:bottom w:val="single" w:sz="8" w:color="CCEEFF"/>
            </w:tcBorders>
            <w:shd w:val="clear" w:color="auto" w:fill="CCEEFF"/>
          </w:tcPr>
          <w:p>
            <w:pPr>
              <w:jc w:val="center"/>
              <w:ind w:left="1539"/>
              <w:spacing w:after="0"/>
              <w:rPr>
                <w:sz w:val="20"/>
                <w:szCs w:val="20"/>
                <w:color w:val="auto"/>
              </w:rPr>
            </w:pPr>
            <w:r>
              <w:rPr>
                <w:rFonts w:ascii="Times New Roman" w:cs="Times New Roman" w:eastAsia="Times New Roman" w:hAnsi="Times New Roman"/>
                <w:sz w:val="16"/>
                <w:szCs w:val="16"/>
                <w:color w:val="auto"/>
              </w:rPr>
              <w:t>Luxembourg</w:t>
            </w:r>
          </w:p>
        </w:tc>
        <w:tc>
          <w:tcPr>
            <w:tcW w:w="1760" w:type="dxa"/>
            <w:vAlign w:val="bottom"/>
            <w:tcBorders>
              <w:bottom w:val="single" w:sz="8" w:color="CCEEFF"/>
            </w:tcBorders>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rPr>
              <w:t>100%</w:t>
            </w:r>
          </w:p>
        </w:tc>
      </w:tr>
      <w:tr>
        <w:trPr>
          <w:trHeight w:val="224"/>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Brady Technology SDN. BHD.</w:t>
            </w:r>
          </w:p>
        </w:tc>
        <w:tc>
          <w:tcPr>
            <w:tcW w:w="4220" w:type="dxa"/>
            <w:vAlign w:val="bottom"/>
          </w:tcPr>
          <w:p>
            <w:pPr>
              <w:jc w:val="center"/>
              <w:ind w:left="1539"/>
              <w:spacing w:after="0"/>
              <w:rPr>
                <w:sz w:val="20"/>
                <w:szCs w:val="20"/>
                <w:color w:val="auto"/>
              </w:rPr>
            </w:pPr>
            <w:r>
              <w:rPr>
                <w:rFonts w:ascii="Times New Roman" w:cs="Times New Roman" w:eastAsia="Times New Roman" w:hAnsi="Times New Roman"/>
                <w:sz w:val="16"/>
                <w:szCs w:val="16"/>
                <w:color w:val="auto"/>
              </w:rPr>
              <w:t>Malaysia</w:t>
            </w:r>
          </w:p>
        </w:tc>
        <w:tc>
          <w:tcPr>
            <w:tcW w:w="176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rPr>
              <w:t>100%</w:t>
            </w:r>
          </w:p>
        </w:tc>
      </w:tr>
      <w:tr>
        <w:trPr>
          <w:trHeight w:val="33"/>
        </w:trPr>
        <w:tc>
          <w:tcPr>
            <w:tcW w:w="520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Brady Mexico, S. de R.L. de C.V.</w:t>
            </w:r>
          </w:p>
        </w:tc>
        <w:tc>
          <w:tcPr>
            <w:tcW w:w="4220" w:type="dxa"/>
            <w:vAlign w:val="bottom"/>
            <w:tcBorders>
              <w:bottom w:val="single" w:sz="8" w:color="CCEEFF"/>
            </w:tcBorders>
            <w:shd w:val="clear" w:color="auto" w:fill="CCEEFF"/>
          </w:tcPr>
          <w:p>
            <w:pPr>
              <w:jc w:val="center"/>
              <w:ind w:left="1519"/>
              <w:spacing w:after="0"/>
              <w:rPr>
                <w:sz w:val="20"/>
                <w:szCs w:val="20"/>
                <w:color w:val="auto"/>
              </w:rPr>
            </w:pPr>
            <w:r>
              <w:rPr>
                <w:rFonts w:ascii="Times New Roman" w:cs="Times New Roman" w:eastAsia="Times New Roman" w:hAnsi="Times New Roman"/>
                <w:sz w:val="16"/>
                <w:szCs w:val="16"/>
                <w:color w:val="auto"/>
              </w:rPr>
              <w:t>Mexico</w:t>
            </w:r>
          </w:p>
        </w:tc>
        <w:tc>
          <w:tcPr>
            <w:tcW w:w="1760" w:type="dxa"/>
            <w:vAlign w:val="bottom"/>
            <w:tcBorders>
              <w:bottom w:val="single" w:sz="8" w:color="CCEEFF"/>
            </w:tcBorders>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rPr>
              <w:t>100%</w:t>
            </w:r>
          </w:p>
        </w:tc>
      </w:tr>
      <w:tr>
        <w:trPr>
          <w:trHeight w:val="223"/>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W.H. Brady S. de R.L. de C.V.</w:t>
            </w:r>
          </w:p>
        </w:tc>
        <w:tc>
          <w:tcPr>
            <w:tcW w:w="4220" w:type="dxa"/>
            <w:vAlign w:val="bottom"/>
          </w:tcPr>
          <w:p>
            <w:pPr>
              <w:jc w:val="center"/>
              <w:ind w:left="1519"/>
              <w:spacing w:after="0"/>
              <w:rPr>
                <w:sz w:val="20"/>
                <w:szCs w:val="20"/>
                <w:color w:val="auto"/>
              </w:rPr>
            </w:pPr>
            <w:r>
              <w:rPr>
                <w:rFonts w:ascii="Times New Roman" w:cs="Times New Roman" w:eastAsia="Times New Roman" w:hAnsi="Times New Roman"/>
                <w:sz w:val="16"/>
                <w:szCs w:val="16"/>
                <w:color w:val="auto"/>
              </w:rPr>
              <w:t>Mexico</w:t>
            </w:r>
          </w:p>
        </w:tc>
        <w:tc>
          <w:tcPr>
            <w:tcW w:w="176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rPr>
              <w:t>100%</w:t>
            </w:r>
          </w:p>
        </w:tc>
      </w:tr>
      <w:tr>
        <w:trPr>
          <w:trHeight w:val="33"/>
        </w:trPr>
        <w:tc>
          <w:tcPr>
            <w:tcW w:w="520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Brady B.V.</w:t>
            </w:r>
          </w:p>
        </w:tc>
        <w:tc>
          <w:tcPr>
            <w:tcW w:w="4220" w:type="dxa"/>
            <w:vAlign w:val="bottom"/>
            <w:tcBorders>
              <w:bottom w:val="single" w:sz="8" w:color="CCEEFF"/>
            </w:tcBorders>
            <w:shd w:val="clear" w:color="auto" w:fill="CCEEFF"/>
          </w:tcPr>
          <w:p>
            <w:pPr>
              <w:jc w:val="center"/>
              <w:ind w:left="1519"/>
              <w:spacing w:after="0"/>
              <w:rPr>
                <w:sz w:val="20"/>
                <w:szCs w:val="20"/>
                <w:color w:val="auto"/>
              </w:rPr>
            </w:pPr>
            <w:r>
              <w:rPr>
                <w:rFonts w:ascii="Times New Roman" w:cs="Times New Roman" w:eastAsia="Times New Roman" w:hAnsi="Times New Roman"/>
                <w:sz w:val="16"/>
                <w:szCs w:val="16"/>
                <w:color w:val="auto"/>
              </w:rPr>
              <w:t>Netherlands</w:t>
            </w:r>
          </w:p>
        </w:tc>
        <w:tc>
          <w:tcPr>
            <w:tcW w:w="1760" w:type="dxa"/>
            <w:vAlign w:val="bottom"/>
            <w:tcBorders>
              <w:bottom w:val="single" w:sz="8" w:color="CCEEFF"/>
            </w:tcBorders>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rPr>
              <w:t>100%</w:t>
            </w:r>
          </w:p>
        </w:tc>
      </w:tr>
      <w:tr>
        <w:trPr>
          <w:trHeight w:val="223"/>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Brady Finance B.V.</w:t>
            </w:r>
          </w:p>
        </w:tc>
        <w:tc>
          <w:tcPr>
            <w:tcW w:w="4220" w:type="dxa"/>
            <w:vAlign w:val="bottom"/>
          </w:tcPr>
          <w:p>
            <w:pPr>
              <w:jc w:val="center"/>
              <w:ind w:left="1519"/>
              <w:spacing w:after="0"/>
              <w:rPr>
                <w:sz w:val="20"/>
                <w:szCs w:val="20"/>
                <w:color w:val="auto"/>
              </w:rPr>
            </w:pPr>
            <w:r>
              <w:rPr>
                <w:rFonts w:ascii="Times New Roman" w:cs="Times New Roman" w:eastAsia="Times New Roman" w:hAnsi="Times New Roman"/>
                <w:sz w:val="16"/>
                <w:szCs w:val="16"/>
                <w:color w:val="auto"/>
              </w:rPr>
              <w:t>Netherlands</w:t>
            </w:r>
          </w:p>
        </w:tc>
        <w:tc>
          <w:tcPr>
            <w:tcW w:w="176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rPr>
              <w:t>100%</w:t>
            </w:r>
          </w:p>
        </w:tc>
      </w:tr>
      <w:tr>
        <w:trPr>
          <w:trHeight w:val="33"/>
        </w:trPr>
        <w:tc>
          <w:tcPr>
            <w:tcW w:w="520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6"/>
        </w:trPr>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Transposafe Systems Holland B.V.</w:t>
            </w:r>
          </w:p>
        </w:tc>
        <w:tc>
          <w:tcPr>
            <w:tcW w:w="4220" w:type="dxa"/>
            <w:vAlign w:val="bottom"/>
            <w:tcBorders>
              <w:bottom w:val="single" w:sz="8" w:color="CCEEFF"/>
            </w:tcBorders>
            <w:shd w:val="clear" w:color="auto" w:fill="CCEEFF"/>
          </w:tcPr>
          <w:p>
            <w:pPr>
              <w:jc w:val="center"/>
              <w:ind w:left="1519"/>
              <w:spacing w:after="0"/>
              <w:rPr>
                <w:sz w:val="20"/>
                <w:szCs w:val="20"/>
                <w:color w:val="auto"/>
              </w:rPr>
            </w:pPr>
            <w:r>
              <w:rPr>
                <w:rFonts w:ascii="Times New Roman" w:cs="Times New Roman" w:eastAsia="Times New Roman" w:hAnsi="Times New Roman"/>
                <w:sz w:val="16"/>
                <w:szCs w:val="16"/>
                <w:color w:val="auto"/>
              </w:rPr>
              <w:t>Netherlands</w:t>
            </w:r>
          </w:p>
        </w:tc>
        <w:tc>
          <w:tcPr>
            <w:tcW w:w="1760" w:type="dxa"/>
            <w:vAlign w:val="bottom"/>
            <w:tcBorders>
              <w:bottom w:val="single" w:sz="8" w:color="CCEEFF"/>
            </w:tcBorders>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rPr>
              <w:t>100%</w:t>
            </w:r>
          </w:p>
        </w:tc>
      </w:tr>
      <w:tr>
        <w:trPr>
          <w:trHeight w:val="223"/>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Brady AS</w:t>
            </w:r>
          </w:p>
        </w:tc>
        <w:tc>
          <w:tcPr>
            <w:tcW w:w="4220" w:type="dxa"/>
            <w:vAlign w:val="bottom"/>
          </w:tcPr>
          <w:p>
            <w:pPr>
              <w:jc w:val="center"/>
              <w:ind w:left="1539"/>
              <w:spacing w:after="0"/>
              <w:rPr>
                <w:sz w:val="20"/>
                <w:szCs w:val="20"/>
                <w:color w:val="auto"/>
              </w:rPr>
            </w:pPr>
            <w:r>
              <w:rPr>
                <w:rFonts w:ascii="Times New Roman" w:cs="Times New Roman" w:eastAsia="Times New Roman" w:hAnsi="Times New Roman"/>
                <w:sz w:val="16"/>
                <w:szCs w:val="16"/>
                <w:color w:val="auto"/>
              </w:rPr>
              <w:t>Norway</w:t>
            </w:r>
          </w:p>
        </w:tc>
        <w:tc>
          <w:tcPr>
            <w:tcW w:w="176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rPr>
              <w:t>100%</w:t>
            </w:r>
          </w:p>
        </w:tc>
      </w:tr>
      <w:tr>
        <w:trPr>
          <w:trHeight w:val="33"/>
        </w:trPr>
        <w:tc>
          <w:tcPr>
            <w:tcW w:w="520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6"/>
        </w:trPr>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Pervaco AS</w:t>
            </w:r>
          </w:p>
        </w:tc>
        <w:tc>
          <w:tcPr>
            <w:tcW w:w="4220" w:type="dxa"/>
            <w:vAlign w:val="bottom"/>
            <w:tcBorders>
              <w:bottom w:val="single" w:sz="8" w:color="CCEEFF"/>
            </w:tcBorders>
            <w:shd w:val="clear" w:color="auto" w:fill="CCEEFF"/>
          </w:tcPr>
          <w:p>
            <w:pPr>
              <w:jc w:val="center"/>
              <w:ind w:left="1539"/>
              <w:spacing w:after="0"/>
              <w:rPr>
                <w:sz w:val="20"/>
                <w:szCs w:val="20"/>
                <w:color w:val="auto"/>
              </w:rPr>
            </w:pPr>
            <w:r>
              <w:rPr>
                <w:rFonts w:ascii="Times New Roman" w:cs="Times New Roman" w:eastAsia="Times New Roman" w:hAnsi="Times New Roman"/>
                <w:sz w:val="16"/>
                <w:szCs w:val="16"/>
                <w:color w:val="auto"/>
              </w:rPr>
              <w:t>Norway</w:t>
            </w:r>
          </w:p>
        </w:tc>
        <w:tc>
          <w:tcPr>
            <w:tcW w:w="1760" w:type="dxa"/>
            <w:vAlign w:val="bottom"/>
            <w:tcBorders>
              <w:bottom w:val="single" w:sz="8" w:color="CCEEFF"/>
            </w:tcBorders>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rPr>
              <w:t>100%</w:t>
            </w:r>
          </w:p>
        </w:tc>
      </w:tr>
      <w:tr>
        <w:trPr>
          <w:trHeight w:val="223"/>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Brady Philippines Direct Marketing Inc.</w:t>
            </w:r>
          </w:p>
        </w:tc>
        <w:tc>
          <w:tcPr>
            <w:tcW w:w="4220" w:type="dxa"/>
            <w:vAlign w:val="bottom"/>
          </w:tcPr>
          <w:p>
            <w:pPr>
              <w:jc w:val="center"/>
              <w:ind w:left="1539"/>
              <w:spacing w:after="0"/>
              <w:rPr>
                <w:sz w:val="20"/>
                <w:szCs w:val="20"/>
                <w:color w:val="auto"/>
              </w:rPr>
            </w:pPr>
            <w:r>
              <w:rPr>
                <w:rFonts w:ascii="Times New Roman" w:cs="Times New Roman" w:eastAsia="Times New Roman" w:hAnsi="Times New Roman"/>
                <w:sz w:val="16"/>
                <w:szCs w:val="16"/>
                <w:color w:val="auto"/>
                <w:w w:val="99"/>
              </w:rPr>
              <w:t>Philippines</w:t>
            </w:r>
          </w:p>
        </w:tc>
        <w:tc>
          <w:tcPr>
            <w:tcW w:w="176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rPr>
              <w:t>100%</w:t>
            </w:r>
          </w:p>
        </w:tc>
      </w:tr>
      <w:tr>
        <w:trPr>
          <w:trHeight w:val="33"/>
        </w:trPr>
        <w:tc>
          <w:tcPr>
            <w:tcW w:w="520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6"/>
        </w:trPr>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Transposafe Systems Polska Sp. Z.o.o.</w:t>
            </w:r>
          </w:p>
        </w:tc>
        <w:tc>
          <w:tcPr>
            <w:tcW w:w="4220" w:type="dxa"/>
            <w:vAlign w:val="bottom"/>
            <w:tcBorders>
              <w:bottom w:val="single" w:sz="8" w:color="CCEEFF"/>
            </w:tcBorders>
            <w:shd w:val="clear" w:color="auto" w:fill="CCEEFF"/>
          </w:tcPr>
          <w:p>
            <w:pPr>
              <w:jc w:val="center"/>
              <w:ind w:left="1539"/>
              <w:spacing w:after="0"/>
              <w:rPr>
                <w:sz w:val="20"/>
                <w:szCs w:val="20"/>
                <w:color w:val="auto"/>
              </w:rPr>
            </w:pPr>
            <w:r>
              <w:rPr>
                <w:rFonts w:ascii="Times New Roman" w:cs="Times New Roman" w:eastAsia="Times New Roman" w:hAnsi="Times New Roman"/>
                <w:sz w:val="16"/>
                <w:szCs w:val="16"/>
                <w:color w:val="auto"/>
                <w:w w:val="98"/>
              </w:rPr>
              <w:t>Poland</w:t>
            </w:r>
          </w:p>
        </w:tc>
        <w:tc>
          <w:tcPr>
            <w:tcW w:w="1760" w:type="dxa"/>
            <w:vAlign w:val="bottom"/>
            <w:tcBorders>
              <w:bottom w:val="single" w:sz="8" w:color="CCEEFF"/>
            </w:tcBorders>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rPr>
              <w:t>100%</w:t>
            </w:r>
          </w:p>
        </w:tc>
      </w:tr>
      <w:tr>
        <w:trPr>
          <w:trHeight w:val="223"/>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Brady ID Solutions SRL</w:t>
            </w:r>
          </w:p>
        </w:tc>
        <w:tc>
          <w:tcPr>
            <w:tcW w:w="4220" w:type="dxa"/>
            <w:vAlign w:val="bottom"/>
          </w:tcPr>
          <w:p>
            <w:pPr>
              <w:jc w:val="center"/>
              <w:ind w:left="1519"/>
              <w:spacing w:after="0"/>
              <w:rPr>
                <w:sz w:val="20"/>
                <w:szCs w:val="20"/>
                <w:color w:val="auto"/>
              </w:rPr>
            </w:pPr>
            <w:r>
              <w:rPr>
                <w:rFonts w:ascii="Times New Roman" w:cs="Times New Roman" w:eastAsia="Times New Roman" w:hAnsi="Times New Roman"/>
                <w:sz w:val="16"/>
                <w:szCs w:val="16"/>
                <w:color w:val="auto"/>
              </w:rPr>
              <w:t>Romania</w:t>
            </w:r>
          </w:p>
        </w:tc>
        <w:tc>
          <w:tcPr>
            <w:tcW w:w="176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rPr>
              <w:t>100%</w:t>
            </w:r>
          </w:p>
        </w:tc>
      </w:tr>
      <w:tr>
        <w:trPr>
          <w:trHeight w:val="33"/>
        </w:trPr>
        <w:tc>
          <w:tcPr>
            <w:tcW w:w="520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6"/>
        </w:trPr>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Brady LLC</w:t>
            </w:r>
          </w:p>
        </w:tc>
        <w:tc>
          <w:tcPr>
            <w:tcW w:w="4220" w:type="dxa"/>
            <w:vAlign w:val="bottom"/>
            <w:tcBorders>
              <w:bottom w:val="single" w:sz="8" w:color="CCEEFF"/>
            </w:tcBorders>
            <w:shd w:val="clear" w:color="auto" w:fill="CCEEFF"/>
          </w:tcPr>
          <w:p>
            <w:pPr>
              <w:jc w:val="center"/>
              <w:ind w:left="1539"/>
              <w:spacing w:after="0"/>
              <w:rPr>
                <w:sz w:val="20"/>
                <w:szCs w:val="20"/>
                <w:color w:val="auto"/>
              </w:rPr>
            </w:pPr>
            <w:r>
              <w:rPr>
                <w:rFonts w:ascii="Times New Roman" w:cs="Times New Roman" w:eastAsia="Times New Roman" w:hAnsi="Times New Roman"/>
                <w:sz w:val="16"/>
                <w:szCs w:val="16"/>
                <w:color w:val="auto"/>
              </w:rPr>
              <w:t>Russia</w:t>
            </w:r>
          </w:p>
        </w:tc>
        <w:tc>
          <w:tcPr>
            <w:tcW w:w="1760" w:type="dxa"/>
            <w:vAlign w:val="bottom"/>
            <w:tcBorders>
              <w:bottom w:val="single" w:sz="8" w:color="CCEEFF"/>
            </w:tcBorders>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rPr>
              <w:t>100%</w:t>
            </w:r>
          </w:p>
        </w:tc>
      </w:tr>
      <w:tr>
        <w:trPr>
          <w:trHeight w:val="224"/>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Brady Asia Holding Pte. Ltd.</w:t>
            </w:r>
          </w:p>
        </w:tc>
        <w:tc>
          <w:tcPr>
            <w:tcW w:w="4220" w:type="dxa"/>
            <w:vAlign w:val="bottom"/>
          </w:tcPr>
          <w:p>
            <w:pPr>
              <w:jc w:val="center"/>
              <w:ind w:left="1519"/>
              <w:spacing w:after="0"/>
              <w:rPr>
                <w:sz w:val="20"/>
                <w:szCs w:val="20"/>
                <w:color w:val="auto"/>
              </w:rPr>
            </w:pPr>
            <w:r>
              <w:rPr>
                <w:rFonts w:ascii="Times New Roman" w:cs="Times New Roman" w:eastAsia="Times New Roman" w:hAnsi="Times New Roman"/>
                <w:sz w:val="16"/>
                <w:szCs w:val="16"/>
                <w:color w:val="auto"/>
              </w:rPr>
              <w:t>Singapore</w:t>
            </w:r>
          </w:p>
        </w:tc>
        <w:tc>
          <w:tcPr>
            <w:tcW w:w="176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rPr>
              <w:t>100%</w:t>
            </w:r>
          </w:p>
        </w:tc>
      </w:tr>
      <w:tr>
        <w:trPr>
          <w:trHeight w:val="33"/>
        </w:trPr>
        <w:tc>
          <w:tcPr>
            <w:tcW w:w="520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Brady Asia Pacific Pte. Ltd.</w:t>
            </w:r>
          </w:p>
        </w:tc>
        <w:tc>
          <w:tcPr>
            <w:tcW w:w="4220" w:type="dxa"/>
            <w:vAlign w:val="bottom"/>
            <w:tcBorders>
              <w:bottom w:val="single" w:sz="8" w:color="CCEEFF"/>
            </w:tcBorders>
            <w:shd w:val="clear" w:color="auto" w:fill="CCEEFF"/>
          </w:tcPr>
          <w:p>
            <w:pPr>
              <w:jc w:val="center"/>
              <w:ind w:left="1519"/>
              <w:spacing w:after="0"/>
              <w:rPr>
                <w:sz w:val="20"/>
                <w:szCs w:val="20"/>
                <w:color w:val="auto"/>
              </w:rPr>
            </w:pPr>
            <w:r>
              <w:rPr>
                <w:rFonts w:ascii="Times New Roman" w:cs="Times New Roman" w:eastAsia="Times New Roman" w:hAnsi="Times New Roman"/>
                <w:sz w:val="16"/>
                <w:szCs w:val="16"/>
                <w:color w:val="auto"/>
              </w:rPr>
              <w:t>Singapore</w:t>
            </w:r>
          </w:p>
        </w:tc>
        <w:tc>
          <w:tcPr>
            <w:tcW w:w="1760" w:type="dxa"/>
            <w:vAlign w:val="bottom"/>
            <w:tcBorders>
              <w:bottom w:val="single" w:sz="8" w:color="CCEEFF"/>
            </w:tcBorders>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rPr>
              <w:t>100%</w:t>
            </w:r>
          </w:p>
        </w:tc>
      </w:tr>
      <w:tr>
        <w:trPr>
          <w:trHeight w:val="223"/>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Brady Corporation Asia Pte. Ltd.</w:t>
            </w:r>
          </w:p>
        </w:tc>
        <w:tc>
          <w:tcPr>
            <w:tcW w:w="4220" w:type="dxa"/>
            <w:vAlign w:val="bottom"/>
          </w:tcPr>
          <w:p>
            <w:pPr>
              <w:jc w:val="center"/>
              <w:ind w:left="1519"/>
              <w:spacing w:after="0"/>
              <w:rPr>
                <w:sz w:val="20"/>
                <w:szCs w:val="20"/>
                <w:color w:val="auto"/>
              </w:rPr>
            </w:pPr>
            <w:r>
              <w:rPr>
                <w:rFonts w:ascii="Times New Roman" w:cs="Times New Roman" w:eastAsia="Times New Roman" w:hAnsi="Times New Roman"/>
                <w:sz w:val="16"/>
                <w:szCs w:val="16"/>
                <w:color w:val="auto"/>
              </w:rPr>
              <w:t>Singapore</w:t>
            </w:r>
          </w:p>
        </w:tc>
        <w:tc>
          <w:tcPr>
            <w:tcW w:w="176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rPr>
              <w:t>100%</w:t>
            </w:r>
          </w:p>
        </w:tc>
      </w:tr>
      <w:tr>
        <w:trPr>
          <w:trHeight w:val="33"/>
        </w:trPr>
        <w:tc>
          <w:tcPr>
            <w:tcW w:w="520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Brady s.r.o.</w:t>
            </w:r>
          </w:p>
        </w:tc>
        <w:tc>
          <w:tcPr>
            <w:tcW w:w="4220" w:type="dxa"/>
            <w:vAlign w:val="bottom"/>
            <w:tcBorders>
              <w:bottom w:val="single" w:sz="8" w:color="CCEEFF"/>
            </w:tcBorders>
            <w:shd w:val="clear" w:color="auto" w:fill="CCEEFF"/>
          </w:tcPr>
          <w:p>
            <w:pPr>
              <w:jc w:val="center"/>
              <w:ind w:left="1539"/>
              <w:spacing w:after="0"/>
              <w:rPr>
                <w:sz w:val="20"/>
                <w:szCs w:val="20"/>
                <w:color w:val="auto"/>
              </w:rPr>
            </w:pPr>
            <w:r>
              <w:rPr>
                <w:rFonts w:ascii="Times New Roman" w:cs="Times New Roman" w:eastAsia="Times New Roman" w:hAnsi="Times New Roman"/>
                <w:sz w:val="16"/>
                <w:szCs w:val="16"/>
                <w:color w:val="auto"/>
                <w:w w:val="99"/>
              </w:rPr>
              <w:t>Slovakia</w:t>
            </w:r>
          </w:p>
        </w:tc>
        <w:tc>
          <w:tcPr>
            <w:tcW w:w="1760" w:type="dxa"/>
            <w:vAlign w:val="bottom"/>
            <w:tcBorders>
              <w:bottom w:val="single" w:sz="8" w:color="CCEEFF"/>
            </w:tcBorders>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rPr>
              <w:t>100%</w:t>
            </w:r>
          </w:p>
        </w:tc>
      </w:tr>
      <w:tr>
        <w:trPr>
          <w:trHeight w:val="223"/>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Grafo Wiremarkers Pty. Ltd.</w:t>
            </w:r>
          </w:p>
        </w:tc>
        <w:tc>
          <w:tcPr>
            <w:tcW w:w="4220" w:type="dxa"/>
            <w:vAlign w:val="bottom"/>
          </w:tcPr>
          <w:p>
            <w:pPr>
              <w:jc w:val="center"/>
              <w:ind w:left="1539"/>
              <w:spacing w:after="0"/>
              <w:rPr>
                <w:sz w:val="20"/>
                <w:szCs w:val="20"/>
                <w:color w:val="auto"/>
              </w:rPr>
            </w:pPr>
            <w:r>
              <w:rPr>
                <w:rFonts w:ascii="Times New Roman" w:cs="Times New Roman" w:eastAsia="Times New Roman" w:hAnsi="Times New Roman"/>
                <w:sz w:val="16"/>
                <w:szCs w:val="16"/>
                <w:color w:val="auto"/>
              </w:rPr>
              <w:t>South Africa</w:t>
            </w:r>
          </w:p>
        </w:tc>
        <w:tc>
          <w:tcPr>
            <w:tcW w:w="176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rPr>
              <w:t>100%</w:t>
            </w:r>
          </w:p>
        </w:tc>
      </w:tr>
      <w:tr>
        <w:trPr>
          <w:trHeight w:val="33"/>
        </w:trPr>
        <w:tc>
          <w:tcPr>
            <w:tcW w:w="520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Wiremarkers Africa Pty. Ltd.</w:t>
            </w:r>
          </w:p>
        </w:tc>
        <w:tc>
          <w:tcPr>
            <w:tcW w:w="4220" w:type="dxa"/>
            <w:vAlign w:val="bottom"/>
            <w:tcBorders>
              <w:bottom w:val="single" w:sz="8" w:color="CCEEFF"/>
            </w:tcBorders>
            <w:shd w:val="clear" w:color="auto" w:fill="CCEEFF"/>
          </w:tcPr>
          <w:p>
            <w:pPr>
              <w:jc w:val="center"/>
              <w:ind w:left="1539"/>
              <w:spacing w:after="0"/>
              <w:rPr>
                <w:sz w:val="20"/>
                <w:szCs w:val="20"/>
                <w:color w:val="auto"/>
              </w:rPr>
            </w:pPr>
            <w:r>
              <w:rPr>
                <w:rFonts w:ascii="Times New Roman" w:cs="Times New Roman" w:eastAsia="Times New Roman" w:hAnsi="Times New Roman"/>
                <w:sz w:val="16"/>
                <w:szCs w:val="16"/>
                <w:color w:val="auto"/>
              </w:rPr>
              <w:t>South Africa</w:t>
            </w:r>
          </w:p>
        </w:tc>
        <w:tc>
          <w:tcPr>
            <w:tcW w:w="1760" w:type="dxa"/>
            <w:vAlign w:val="bottom"/>
            <w:tcBorders>
              <w:bottom w:val="single" w:sz="8" w:color="CCEEFF"/>
            </w:tcBorders>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rPr>
              <w:t>100%</w:t>
            </w:r>
          </w:p>
        </w:tc>
      </w:tr>
      <w:tr>
        <w:trPr>
          <w:trHeight w:val="223"/>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Brady IDS Korea LLC</w:t>
            </w:r>
          </w:p>
        </w:tc>
        <w:tc>
          <w:tcPr>
            <w:tcW w:w="4220" w:type="dxa"/>
            <w:vAlign w:val="bottom"/>
          </w:tcPr>
          <w:p>
            <w:pPr>
              <w:jc w:val="center"/>
              <w:ind w:left="1519"/>
              <w:spacing w:after="0"/>
              <w:rPr>
                <w:sz w:val="20"/>
                <w:szCs w:val="20"/>
                <w:color w:val="auto"/>
              </w:rPr>
            </w:pPr>
            <w:r>
              <w:rPr>
                <w:rFonts w:ascii="Times New Roman" w:cs="Times New Roman" w:eastAsia="Times New Roman" w:hAnsi="Times New Roman"/>
                <w:sz w:val="16"/>
                <w:szCs w:val="16"/>
                <w:color w:val="auto"/>
              </w:rPr>
              <w:t>South Korea</w:t>
            </w:r>
          </w:p>
        </w:tc>
        <w:tc>
          <w:tcPr>
            <w:tcW w:w="176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rPr>
              <w:t>100%</w:t>
            </w:r>
          </w:p>
        </w:tc>
      </w:tr>
      <w:tr>
        <w:trPr>
          <w:trHeight w:val="33"/>
        </w:trPr>
        <w:tc>
          <w:tcPr>
            <w:tcW w:w="520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Brady Identificación S.L.U.</w:t>
            </w:r>
          </w:p>
        </w:tc>
        <w:tc>
          <w:tcPr>
            <w:tcW w:w="4220" w:type="dxa"/>
            <w:vAlign w:val="bottom"/>
            <w:tcBorders>
              <w:bottom w:val="single" w:sz="8" w:color="CCEEFF"/>
            </w:tcBorders>
            <w:shd w:val="clear" w:color="auto" w:fill="CCEEFF"/>
          </w:tcPr>
          <w:p>
            <w:pPr>
              <w:jc w:val="center"/>
              <w:ind w:left="1539"/>
              <w:spacing w:after="0"/>
              <w:rPr>
                <w:sz w:val="20"/>
                <w:szCs w:val="20"/>
                <w:color w:val="auto"/>
              </w:rPr>
            </w:pPr>
            <w:r>
              <w:rPr>
                <w:rFonts w:ascii="Times New Roman" w:cs="Times New Roman" w:eastAsia="Times New Roman" w:hAnsi="Times New Roman"/>
                <w:sz w:val="16"/>
                <w:szCs w:val="16"/>
                <w:color w:val="auto"/>
                <w:w w:val="98"/>
              </w:rPr>
              <w:t>Spain</w:t>
            </w:r>
          </w:p>
        </w:tc>
        <w:tc>
          <w:tcPr>
            <w:tcW w:w="1760" w:type="dxa"/>
            <w:vAlign w:val="bottom"/>
            <w:tcBorders>
              <w:bottom w:val="single" w:sz="8" w:color="CCEEFF"/>
            </w:tcBorders>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rPr>
              <w:t>100%</w:t>
            </w:r>
          </w:p>
        </w:tc>
      </w:tr>
      <w:tr>
        <w:trPr>
          <w:trHeight w:val="223"/>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Brady AB</w:t>
            </w:r>
          </w:p>
        </w:tc>
        <w:tc>
          <w:tcPr>
            <w:tcW w:w="4220" w:type="dxa"/>
            <w:vAlign w:val="bottom"/>
          </w:tcPr>
          <w:p>
            <w:pPr>
              <w:jc w:val="center"/>
              <w:ind w:left="1539"/>
              <w:spacing w:after="0"/>
              <w:rPr>
                <w:sz w:val="20"/>
                <w:szCs w:val="20"/>
                <w:color w:val="auto"/>
              </w:rPr>
            </w:pPr>
            <w:r>
              <w:rPr>
                <w:rFonts w:ascii="Times New Roman" w:cs="Times New Roman" w:eastAsia="Times New Roman" w:hAnsi="Times New Roman"/>
                <w:sz w:val="16"/>
                <w:szCs w:val="16"/>
                <w:color w:val="auto"/>
              </w:rPr>
              <w:t>Sweden</w:t>
            </w:r>
          </w:p>
        </w:tc>
        <w:tc>
          <w:tcPr>
            <w:tcW w:w="176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rPr>
              <w:t>100%</w:t>
            </w:r>
          </w:p>
        </w:tc>
      </w:tr>
      <w:tr>
        <w:trPr>
          <w:trHeight w:val="33"/>
        </w:trPr>
        <w:tc>
          <w:tcPr>
            <w:tcW w:w="520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Brady Sweden Holding AB</w:t>
            </w:r>
          </w:p>
        </w:tc>
        <w:tc>
          <w:tcPr>
            <w:tcW w:w="4220" w:type="dxa"/>
            <w:vAlign w:val="bottom"/>
            <w:tcBorders>
              <w:bottom w:val="single" w:sz="8" w:color="CCEEFF"/>
            </w:tcBorders>
            <w:shd w:val="clear" w:color="auto" w:fill="CCEEFF"/>
          </w:tcPr>
          <w:p>
            <w:pPr>
              <w:jc w:val="center"/>
              <w:ind w:left="1539"/>
              <w:spacing w:after="0"/>
              <w:rPr>
                <w:sz w:val="20"/>
                <w:szCs w:val="20"/>
                <w:color w:val="auto"/>
              </w:rPr>
            </w:pPr>
            <w:r>
              <w:rPr>
                <w:rFonts w:ascii="Times New Roman" w:cs="Times New Roman" w:eastAsia="Times New Roman" w:hAnsi="Times New Roman"/>
                <w:sz w:val="16"/>
                <w:szCs w:val="16"/>
                <w:color w:val="auto"/>
              </w:rPr>
              <w:t>Sweden</w:t>
            </w:r>
          </w:p>
        </w:tc>
        <w:tc>
          <w:tcPr>
            <w:tcW w:w="1760" w:type="dxa"/>
            <w:vAlign w:val="bottom"/>
            <w:tcBorders>
              <w:bottom w:val="single" w:sz="8" w:color="CCEEFF"/>
            </w:tcBorders>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rPr>
              <w:t>100%</w:t>
            </w:r>
          </w:p>
        </w:tc>
      </w:tr>
      <w:tr>
        <w:trPr>
          <w:trHeight w:val="223"/>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Brady (Thailand) Co., Ltd.</w:t>
            </w:r>
          </w:p>
        </w:tc>
        <w:tc>
          <w:tcPr>
            <w:tcW w:w="4220" w:type="dxa"/>
            <w:vAlign w:val="bottom"/>
          </w:tcPr>
          <w:p>
            <w:pPr>
              <w:jc w:val="center"/>
              <w:ind w:left="1519"/>
              <w:spacing w:after="0"/>
              <w:rPr>
                <w:sz w:val="20"/>
                <w:szCs w:val="20"/>
                <w:color w:val="auto"/>
              </w:rPr>
            </w:pPr>
            <w:r>
              <w:rPr>
                <w:rFonts w:ascii="Times New Roman" w:cs="Times New Roman" w:eastAsia="Times New Roman" w:hAnsi="Times New Roman"/>
                <w:sz w:val="16"/>
                <w:szCs w:val="16"/>
                <w:color w:val="auto"/>
              </w:rPr>
              <w:t>Thailand</w:t>
            </w:r>
          </w:p>
        </w:tc>
        <w:tc>
          <w:tcPr>
            <w:tcW w:w="176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rPr>
              <w:t>100%</w:t>
            </w:r>
          </w:p>
        </w:tc>
      </w:tr>
      <w:tr>
        <w:trPr>
          <w:trHeight w:val="33"/>
        </w:trPr>
        <w:tc>
          <w:tcPr>
            <w:tcW w:w="520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6"/>
        </w:trPr>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Brady Etiket ve Isaretleme Ticaret Ltd. Sirketi</w:t>
            </w:r>
          </w:p>
        </w:tc>
        <w:tc>
          <w:tcPr>
            <w:tcW w:w="4220" w:type="dxa"/>
            <w:vAlign w:val="bottom"/>
            <w:tcBorders>
              <w:bottom w:val="single" w:sz="8" w:color="CCEEFF"/>
            </w:tcBorders>
            <w:shd w:val="clear" w:color="auto" w:fill="CCEEFF"/>
          </w:tcPr>
          <w:p>
            <w:pPr>
              <w:jc w:val="center"/>
              <w:ind w:left="1519"/>
              <w:spacing w:after="0"/>
              <w:rPr>
                <w:sz w:val="20"/>
                <w:szCs w:val="20"/>
                <w:color w:val="auto"/>
              </w:rPr>
            </w:pPr>
            <w:r>
              <w:rPr>
                <w:rFonts w:ascii="Times New Roman" w:cs="Times New Roman" w:eastAsia="Times New Roman" w:hAnsi="Times New Roman"/>
                <w:sz w:val="16"/>
                <w:szCs w:val="16"/>
                <w:color w:val="auto"/>
                <w:w w:val="99"/>
              </w:rPr>
              <w:t>Turkey</w:t>
            </w:r>
          </w:p>
        </w:tc>
        <w:tc>
          <w:tcPr>
            <w:tcW w:w="1760" w:type="dxa"/>
            <w:vAlign w:val="bottom"/>
            <w:tcBorders>
              <w:bottom w:val="single" w:sz="8" w:color="CCEEFF"/>
            </w:tcBorders>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rPr>
              <w:t>100%</w:t>
            </w:r>
          </w:p>
        </w:tc>
      </w:tr>
      <w:tr>
        <w:trPr>
          <w:trHeight w:val="223"/>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Brady Middle East FZE</w:t>
            </w:r>
          </w:p>
        </w:tc>
        <w:tc>
          <w:tcPr>
            <w:tcW w:w="4220" w:type="dxa"/>
            <w:vAlign w:val="bottom"/>
          </w:tcPr>
          <w:p>
            <w:pPr>
              <w:jc w:val="center"/>
              <w:ind w:left="1519"/>
              <w:spacing w:after="0"/>
              <w:rPr>
                <w:sz w:val="20"/>
                <w:szCs w:val="20"/>
                <w:color w:val="auto"/>
              </w:rPr>
            </w:pPr>
            <w:r>
              <w:rPr>
                <w:rFonts w:ascii="Times New Roman" w:cs="Times New Roman" w:eastAsia="Times New Roman" w:hAnsi="Times New Roman"/>
                <w:sz w:val="16"/>
                <w:szCs w:val="16"/>
                <w:color w:val="auto"/>
              </w:rPr>
              <w:t>United Arab Emirates</w:t>
            </w:r>
          </w:p>
        </w:tc>
        <w:tc>
          <w:tcPr>
            <w:tcW w:w="176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rPr>
              <w:t>100%</w:t>
            </w:r>
          </w:p>
        </w:tc>
      </w:tr>
      <w:tr>
        <w:trPr>
          <w:trHeight w:val="33"/>
        </w:trPr>
        <w:tc>
          <w:tcPr>
            <w:tcW w:w="520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6"/>
        </w:trPr>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B.I. (UK) Limited</w:t>
            </w:r>
          </w:p>
        </w:tc>
        <w:tc>
          <w:tcPr>
            <w:tcW w:w="4220" w:type="dxa"/>
            <w:vAlign w:val="bottom"/>
            <w:tcBorders>
              <w:bottom w:val="single" w:sz="8" w:color="CCEEFF"/>
            </w:tcBorders>
            <w:shd w:val="clear" w:color="auto" w:fill="CCEEFF"/>
          </w:tcPr>
          <w:p>
            <w:pPr>
              <w:jc w:val="center"/>
              <w:ind w:left="1519"/>
              <w:spacing w:after="0"/>
              <w:rPr>
                <w:sz w:val="20"/>
                <w:szCs w:val="20"/>
                <w:color w:val="auto"/>
              </w:rPr>
            </w:pPr>
            <w:r>
              <w:rPr>
                <w:rFonts w:ascii="Times New Roman" w:cs="Times New Roman" w:eastAsia="Times New Roman" w:hAnsi="Times New Roman"/>
                <w:sz w:val="16"/>
                <w:szCs w:val="16"/>
                <w:color w:val="auto"/>
              </w:rPr>
              <w:t>United Kingdom</w:t>
            </w:r>
          </w:p>
        </w:tc>
        <w:tc>
          <w:tcPr>
            <w:tcW w:w="1760" w:type="dxa"/>
            <w:vAlign w:val="bottom"/>
            <w:tcBorders>
              <w:bottom w:val="single" w:sz="8" w:color="CCEEFF"/>
            </w:tcBorders>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rPr>
              <w:t>100%</w:t>
            </w:r>
          </w:p>
        </w:tc>
      </w:tr>
      <w:tr>
        <w:trPr>
          <w:trHeight w:val="224"/>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Brady Corporation Limited</w:t>
            </w:r>
          </w:p>
        </w:tc>
        <w:tc>
          <w:tcPr>
            <w:tcW w:w="4220" w:type="dxa"/>
            <w:vAlign w:val="bottom"/>
          </w:tcPr>
          <w:p>
            <w:pPr>
              <w:jc w:val="center"/>
              <w:ind w:left="1519"/>
              <w:spacing w:after="0"/>
              <w:rPr>
                <w:sz w:val="20"/>
                <w:szCs w:val="20"/>
                <w:color w:val="auto"/>
              </w:rPr>
            </w:pPr>
            <w:r>
              <w:rPr>
                <w:rFonts w:ascii="Times New Roman" w:cs="Times New Roman" w:eastAsia="Times New Roman" w:hAnsi="Times New Roman"/>
                <w:sz w:val="16"/>
                <w:szCs w:val="16"/>
                <w:color w:val="auto"/>
              </w:rPr>
              <w:t>United Kingdom</w:t>
            </w:r>
          </w:p>
        </w:tc>
        <w:tc>
          <w:tcPr>
            <w:tcW w:w="176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rPr>
              <w:t>100%</w:t>
            </w:r>
          </w:p>
        </w:tc>
      </w:tr>
      <w:tr>
        <w:trPr>
          <w:trHeight w:val="33"/>
        </w:trPr>
        <w:tc>
          <w:tcPr>
            <w:tcW w:w="520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24"/>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Brady European Holdings Limited</w:t>
            </w:r>
          </w:p>
        </w:tc>
        <w:tc>
          <w:tcPr>
            <w:tcW w:w="4220" w:type="dxa"/>
            <w:vAlign w:val="bottom"/>
            <w:shd w:val="clear" w:color="auto" w:fill="CCEEFF"/>
          </w:tcPr>
          <w:p>
            <w:pPr>
              <w:jc w:val="center"/>
              <w:ind w:left="1519"/>
              <w:spacing w:after="0"/>
              <w:rPr>
                <w:sz w:val="20"/>
                <w:szCs w:val="20"/>
                <w:color w:val="auto"/>
              </w:rPr>
            </w:pPr>
            <w:r>
              <w:rPr>
                <w:rFonts w:ascii="Times New Roman" w:cs="Times New Roman" w:eastAsia="Times New Roman" w:hAnsi="Times New Roman"/>
                <w:sz w:val="16"/>
                <w:szCs w:val="16"/>
                <w:color w:val="auto"/>
              </w:rPr>
              <w:t>United Kingdom</w:t>
            </w:r>
          </w:p>
        </w:tc>
        <w:tc>
          <w:tcPr>
            <w:tcW w:w="176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rPr>
              <w:t>100%</w:t>
            </w:r>
          </w:p>
        </w:tc>
      </w:tr>
      <w:tr>
        <w:trPr>
          <w:trHeight w:val="33"/>
        </w:trPr>
        <w:tc>
          <w:tcPr>
            <w:tcW w:w="5200" w:type="dxa"/>
            <w:vAlign w:val="bottom"/>
            <w:shd w:val="clear" w:color="auto" w:fill="CCEEFF"/>
          </w:tcPr>
          <w:p>
            <w:pPr>
              <w:spacing w:after="0"/>
              <w:rPr>
                <w:sz w:val="2"/>
                <w:szCs w:val="2"/>
                <w:color w:val="auto"/>
              </w:rPr>
            </w:pPr>
          </w:p>
        </w:tc>
        <w:tc>
          <w:tcPr>
            <w:tcW w:w="42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ectPr>
          <w:pgSz w:w="11900" w:h="16838" w:orient="portrait"/>
          <w:cols w:equalWidth="0" w:num="1">
            <w:col w:w="11180"/>
          </w:cols>
          <w:pgMar w:left="360" w:top="949" w:right="35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43"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333-38857, 333-92417, 333-134503, 333-137686, 333-141402, 333-162538, 333-177039 and 333-212625 on Form S-8 and Registration Statement No. 333-220442 on Form S-3 of our reports dated September 16, 2020, relating to the consolidated financial statements and financial statement schedule of Brady Corporation and the effectiveness of Brady Corporation’s internal control over financial reporting, appearing in this Annual Report on Form 10-K of Brady Corporation for the year ended July 31, 2020.</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Milwaukee, Wisconsin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16, 2020</w:t>
      </w:r>
    </w:p>
    <w:p>
      <w:pPr>
        <w:sectPr>
          <w:pgSz w:w="11900" w:h="16838" w:orient="portrait"/>
          <w:cols w:equalWidth="0" w:num="1">
            <w:col w:w="11240"/>
          </w:cols>
          <w:pgMar w:left="320" w:top="887" w:right="3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 Michael Nauman, certify that:</w:t>
      </w:r>
    </w:p>
    <w:p>
      <w:pPr>
        <w:spacing w:after="0" w:line="104" w:lineRule="exact"/>
        <w:rPr>
          <w:sz w:val="20"/>
          <w:szCs w:val="20"/>
          <w:color w:val="auto"/>
        </w:rPr>
      </w:pPr>
    </w:p>
    <w:p>
      <w:pPr>
        <w:ind w:left="700" w:hanging="247"/>
        <w:spacing w:after="0"/>
        <w:tabs>
          <w:tab w:leader="none" w:pos="7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Brady Corporation;</w:t>
      </w:r>
    </w:p>
    <w:p>
      <w:pPr>
        <w:spacing w:after="0" w:line="171" w:lineRule="exact"/>
        <w:rPr>
          <w:rFonts w:ascii="Times New Roman" w:cs="Times New Roman" w:eastAsia="Times New Roman" w:hAnsi="Times New Roman"/>
          <w:sz w:val="18"/>
          <w:szCs w:val="18"/>
          <w:color w:val="auto"/>
        </w:rPr>
      </w:pPr>
    </w:p>
    <w:p>
      <w:pPr>
        <w:ind w:right="20" w:firstLine="453"/>
        <w:spacing w:after="0" w:line="282" w:lineRule="auto"/>
        <w:tabs>
          <w:tab w:leader="none" w:pos="702"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702"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firstLine="453"/>
        <w:spacing w:after="0" w:line="266" w:lineRule="auto"/>
        <w:tabs>
          <w:tab w:leader="none" w:pos="713"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sz w:val="20"/>
          <w:szCs w:val="20"/>
          <w:color w:val="auto"/>
        </w:rPr>
      </w:pPr>
    </w:p>
    <w:p>
      <w:pPr>
        <w:jc w:val="both"/>
        <w:ind w:firstLine="453"/>
        <w:spacing w:after="0" w:line="266" w:lineRule="auto"/>
        <w:tabs>
          <w:tab w:leader="none" w:pos="65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firstLine="453"/>
        <w:spacing w:after="0" w:line="266" w:lineRule="auto"/>
        <w:tabs>
          <w:tab w:leader="none" w:pos="679"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right="20" w:firstLine="453"/>
        <w:spacing w:after="0" w:line="282" w:lineRule="auto"/>
        <w:tabs>
          <w:tab w:leader="none" w:pos="677"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firstLine="453"/>
        <w:spacing w:after="0" w:line="266" w:lineRule="auto"/>
        <w:tabs>
          <w:tab w:leader="none" w:pos="658"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ind w:firstLine="453"/>
        <w:spacing w:after="0" w:line="282" w:lineRule="auto"/>
        <w:tabs>
          <w:tab w:leader="none" w:pos="71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sz w:val="20"/>
          <w:szCs w:val="20"/>
          <w:color w:val="auto"/>
        </w:rPr>
      </w:pPr>
    </w:p>
    <w:p>
      <w:pPr>
        <w:ind w:right="20" w:firstLine="453"/>
        <w:spacing w:after="0" w:line="282" w:lineRule="auto"/>
        <w:tabs>
          <w:tab w:leader="none" w:pos="644"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651"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September 16, 2020</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 MICHAEL NAUMAN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1517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6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 Michael Nauman</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887" w:right="33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Aaron J. Pearce, certify that:</w:t>
      </w:r>
    </w:p>
    <w:p>
      <w:pPr>
        <w:spacing w:after="0" w:line="104" w:lineRule="exact"/>
        <w:rPr>
          <w:sz w:val="20"/>
          <w:szCs w:val="20"/>
          <w:color w:val="auto"/>
        </w:rPr>
      </w:pPr>
    </w:p>
    <w:p>
      <w:pPr>
        <w:ind w:left="700" w:hanging="247"/>
        <w:spacing w:after="0"/>
        <w:tabs>
          <w:tab w:leader="none" w:pos="7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Brady Corporation;</w:t>
      </w:r>
    </w:p>
    <w:p>
      <w:pPr>
        <w:spacing w:after="0" w:line="171" w:lineRule="exact"/>
        <w:rPr>
          <w:rFonts w:ascii="Times New Roman" w:cs="Times New Roman" w:eastAsia="Times New Roman" w:hAnsi="Times New Roman"/>
          <w:sz w:val="18"/>
          <w:szCs w:val="18"/>
          <w:color w:val="auto"/>
        </w:rPr>
      </w:pPr>
    </w:p>
    <w:p>
      <w:pPr>
        <w:ind w:firstLine="453"/>
        <w:spacing w:after="0" w:line="282" w:lineRule="auto"/>
        <w:tabs>
          <w:tab w:leader="none" w:pos="70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702"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firstLine="453"/>
        <w:spacing w:after="0" w:line="266" w:lineRule="auto"/>
        <w:tabs>
          <w:tab w:leader="none" w:pos="713"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sz w:val="20"/>
          <w:szCs w:val="20"/>
          <w:color w:val="auto"/>
        </w:rPr>
      </w:pPr>
    </w:p>
    <w:p>
      <w:pPr>
        <w:jc w:val="both"/>
        <w:ind w:firstLine="453"/>
        <w:spacing w:after="0" w:line="266" w:lineRule="auto"/>
        <w:tabs>
          <w:tab w:leader="none" w:pos="65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firstLine="453"/>
        <w:spacing w:after="0" w:line="266" w:lineRule="auto"/>
        <w:tabs>
          <w:tab w:leader="none" w:pos="679"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right="20" w:firstLine="453"/>
        <w:spacing w:after="0" w:line="282" w:lineRule="auto"/>
        <w:tabs>
          <w:tab w:leader="none" w:pos="677"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firstLine="453"/>
        <w:spacing w:after="0" w:line="266" w:lineRule="auto"/>
        <w:tabs>
          <w:tab w:leader="none" w:pos="658"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ind w:firstLine="453"/>
        <w:spacing w:after="0" w:line="282" w:lineRule="auto"/>
        <w:tabs>
          <w:tab w:leader="none" w:pos="71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sz w:val="20"/>
          <w:szCs w:val="20"/>
          <w:color w:val="auto"/>
        </w:rPr>
      </w:pPr>
    </w:p>
    <w:p>
      <w:pPr>
        <w:ind w:right="20" w:firstLine="453"/>
        <w:spacing w:after="0" w:line="282" w:lineRule="auto"/>
        <w:tabs>
          <w:tab w:leader="none" w:pos="644"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651"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September 16, 2020</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1517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6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Aaron J. Pearce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ectPr>
          <w:pgSz w:w="11900" w:h="16838" w:orient="portrait"/>
          <w:cols w:equalWidth="0" w:num="1">
            <w:col w:w="11240"/>
          </w:cols>
          <w:pgMar w:left="320" w:top="887" w:right="3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the undersigned officer of Brady Corporation (the “Company”) certifies to his knowledge that:</w:t>
      </w:r>
    </w:p>
    <w:p>
      <w:pPr>
        <w:spacing w:after="0" w:line="40" w:lineRule="exact"/>
        <w:rPr>
          <w:sz w:val="20"/>
          <w:szCs w:val="20"/>
          <w:color w:val="auto"/>
        </w:rPr>
      </w:pPr>
    </w:p>
    <w:p>
      <w:pPr>
        <w:ind w:right="20" w:firstLine="453"/>
        <w:spacing w:after="0" w:line="282" w:lineRule="auto"/>
        <w:tabs>
          <w:tab w:leader="none" w:pos="716"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year ended July 31, 2020 fully complies with the requirements of Section 13(a) or 15(d) of the Securities Exchange Act of 1934; and</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7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that Form 10-K fairly presents, in all material respects, the financial conditions and results of operations of the Company.</w:t>
      </w: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September 16, 2020</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 MICHAEL NAUMAN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1517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 Michael Nauman</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p>
      <w:pPr>
        <w:sectPr>
          <w:pgSz w:w="11900" w:h="16838" w:orient="portrait"/>
          <w:cols w:equalWidth="0" w:num="1">
            <w:col w:w="11240"/>
          </w:cols>
          <w:pgMar w:left="320" w:top="887"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the undersigned officer of Brady Corporation (the “Company”) certifies to his knowledge that:</w:t>
      </w:r>
    </w:p>
    <w:p>
      <w:pPr>
        <w:spacing w:after="0" w:line="40" w:lineRule="exact"/>
        <w:rPr>
          <w:sz w:val="20"/>
          <w:szCs w:val="20"/>
          <w:color w:val="auto"/>
        </w:rPr>
      </w:pPr>
    </w:p>
    <w:p>
      <w:pPr>
        <w:ind w:right="20" w:firstLine="453"/>
        <w:spacing w:after="0" w:line="282" w:lineRule="auto"/>
        <w:tabs>
          <w:tab w:leader="none" w:pos="716"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year ended July 31, 2020 fully complies with the requirements of Section 13(a) or 15(d) of the Securities Exchange Act of 1934; and</w:t>
      </w:r>
    </w:p>
    <w:p>
      <w:pPr>
        <w:spacing w:after="0" w:line="107" w:lineRule="exact"/>
        <w:rPr>
          <w:rFonts w:ascii="Times New Roman" w:cs="Times New Roman" w:eastAsia="Times New Roman" w:hAnsi="Times New Roman"/>
          <w:sz w:val="18"/>
          <w:szCs w:val="18"/>
          <w:color w:val="auto"/>
        </w:rPr>
      </w:pPr>
    </w:p>
    <w:p>
      <w:pPr>
        <w:ind w:firstLine="453"/>
        <w:spacing w:after="0" w:line="282" w:lineRule="auto"/>
        <w:tabs>
          <w:tab w:leader="none" w:pos="72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that Form 10-K fairly presents, in all material respects, the financial conditions and results of operations of the Company.</w:t>
      </w: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September 16, 2020</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1517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Aaron J. Pearce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F5E7FD0"/>
    <w:multiLevelType w:val="hybridMultilevel"/>
    <w:lvl w:ilvl="0">
      <w:lvlJc w:val="left"/>
      <w:lvlText w:val="☑"/>
      <w:numFmt w:val="bullet"/>
      <w:start w:val="1"/>
    </w:lvl>
  </w:abstractNum>
  <w:abstractNum w:abstractNumId="1">
    <w:nsid w:val="98A3148"/>
    <w:multiLevelType w:val="hybridMultilevel"/>
    <w:lvl w:ilvl="0">
      <w:lvlJc w:val="left"/>
      <w:lvlText w:val="☐"/>
      <w:numFmt w:val="bullet"/>
      <w:start w:val="1"/>
    </w:lvl>
  </w:abstractNum>
  <w:abstractNum w:abstractNumId="2">
    <w:nsid w:val="799D0247"/>
    <w:multiLevelType w:val="hybridMultilevel"/>
    <w:lvl w:ilvl="0">
      <w:lvlJc w:val="left"/>
      <w:lvlText w:val="•"/>
      <w:numFmt w:val="bullet"/>
      <w:start w:val="1"/>
    </w:lvl>
  </w:abstractNum>
  <w:abstractNum w:abstractNumId="3">
    <w:nsid w:val="6B94764"/>
    <w:multiLevelType w:val="hybridMultilevel"/>
    <w:lvl w:ilvl="0">
      <w:lvlJc w:val="left"/>
      <w:lvlText w:val="•"/>
      <w:numFmt w:val="bullet"/>
      <w:start w:val="1"/>
    </w:lvl>
  </w:abstractNum>
  <w:abstractNum w:abstractNumId="4">
    <w:nsid w:val="42C296BD"/>
    <w:multiLevelType w:val="hybridMultilevel"/>
    <w:lvl w:ilvl="0">
      <w:lvlJc w:val="left"/>
      <w:lvlText w:val="•"/>
      <w:numFmt w:val="bullet"/>
      <w:start w:val="1"/>
    </w:lvl>
  </w:abstractNum>
  <w:abstractNum w:abstractNumId="5">
    <w:nsid w:val="168E121F"/>
    <w:multiLevelType w:val="hybridMultilevel"/>
    <w:lvl w:ilvl="0">
      <w:lvlJc w:val="left"/>
      <w:lvlText w:val="•"/>
      <w:numFmt w:val="bullet"/>
      <w:start w:val="1"/>
    </w:lvl>
  </w:abstractNum>
  <w:abstractNum w:abstractNumId="6">
    <w:nsid w:val="1EBA5D23"/>
    <w:multiLevelType w:val="hybridMultilevel"/>
    <w:lvl w:ilvl="0">
      <w:lvlJc w:val="left"/>
      <w:lvlText w:val="•"/>
      <w:numFmt w:val="bullet"/>
      <w:start w:val="1"/>
    </w:lvl>
  </w:abstractNum>
  <w:abstractNum w:abstractNumId="7">
    <w:nsid w:val="661E3F1E"/>
    <w:multiLevelType w:val="hybridMultilevel"/>
    <w:lvl w:ilvl="0">
      <w:lvlJc w:val="left"/>
      <w:lvlText w:val="•"/>
      <w:numFmt w:val="bullet"/>
      <w:start w:val="1"/>
    </w:lvl>
  </w:abstractNum>
  <w:abstractNum w:abstractNumId="8">
    <w:nsid w:val="5DC79EA8"/>
    <w:multiLevelType w:val="hybridMultilevel"/>
    <w:lvl w:ilvl="0">
      <w:lvlJc w:val="left"/>
      <w:lvlText w:val="•"/>
      <w:numFmt w:val="bullet"/>
      <w:start w:val="1"/>
    </w:lvl>
  </w:abstractNum>
  <w:abstractNum w:abstractNumId="9">
    <w:nsid w:val="540A471C"/>
    <w:multiLevelType w:val="hybridMultilevel"/>
    <w:lvl w:ilvl="0">
      <w:lvlJc w:val="left"/>
      <w:lvlText w:val="(%1)"/>
      <w:numFmt w:val="decimal"/>
      <w:start w:val="1"/>
    </w:lvl>
  </w:abstractNum>
  <w:abstractNum w:abstractNumId="10">
    <w:nsid w:val="7BD3EE7B"/>
    <w:multiLevelType w:val="hybridMultilevel"/>
    <w:lvl w:ilvl="0">
      <w:lvlJc w:val="left"/>
      <w:lvlText w:val="(%1)"/>
      <w:numFmt w:val="decimal"/>
      <w:start w:val="4"/>
    </w:lvl>
  </w:abstractNum>
  <w:abstractNum w:abstractNumId="11">
    <w:nsid w:val="51D9C564"/>
    <w:multiLevelType w:val="hybridMultilevel"/>
    <w:lvl w:ilvl="0">
      <w:lvlJc w:val="left"/>
      <w:lvlText w:val="(%1)"/>
      <w:numFmt w:val="lowerRoman"/>
      <w:start w:val="3"/>
    </w:lvl>
  </w:abstractNum>
  <w:abstractNum w:abstractNumId="12">
    <w:nsid w:val="613EFDC5"/>
    <w:multiLevelType w:val="hybridMultilevel"/>
    <w:lvl w:ilvl="0">
      <w:lvlJc w:val="left"/>
      <w:lvlText w:val="•"/>
      <w:numFmt w:val="bullet"/>
      <w:start w:val="1"/>
    </w:lvl>
  </w:abstractNum>
  <w:abstractNum w:abstractNumId="13">
    <w:nsid w:val="BF72B14"/>
    <w:multiLevelType w:val="hybridMultilevel"/>
    <w:lvl w:ilvl="0">
      <w:lvlJc w:val="left"/>
      <w:lvlText w:val="(%1)"/>
      <w:numFmt w:val="decimal"/>
      <w:start w:val="1"/>
    </w:lvl>
  </w:abstractNum>
  <w:abstractNum w:abstractNumId="14">
    <w:nsid w:val="11447B73"/>
    <w:multiLevelType w:val="hybridMultilevel"/>
    <w:lvl w:ilvl="0">
      <w:lvlJc w:val="left"/>
      <w:lvlText w:val="(%1)"/>
      <w:numFmt w:val="decimal"/>
      <w:start w:val="1"/>
    </w:lvl>
  </w:abstractNum>
  <w:abstractNum w:abstractNumId="15">
    <w:nsid w:val="42963E5A"/>
    <w:multiLevelType w:val="hybridMultilevel"/>
    <w:lvl w:ilvl="0">
      <w:lvlJc w:val="left"/>
      <w:lvlText w:val="%1."/>
      <w:numFmt w:val="decimal"/>
      <w:start w:val="10"/>
    </w:lvl>
    <w:lvl w:ilvl="1">
      <w:lvlJc w:val="left"/>
      <w:lvlText w:val="**"/>
      <w:numFmt w:val="bullet"/>
      <w:start w:val="1"/>
    </w:lvl>
  </w:abstractNum>
  <w:abstractNum w:abstractNumId="16">
    <w:nsid w:val="A0382C5"/>
    <w:multiLevelType w:val="hybridMultilevel"/>
    <w:lvl w:ilvl="0">
      <w:lvlJc w:val="left"/>
      <w:lvlText w:val="•"/>
      <w:numFmt w:val="bullet"/>
      <w:start w:val="1"/>
    </w:lvl>
  </w:abstractNum>
  <w:abstractNum w:abstractNumId="17">
    <w:nsid w:val="8F2B15E"/>
    <w:multiLevelType w:val="hybridMultilevel"/>
    <w:lvl w:ilvl="0">
      <w:lvlJc w:val="left"/>
      <w:lvlText w:val="(%1)"/>
      <w:numFmt w:val="decimal"/>
      <w:start w:val="1"/>
    </w:lvl>
  </w:abstractNum>
  <w:abstractNum w:abstractNumId="18">
    <w:nsid w:val="1A32234B"/>
    <w:multiLevelType w:val="hybridMultilevel"/>
    <w:lvl w:ilvl="0">
      <w:lvlJc w:val="left"/>
      <w:lvlText w:val="(%1)"/>
      <w:numFmt w:val="decimal"/>
      <w:start w:val="5"/>
    </w:lvl>
  </w:abstractNum>
  <w:abstractNum w:abstractNumId="19">
    <w:nsid w:val="3B0FD379"/>
    <w:multiLevelType w:val="hybridMultilevel"/>
    <w:lvl w:ilvl="0">
      <w:lvlJc w:val="left"/>
      <w:lvlText w:val="•"/>
      <w:numFmt w:val="bullet"/>
      <w:start w:val="1"/>
    </w:lvl>
  </w:abstractNum>
  <w:abstractNum w:abstractNumId="20">
    <w:nsid w:val="68EB2F63"/>
    <w:multiLevelType w:val="hybridMultilevel"/>
    <w:lvl w:ilvl="0">
      <w:lvlJc w:val="left"/>
      <w:lvlText w:val="•"/>
      <w:numFmt w:val="bullet"/>
      <w:start w:val="1"/>
    </w:lvl>
  </w:abstractNum>
  <w:abstractNum w:abstractNumId="21">
    <w:nsid w:val="4962813B"/>
    <w:multiLevelType w:val="hybridMultilevel"/>
    <w:lvl w:ilvl="0">
      <w:lvlJc w:val="left"/>
      <w:lvlText w:val="(%1)"/>
      <w:numFmt w:val="decimal"/>
      <w:start w:val="1"/>
    </w:lvl>
  </w:abstractNum>
  <w:abstractNum w:abstractNumId="22">
    <w:nsid w:val="60B6DF70"/>
    <w:multiLevelType w:val="hybridMultilevel"/>
    <w:lvl w:ilvl="0">
      <w:lvlJc w:val="left"/>
      <w:lvlText w:val="•"/>
      <w:numFmt w:val="bullet"/>
      <w:start w:val="1"/>
    </w:lvl>
  </w:abstractNum>
  <w:abstractNum w:abstractNumId="23">
    <w:nsid w:val="6A5EE64"/>
    <w:multiLevelType w:val="hybridMultilevel"/>
    <w:lvl w:ilvl="0">
      <w:lvlJc w:val="left"/>
      <w:lvlText w:val="•"/>
      <w:numFmt w:val="bullet"/>
      <w:start w:val="1"/>
    </w:lvl>
  </w:abstractNum>
  <w:abstractNum w:abstractNumId="24">
    <w:nsid w:val="14330624"/>
    <w:multiLevelType w:val="hybridMultilevel"/>
    <w:lvl w:ilvl="0">
      <w:lvlJc w:val="left"/>
      <w:lvlText w:val="(%1)"/>
      <w:numFmt w:val="decimal"/>
      <w:start w:val="1"/>
    </w:lvl>
  </w:abstractNum>
  <w:abstractNum w:abstractNumId="25">
    <w:nsid w:val="7FFFCA11"/>
    <w:multiLevelType w:val="hybridMultilevel"/>
    <w:lvl w:ilvl="0">
      <w:lvlJc w:val="left"/>
      <w:lvlText w:val="-"/>
      <w:numFmt w:val="bullet"/>
      <w:start w:val="1"/>
    </w:lvl>
  </w:abstractNum>
  <w:abstractNum w:abstractNumId="26">
    <w:nsid w:val="1A27709E"/>
    <w:multiLevelType w:val="hybridMultilevel"/>
    <w:lvl w:ilvl="0">
      <w:lvlJc w:val="left"/>
      <w:lvlText w:val="(%1)"/>
      <w:numFmt w:val="decimal"/>
      <w:start w:val="1"/>
    </w:lvl>
  </w:abstractNum>
  <w:abstractNum w:abstractNumId="27">
    <w:nsid w:val="71EA1109"/>
    <w:multiLevelType w:val="hybridMultilevel"/>
    <w:lvl w:ilvl="0">
      <w:lvlJc w:val="left"/>
      <w:lvlText w:val="•"/>
      <w:numFmt w:val="bullet"/>
      <w:start w:val="1"/>
    </w:lvl>
  </w:abstractNum>
  <w:abstractNum w:abstractNumId="28">
    <w:nsid w:val="100F59DC"/>
    <w:multiLevelType w:val="hybridMultilevel"/>
    <w:lvl w:ilvl="0">
      <w:lvlJc w:val="left"/>
      <w:lvlText w:val="(%1)"/>
      <w:numFmt w:val="decimal"/>
      <w:start w:val="1"/>
    </w:lvl>
  </w:abstractNum>
  <w:abstractNum w:abstractNumId="29">
    <w:nsid w:val="7FB7E0AA"/>
    <w:multiLevelType w:val="hybridMultilevel"/>
    <w:lvl w:ilvl="0">
      <w:lvlJc w:val="left"/>
      <w:lvlText w:val="•"/>
      <w:numFmt w:val="bullet"/>
      <w:start w:val="1"/>
    </w:lvl>
  </w:abstractNum>
  <w:abstractNum w:abstractNumId="30">
    <w:nsid w:val="6EB5BD4"/>
    <w:multiLevelType w:val="hybridMultilevel"/>
    <w:lvl w:ilvl="0">
      <w:lvlJc w:val="left"/>
      <w:lvlText w:val="(%1)"/>
      <w:numFmt w:val="decimal"/>
      <w:start w:val="1"/>
    </w:lvl>
  </w:abstractNum>
  <w:abstractNum w:abstractNumId="31">
    <w:nsid w:val="6F6DD9AC"/>
    <w:multiLevelType w:val="hybridMultilevel"/>
    <w:lvl w:ilvl="0">
      <w:lvlJc w:val="left"/>
      <w:lvlText w:val="(%1)"/>
      <w:numFmt w:val="decimal"/>
      <w:start w:val="4"/>
    </w:lvl>
  </w:abstractNum>
  <w:abstractNum w:abstractNumId="32">
    <w:nsid w:val="94211F2"/>
    <w:multiLevelType w:val="hybridMultilevel"/>
    <w:lvl w:ilvl="0">
      <w:lvlJc w:val="left"/>
      <w:lvlText w:val="(%1)"/>
      <w:numFmt w:val="decimal"/>
      <w:start w:val="1"/>
    </w:lvl>
  </w:abstractNum>
  <w:abstractNum w:abstractNumId="33">
    <w:nsid w:val="885E1B"/>
    <w:multiLevelType w:val="hybridMultilevel"/>
    <w:lvl w:ilvl="0">
      <w:lvlJc w:val="left"/>
      <w:lvlText w:val="(%1)"/>
      <w:numFmt w:val="decimal"/>
      <w:start w:val="5"/>
    </w:lvl>
  </w:abstractNum>
  <w:abstractNum w:abstractNumId="34">
    <w:nsid w:val="76272110"/>
    <w:multiLevelType w:val="hybridMultilevel"/>
    <w:lvl w:ilvl="0">
      <w:lvlJc w:val="left"/>
      <w:lvlText w:val="(%1)"/>
      <w:numFmt w:val="decimal"/>
      <w:start w:val="1"/>
    </w:lvl>
  </w:abstractNum>
  <w:abstractNum w:abstractNumId="35">
    <w:nsid w:val="4C04A8AF"/>
    <w:multiLevelType w:val="hybridMultilevel"/>
    <w:lvl w:ilvl="0">
      <w:lvlJc w:val="left"/>
      <w:lvlText w:val="(%1)"/>
      <w:numFmt w:val="decimal"/>
      <w:start w:val="10"/>
    </w:lvl>
  </w:abstractNum>
  <w:abstractNum w:abstractNumId="36">
    <w:nsid w:val="1716703B"/>
    <w:multiLevelType w:val="hybridMultilevel"/>
    <w:lvl w:ilvl="0">
      <w:lvlJc w:val="left"/>
      <w:lvlText w:val="(%1)"/>
      <w:numFmt w:val="decimal"/>
      <w:start w:val="1"/>
    </w:lvl>
  </w:abstractNum>
  <w:abstractNum w:abstractNumId="37">
    <w:nsid w:val="14E17E33"/>
    <w:multiLevelType w:val="hybridMultilevel"/>
    <w:lvl w:ilvl="0">
      <w:lvlJc w:val="left"/>
      <w:lvlText w:val="(%1)"/>
      <w:numFmt w:val="lowerLetter"/>
      <w:start w:val="3"/>
    </w:lvl>
  </w:abstractNum>
  <w:abstractNum w:abstractNumId="38">
    <w:nsid w:val="3222E7CD"/>
    <w:multiLevelType w:val="hybridMultilevel"/>
    <w:lvl w:ilvl="0">
      <w:lvlJc w:val="left"/>
      <w:lvlText w:val="•"/>
      <w:numFmt w:val="bullet"/>
      <w:start w:val="1"/>
    </w:lvl>
  </w:abstractNum>
  <w:abstractNum w:abstractNumId="39">
    <w:nsid w:val="74DE0EE3"/>
    <w:multiLevelType w:val="hybridMultilevel"/>
    <w:lvl w:ilvl="0">
      <w:lvlJc w:val="left"/>
      <w:lvlText w:val="(%1)"/>
      <w:numFmt w:val="decimal"/>
      <w:start w:val="1"/>
    </w:lvl>
  </w:abstractNum>
  <w:abstractNum w:abstractNumId="40">
    <w:nsid w:val="68EBC550"/>
    <w:multiLevelType w:val="hybridMultilevel"/>
    <w:lvl w:ilvl="0">
      <w:lvlJc w:val="left"/>
      <w:lvlText w:val="(%1)"/>
      <w:numFmt w:val="decimal"/>
      <w:start w:val="1"/>
    </w:lvl>
  </w:abstractNum>
  <w:abstractNum w:abstractNumId="41">
    <w:nsid w:val="2DF6D648"/>
    <w:multiLevelType w:val="hybridMultilevel"/>
    <w:lvl w:ilvl="0">
      <w:lvlJc w:val="left"/>
      <w:lvlText w:val="(%1)"/>
      <w:numFmt w:val="decimal"/>
      <w:start w:val="1"/>
    </w:lvl>
  </w:abstractNum>
  <w:abstractNum w:abstractNumId="42">
    <w:nsid w:val="46B7D447"/>
    <w:multiLevelType w:val="hybridMultilevel"/>
    <w:lvl w:ilvl="0">
      <w:lvlJc w:val="left"/>
      <w:lvlText w:val="(%1)"/>
      <w:numFmt w:val="decimal"/>
      <w:start w:val="1"/>
    </w:lvl>
  </w:abstractNum>
  <w:abstractNum w:abstractNumId="43">
    <w:nsid w:val="4A2AC315"/>
    <w:multiLevelType w:val="hybridMultilevel"/>
    <w:lvl w:ilvl="0">
      <w:lvlJc w:val="left"/>
      <w:lvlText w:val="(%1)"/>
      <w:numFmt w:val="decimal"/>
      <w:start w:val="1"/>
    </w:lvl>
  </w:abstractNum>
  <w:abstractNum w:abstractNumId="44">
    <w:nsid w:val="39EE015C"/>
    <w:multiLevelType w:val="hybridMultilevel"/>
    <w:lvl w:ilvl="0">
      <w:lvlJc w:val="left"/>
      <w:lvlText w:val="(%1)"/>
      <w:numFmt w:val="decimal"/>
      <w:start w:val="1"/>
    </w:lvl>
  </w:abstractNum>
  <w:abstractNum w:abstractNumId="45">
    <w:nsid w:val="57FC4FBB"/>
    <w:multiLevelType w:val="hybridMultilevel"/>
    <w:lvl w:ilvl="0">
      <w:lvlJc w:val="left"/>
      <w:lvlText w:val="(%1)"/>
      <w:numFmt w:val="decimal"/>
      <w:start w:val="1"/>
    </w:lvl>
  </w:abstractNum>
  <w:abstractNum w:abstractNumId="46">
    <w:nsid w:val="CC1016F"/>
    <w:multiLevelType w:val="hybridMultilevel"/>
    <w:lvl w:ilvl="0">
      <w:lvlJc w:val="left"/>
      <w:lvlText w:val="(%1)"/>
      <w:numFmt w:val="decimal"/>
      <w:start w:val="1"/>
    </w:lvl>
  </w:abstractNum>
  <w:abstractNum w:abstractNumId="47">
    <w:nsid w:val="43F18422"/>
    <w:multiLevelType w:val="hybridMultilevel"/>
    <w:lvl w:ilvl="0">
      <w:lvlJc w:val="left"/>
      <w:lvlText w:val="•"/>
      <w:numFmt w:val="bullet"/>
      <w:start w:val="1"/>
    </w:lvl>
  </w:abstractNum>
  <w:abstractNum w:abstractNumId="48">
    <w:nsid w:val="60EF0119"/>
    <w:multiLevelType w:val="hybridMultilevel"/>
    <w:lvl w:ilvl="0">
      <w:lvlJc w:val="left"/>
      <w:lvlText w:val="(%1)"/>
      <w:numFmt w:val="decimal"/>
      <w:start w:val="1"/>
    </w:lvl>
  </w:abstractNum>
  <w:abstractNum w:abstractNumId="49">
    <w:nsid w:val="26F324BA"/>
    <w:multiLevelType w:val="hybridMultilevel"/>
    <w:lvl w:ilvl="0">
      <w:lvlJc w:val="left"/>
      <w:lvlText w:val="(%1)"/>
      <w:numFmt w:val="lowerLetter"/>
      <w:start w:val="1"/>
    </w:lvl>
  </w:abstractNum>
  <w:abstractNum w:abstractNumId="50">
    <w:nsid w:val="7F01579B"/>
    <w:multiLevelType w:val="hybridMultilevel"/>
    <w:lvl w:ilvl="0">
      <w:lvlJc w:val="left"/>
      <w:lvlText w:val="%1"/>
      <w:numFmt w:val="lowerLetter"/>
      <w:start w:val="1"/>
    </w:lvl>
    <w:lvl w:ilvl="1">
      <w:lvlJc w:val="left"/>
      <w:lvlText w:val="(%2)"/>
      <w:numFmt w:val="decimal"/>
      <w:start w:val="1"/>
    </w:lvl>
  </w:abstractNum>
  <w:abstractNum w:abstractNumId="51">
    <w:nsid w:val="49DA307D"/>
    <w:multiLevelType w:val="hybridMultilevel"/>
    <w:lvl w:ilvl="0">
      <w:lvlJc w:val="left"/>
      <w:lvlText w:val="(%1)"/>
      <w:numFmt w:val="lowerLetter"/>
      <w:start w:val="2"/>
    </w:lvl>
    <w:lvl w:ilvl="1">
      <w:lvlJc w:val="left"/>
      <w:lvlText w:val="%2"/>
      <w:numFmt w:val="decimal"/>
      <w:start w:val="1"/>
    </w:lvl>
  </w:abstractNum>
  <w:abstractNum w:abstractNumId="52">
    <w:nsid w:val="7055A5F5"/>
    <w:multiLevelType w:val="hybridMultilevel"/>
    <w:lvl w:ilvl="0">
      <w:lvlJc w:val="left"/>
      <w:lvlText w:val="*"/>
      <w:numFmt w:val="bullet"/>
      <w:start w:val="1"/>
    </w:lvl>
  </w:abstractNum>
  <w:abstractNum w:abstractNumId="53">
    <w:nsid w:val="5FB8370B"/>
    <w:multiLevelType w:val="hybridMultilevel"/>
    <w:lvl w:ilvl="0">
      <w:lvlJc w:val="left"/>
      <w:lvlText w:val="%1"/>
      <w:numFmt w:val="lowerLetter"/>
      <w:start w:val="1"/>
    </w:lvl>
    <w:lvl w:ilvl="1">
      <w:lvlJc w:val="left"/>
      <w:lvlText w:val="(%2)"/>
      <w:numFmt w:val="decimal"/>
      <w:start w:val="1"/>
    </w:lvl>
  </w:abstractNum>
  <w:abstractNum w:abstractNumId="54">
    <w:nsid w:val="50801EE1"/>
    <w:multiLevelType w:val="hybridMultilevel"/>
    <w:lvl w:ilvl="0">
      <w:lvlJc w:val="left"/>
      <w:lvlText w:val="(%1)"/>
      <w:numFmt w:val="lowerLetter"/>
      <w:start w:val="3"/>
    </w:lvl>
    <w:lvl w:ilvl="1">
      <w:lvlJc w:val="left"/>
      <w:lvlText w:val="%2"/>
      <w:numFmt w:val="decimal"/>
      <w:start w:val="1"/>
    </w:lvl>
  </w:abstractNum>
  <w:abstractNum w:abstractNumId="55">
    <w:nsid w:val="488AC1A"/>
    <w:multiLevelType w:val="hybridMultilevel"/>
    <w:lvl w:ilvl="0">
      <w:lvlJc w:val="left"/>
      <w:lvlText w:val="(%1)"/>
      <w:numFmt w:val="lowerLetter"/>
      <w:start w:val="4"/>
    </w:lvl>
  </w:abstractNum>
  <w:abstractNum w:abstractNumId="56">
    <w:nsid w:val="5FB8011C"/>
    <w:multiLevelType w:val="hybridMultilevel"/>
    <w:lvl w:ilvl="0">
      <w:lvlJc w:val="left"/>
      <w:lvlText w:val="(%1)"/>
      <w:numFmt w:val="decimal"/>
      <w:start w:val="1"/>
    </w:lvl>
  </w:abstractNum>
  <w:abstractNum w:abstractNumId="57">
    <w:nsid w:val="6AA78F7F"/>
    <w:multiLevelType w:val="hybridMultilevel"/>
    <w:lvl w:ilvl="0">
      <w:lvlJc w:val="left"/>
      <w:lvlText w:val="%1)"/>
      <w:numFmt w:val="decimal"/>
      <w:start w:val="1"/>
    </w:lvl>
  </w:abstractNum>
  <w:abstractNum w:abstractNumId="58">
    <w:nsid w:val="7672BD23"/>
    <w:multiLevelType w:val="hybridMultilevel"/>
    <w:lvl w:ilvl="0">
      <w:lvlJc w:val="left"/>
      <w:lvlText w:val="%1"/>
      <w:numFmt w:val="decimal"/>
      <w:start w:val="21"/>
    </w:lvl>
  </w:abstractNum>
  <w:abstractNum w:abstractNumId="59">
    <w:nsid w:val="6FC75AF8"/>
    <w:multiLevelType w:val="hybridMultilevel"/>
    <w:lvl w:ilvl="0">
      <w:lvlJc w:val="left"/>
      <w:lvlText w:val="*"/>
      <w:numFmt w:val="bullet"/>
      <w:start w:val="1"/>
    </w:lvl>
    <w:lvl w:ilvl="1">
      <w:lvlJc w:val="left"/>
      <w:lvlText w:val="%2"/>
      <w:numFmt w:val="decimal"/>
      <w:start w:val="1"/>
    </w:lvl>
    <w:lvl w:ilvl="2">
      <w:lvlJc w:val="left"/>
      <w:lvlText w:val="%3"/>
      <w:numFmt w:val="decimal"/>
      <w:start w:val="23"/>
    </w:lvl>
  </w:abstractNum>
  <w:abstractNum w:abstractNumId="60">
    <w:nsid w:val="6A5F7029"/>
    <w:multiLevelType w:val="hybridMultilevel"/>
    <w:lvl w:ilvl="0">
      <w:lvlJc w:val="left"/>
      <w:lvlText w:val="*"/>
      <w:numFmt w:val="bullet"/>
      <w:start w:val="1"/>
    </w:lvl>
    <w:lvl w:ilvl="1">
      <w:lvlJc w:val="left"/>
      <w:lvlText w:val="%2"/>
      <w:numFmt w:val="decimal"/>
      <w:start w:val="1"/>
    </w:lvl>
    <w:lvl w:ilvl="2">
      <w:lvlJc w:val="left"/>
      <w:lvlText w:val="%3"/>
      <w:numFmt w:val="decimal"/>
      <w:start w:val="101"/>
    </w:lvl>
  </w:abstractNum>
  <w:abstractNum w:abstractNumId="61">
    <w:nsid w:val="7D5E18F8"/>
    <w:multiLevelType w:val="hybridMultilevel"/>
    <w:lvl w:ilvl="0">
      <w:lvlJc w:val="left"/>
      <w:lvlText w:val="*"/>
      <w:numFmt w:val="bullet"/>
      <w:start w:val="1"/>
    </w:lvl>
    <w:lvl w:ilvl="1">
      <w:lvlJc w:val="left"/>
      <w:lvlText w:val="%2"/>
      <w:numFmt w:val="decimal"/>
      <w:start w:val="1"/>
    </w:lvl>
    <w:lvl w:ilvl="2">
      <w:lvlJc w:val="left"/>
      <w:lvlText w:val="%3"/>
      <w:numFmt w:val="decimal"/>
      <w:start w:val="104"/>
    </w:lvl>
  </w:abstractNum>
  <w:abstractNum w:abstractNumId="62">
    <w:nsid w:val="5F3534A4"/>
    <w:multiLevelType w:val="hybridMultilevel"/>
    <w:lvl w:ilvl="0">
      <w:lvlJc w:val="left"/>
      <w:lvlText w:val="*"/>
      <w:numFmt w:val="bullet"/>
      <w:start w:val="1"/>
    </w:lvl>
    <w:lvl w:ilvl="1">
      <w:lvlJc w:val="left"/>
      <w:lvlText w:val="(%2)"/>
      <w:numFmt w:val="decimal"/>
      <w:start w:val="1"/>
    </w:lvl>
    <w:lvl w:ilvl="2">
      <w:lvlJc w:val="left"/>
      <w:lvlText w:val="%3"/>
      <w:numFmt w:val="decimal"/>
      <w:start w:val="1"/>
    </w:lvl>
  </w:abstractNum>
  <w:abstractNum w:abstractNumId="63">
    <w:nsid w:val="73A1821B"/>
    <w:multiLevelType w:val="hybridMultilevel"/>
    <w:lvl w:ilvl="0">
      <w:lvlJc w:val="left"/>
      <w:lvlText w:val="(%1)"/>
      <w:numFmt w:val="decimal"/>
      <w:start w:val="24"/>
    </w:lvl>
  </w:abstractNum>
  <w:abstractNum w:abstractNumId="64">
    <w:nsid w:val="7DE67713"/>
    <w:multiLevelType w:val="hybridMultilevel"/>
    <w:lvl w:ilvl="0">
      <w:lvlJc w:val="left"/>
      <w:lvlText w:val="*"/>
      <w:numFmt w:val="bullet"/>
      <w:start w:val="1"/>
    </w:lvl>
  </w:abstractNum>
  <w:abstractNum w:abstractNumId="65">
    <w:nsid w:val="555C55B5"/>
    <w:multiLevelType w:val="hybridMultilevel"/>
    <w:lvl w:ilvl="0">
      <w:lvlJc w:val="left"/>
      <w:lvlText w:val="(%1)"/>
      <w:numFmt w:val="lowerLetter"/>
      <w:start w:val="1"/>
    </w:lvl>
  </w:abstractNum>
  <w:abstractNum w:abstractNumId="66">
    <w:nsid w:val="3FA62ACA"/>
    <w:multiLevelType w:val="hybridMultilevel"/>
    <w:lvl w:ilvl="0">
      <w:lvlJc w:val="left"/>
      <w:lvlText w:val="(%1)"/>
      <w:numFmt w:val="lowerLetter"/>
      <w:start w:val="1"/>
    </w:lvl>
  </w:abstractNum>
  <w:abstractNum w:abstractNumId="67">
    <w:nsid w:val="14FCE74E"/>
    <w:multiLevelType w:val="hybridMultilevel"/>
    <w:lvl w:ilvl="0">
      <w:lvlJc w:val="left"/>
      <w:lvlText w:val="(%1)"/>
      <w:numFmt w:val="lowerLetter"/>
      <w:start w:val="1"/>
    </w:lvl>
  </w:abstractNum>
  <w:abstractNum w:abstractNumId="68">
    <w:nsid w:val="6A3DD3E8"/>
    <w:multiLevelType w:val="hybridMultilevel"/>
    <w:lvl w:ilvl="0">
      <w:lvlJc w:val="left"/>
      <w:lvlText w:val="(%1)"/>
      <w:numFmt w:val="lowerLetter"/>
      <w:start w:val="1"/>
    </w:lvl>
  </w:abstractNum>
  <w:abstractNum w:abstractNumId="69">
    <w:nsid w:val="71C91298"/>
    <w:multiLevelType w:val="hybridMultilevel"/>
    <w:lvl w:ilvl="0">
      <w:lvlJc w:val="left"/>
      <w:lvlText w:val="(%1)"/>
      <w:numFmt w:val="lowerLetter"/>
      <w:start w:val="6"/>
    </w:lvl>
  </w:abstractNum>
  <w:abstractNum w:abstractNumId="70">
    <w:nsid w:val="9DAF632"/>
    <w:multiLevelType w:val="hybridMultilevel"/>
    <w:lvl w:ilvl="0">
      <w:lvlJc w:val="left"/>
      <w:lvlText w:val="(%1)"/>
      <w:numFmt w:val="lowerLetter"/>
      <w:start w:val="9"/>
    </w:lvl>
  </w:abstractNum>
  <w:abstractNum w:abstractNumId="71">
    <w:nsid w:val="53299938"/>
    <w:multiLevelType w:val="hybridMultilevel"/>
    <w:lvl w:ilvl="0">
      <w:lvlJc w:val="left"/>
      <w:lvlText w:val="(%1)"/>
      <w:numFmt w:val="lowerLetter"/>
      <w:start w:val="1"/>
    </w:lvl>
  </w:abstractNum>
  <w:abstractNum w:abstractNumId="72">
    <w:nsid w:val="1FBFE8E0"/>
    <w:multiLevelType w:val="hybridMultilevel"/>
    <w:lvl w:ilvl="0">
      <w:lvlJc w:val="left"/>
      <w:lvlText w:val="(%1)"/>
      <w:numFmt w:val="lowerRoman"/>
      <w:start w:val="1"/>
    </w:lvl>
  </w:abstractNum>
  <w:abstractNum w:abstractNumId="73">
    <w:nsid w:val="5092CA79"/>
    <w:multiLevelType w:val="hybridMultilevel"/>
    <w:lvl w:ilvl="0">
      <w:lvlJc w:val="left"/>
      <w:lvlText w:val="%1"/>
      <w:numFmt w:val="lowerRoman"/>
      <w:start w:val="1"/>
    </w:lvl>
    <w:lvl w:ilvl="1">
      <w:lvlJc w:val="left"/>
      <w:lvlText w:val="%2."/>
      <w:numFmt w:val="decimal"/>
      <w:start w:val="5"/>
    </w:lvl>
    <w:lvl w:ilvl="2">
      <w:lvlJc w:val="left"/>
      <w:lvlText w:val="(%3)"/>
      <w:numFmt w:val="lowerLetter"/>
      <w:start w:val="1"/>
    </w:lvl>
  </w:abstractNum>
  <w:abstractNum w:abstractNumId="74">
    <w:nsid w:val="1D545C4D"/>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2"/>
    </w:lvl>
  </w:abstractNum>
  <w:abstractNum w:abstractNumId="75">
    <w:nsid w:val="59ADEA3D"/>
    <w:multiLevelType w:val="hybridMultilevel"/>
    <w:lvl w:ilvl="0">
      <w:lvlJc w:val="left"/>
      <w:lvlText w:val="(%1)"/>
      <w:numFmt w:val="lowerLetter"/>
      <w:start w:val="1"/>
    </w:lvl>
  </w:abstractNum>
  <w:abstractNum w:abstractNumId="76">
    <w:nsid w:val="288F1A34"/>
    <w:multiLevelType w:val="hybridMultilevel"/>
    <w:lvl w:ilvl="0">
      <w:lvlJc w:val="left"/>
      <w:lvlText w:val="%1"/>
      <w:numFmt w:val="lowerLetter"/>
      <w:start w:val="1"/>
    </w:lvl>
    <w:lvl w:ilvl="1">
      <w:lvlJc w:val="left"/>
      <w:lvlText w:val="(%2)"/>
      <w:numFmt w:val="lowerRoman"/>
      <w:start w:val="1"/>
    </w:lvl>
  </w:abstractNum>
  <w:abstractNum w:abstractNumId="77">
    <w:nsid w:val="2A155DBC"/>
    <w:multiLevelType w:val="hybridMultilevel"/>
    <w:lvl w:ilvl="0">
      <w:lvlJc w:val="left"/>
      <w:lvlText w:val="(%1)"/>
      <w:numFmt w:val="lowerLetter"/>
      <w:start w:val="2"/>
    </w:lvl>
    <w:lvl w:ilvl="1">
      <w:lvlJc w:val="left"/>
      <w:lvlText w:val="%2"/>
      <w:numFmt w:val="lowerRoman"/>
      <w:start w:val="1"/>
    </w:lvl>
  </w:abstractNum>
  <w:abstractNum w:abstractNumId="78">
    <w:nsid w:val="1D9F6E5F"/>
    <w:multiLevelType w:val="hybridMultilevel"/>
    <w:lvl w:ilvl="0">
      <w:lvlJc w:val="left"/>
      <w:lvlText w:val="(%1)"/>
      <w:numFmt w:val="lowerLetter"/>
      <w:start w:val="4"/>
    </w:lvl>
    <w:lvl w:ilvl="1">
      <w:lvlJc w:val="left"/>
      <w:lvlText w:val="(%2)"/>
      <w:numFmt w:val="lowerLetter"/>
      <w:start w:val="9"/>
    </w:lvl>
  </w:abstractNum>
  <w:abstractNum w:abstractNumId="79">
    <w:nsid w:val="97E1B4E"/>
    <w:multiLevelType w:val="hybridMultilevel"/>
    <w:lvl w:ilvl="0">
      <w:lvlJc w:val="left"/>
      <w:lvlText w:val="%1"/>
      <w:numFmt w:val="decimal"/>
      <w:start w:val="1"/>
    </w:lvl>
    <w:lvl w:ilvl="1">
      <w:lvlJc w:val="left"/>
      <w:lvlText w:val="(%2)"/>
      <w:numFmt w:val="lowerRoman"/>
      <w:start w:val="2"/>
    </w:lvl>
  </w:abstractNum>
  <w:abstractNum w:abstractNumId="80">
    <w:nsid w:val="51088277"/>
    <w:multiLevelType w:val="hybridMultilevel"/>
    <w:lvl w:ilvl="0">
      <w:lvlJc w:val="left"/>
      <w:lvlText w:val="%1."/>
      <w:numFmt w:val="decimal"/>
      <w:start w:val="10"/>
    </w:lvl>
    <w:lvl w:ilvl="1">
      <w:lvlJc w:val="left"/>
      <w:lvlText w:val="%2"/>
      <w:numFmt w:val="lowerRoman"/>
      <w:start w:val="1"/>
    </w:lvl>
  </w:abstractNum>
  <w:abstractNum w:abstractNumId="81">
    <w:nsid w:val="1CA0C5FA"/>
    <w:multiLevelType w:val="hybridMultilevel"/>
    <w:lvl w:ilvl="0">
      <w:lvlJc w:val="left"/>
      <w:lvlText w:val="%1."/>
      <w:numFmt w:val="decimal"/>
      <w:start w:val="1"/>
    </w:lvl>
  </w:abstractNum>
  <w:abstractNum w:abstractNumId="82">
    <w:nsid w:val="53584BCB"/>
    <w:multiLevelType w:val="hybridMultilevel"/>
    <w:lvl w:ilvl="0">
      <w:lvlJc w:val="left"/>
      <w:lvlText w:val="%1."/>
      <w:numFmt w:val="decimal"/>
      <w:start w:val="2"/>
    </w:lvl>
  </w:abstractNum>
  <w:abstractNum w:abstractNumId="83">
    <w:nsid w:val="415E286C"/>
    <w:multiLevelType w:val="hybridMultilevel"/>
    <w:lvl w:ilvl="0">
      <w:lvlJc w:val="left"/>
      <w:lvlText w:val="(%1)"/>
      <w:numFmt w:val="lowerLetter"/>
      <w:start w:val="1"/>
    </w:lvl>
    <w:lvl w:ilvl="1">
      <w:lvlJc w:val="left"/>
      <w:lvlText w:val="(%2)"/>
      <w:numFmt w:val="lowerRoman"/>
      <w:start w:val="1"/>
    </w:lvl>
  </w:abstractNum>
  <w:abstractNum w:abstractNumId="84">
    <w:nsid w:val="7C58FD0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85">
    <w:nsid w:val="23D86AAC"/>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86">
    <w:nsid w:val="45E6D486"/>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87">
    <w:nsid w:val="5C10FE21"/>
    <w:multiLevelType w:val="hybridMultilevel"/>
    <w:lvl w:ilvl="0">
      <w:lvlJc w:val="left"/>
      <w:lvlText w:val="%1."/>
      <w:numFmt w:val="decimal"/>
      <w:start w:val="6"/>
    </w:lvl>
    <w:lvl w:ilvl="1">
      <w:lvlJc w:val="left"/>
      <w:lvlText w:val="(%2)"/>
      <w:numFmt w:val="lowerLetter"/>
      <w:start w:val="1"/>
    </w:lvl>
  </w:abstractNum>
  <w:abstractNum w:abstractNumId="88">
    <w:nsid w:val="E7FFA2B"/>
    <w:multiLevelType w:val="hybridMultilevel"/>
    <w:lvl w:ilvl="0">
      <w:lvlJc w:val="left"/>
      <w:lvlText w:val="%1"/>
      <w:numFmt w:val="lowerLetter"/>
      <w:start w:val="1"/>
    </w:lvl>
    <w:lvl w:ilvl="1">
      <w:lvlJc w:val="left"/>
      <w:lvlText w:val="(%2)"/>
      <w:numFmt w:val="lowerRoman"/>
      <w:start w:val="1"/>
    </w:lvl>
  </w:abstractNum>
  <w:abstractNum w:abstractNumId="89">
    <w:nsid w:val="3C5991AA"/>
    <w:multiLevelType w:val="hybridMultilevel"/>
    <w:lvl w:ilvl="0">
      <w:lvlJc w:val="left"/>
      <w:lvlText w:val="(%1)"/>
      <w:numFmt w:val="lowerLetter"/>
      <w:start w:val="2"/>
    </w:lvl>
    <w:lvl w:ilvl="1">
      <w:lvlJc w:val="left"/>
      <w:lvlText w:val="%2"/>
      <w:numFmt w:val="lowerRoman"/>
      <w:start w:val="1"/>
    </w:lvl>
  </w:abstractNum>
  <w:abstractNum w:abstractNumId="90">
    <w:nsid w:val="4BD8591A"/>
    <w:multiLevelType w:val="hybridMultilevel"/>
    <w:lvl w:ilvl="0">
      <w:lvlJc w:val="left"/>
      <w:lvlText w:val="(%1)"/>
      <w:numFmt w:val="lowerLetter"/>
      <w:start w:val="3"/>
    </w:lvl>
  </w:abstractNum>
  <w:abstractNum w:abstractNumId="91">
    <w:nsid w:val="78DF6A55"/>
    <w:multiLevelType w:val="hybridMultilevel"/>
    <w:lvl w:ilvl="0">
      <w:lvlJc w:val="left"/>
      <w:lvlText w:val="%1"/>
      <w:numFmt w:val="decimal"/>
      <w:start w:val="1"/>
    </w:lvl>
    <w:lvl w:ilvl="1">
      <w:lvlJc w:val="left"/>
      <w:lvlText w:val="(%2)"/>
      <w:numFmt w:val="lowerLetter"/>
      <w:start w:val="9"/>
    </w:lvl>
  </w:abstractNum>
  <w:abstractNum w:abstractNumId="92">
    <w:nsid w:val="39B7AAA2"/>
    <w:multiLevelType w:val="hybridMultilevel"/>
    <w:lvl w:ilvl="0">
      <w:lvlJc w:val="left"/>
      <w:lvlText w:val="%1."/>
      <w:numFmt w:val="decimal"/>
      <w:start w:val="9"/>
    </w:lvl>
    <w:lvl w:ilvl="1">
      <w:lvlJc w:val="left"/>
      <w:lvlText w:val="%2"/>
      <w:numFmt w:val="lowerLetter"/>
      <w:start w:val="1"/>
    </w:lvl>
  </w:abstractNum>
  <w:abstractNum w:abstractNumId="93">
    <w:nsid w:val="2B0D8DBE"/>
    <w:multiLevelType w:val="hybridMultilevel"/>
    <w:lvl w:ilvl="0">
      <w:lvlJc w:val="left"/>
      <w:lvlText w:val="%1."/>
      <w:numFmt w:val="decimal"/>
      <w:start w:val="10"/>
    </w:lvl>
  </w:abstractNum>
  <w:abstractNum w:abstractNumId="94">
    <w:nsid w:val="6C80EC70"/>
    <w:multiLevelType w:val="hybridMultilevel"/>
    <w:lvl w:ilvl="0">
      <w:lvlJc w:val="left"/>
      <w:lvlText w:val="%1"/>
      <w:numFmt w:val="decimal"/>
      <w:start w:val="1"/>
    </w:lvl>
    <w:lvl w:ilvl="1">
      <w:lvlJc w:val="left"/>
      <w:lvlText w:val="(%2)"/>
      <w:numFmt w:val="lowerLetter"/>
      <w:start w:val="1"/>
    </w:lvl>
  </w:abstractNum>
  <w:abstractNum w:abstractNumId="95">
    <w:nsid w:val="379E21B5"/>
    <w:multiLevelType w:val="hybridMultilevel"/>
    <w:lvl w:ilvl="0">
      <w:lvlJc w:val="left"/>
      <w:lvlText w:val="(%1)"/>
      <w:numFmt w:val="decimal"/>
      <w:start w:val="2"/>
    </w:lvl>
    <w:lvl w:ilvl="1">
      <w:lvlJc w:val="left"/>
      <w:lvlText w:val="(%2)"/>
      <w:numFmt w:val="lowerLetter"/>
      <w:start w:val="2"/>
    </w:lvl>
  </w:abstractNum>
  <w:abstractNum w:abstractNumId="96">
    <w:nsid w:val="69E373"/>
    <w:multiLevelType w:val="hybridMultilevel"/>
    <w:lvl w:ilvl="0">
      <w:lvlJc w:val="left"/>
      <w:lvlText w:val="%1"/>
      <w:numFmt w:val="lowerLetter"/>
      <w:start w:val="1"/>
    </w:lvl>
    <w:lvl w:ilvl="1">
      <w:lvlJc w:val="left"/>
      <w:lvlText w:val="(%2)"/>
      <w:numFmt w:val="lowerLetter"/>
      <w:start w:val="4"/>
    </w:lvl>
  </w:abstractNum>
  <w:abstractNum w:abstractNumId="97">
    <w:nsid w:val="2C27173B"/>
    <w:multiLevelType w:val="hybridMultilevel"/>
    <w:lvl w:ilvl="0">
      <w:lvlJc w:val="left"/>
      <w:lvlText w:val="(%1)"/>
      <w:numFmt w:val="lowerLetter"/>
      <w:start w:val="9"/>
    </w:lvl>
    <w:lvl w:ilvl="1">
      <w:lvlJc w:val="left"/>
      <w:lvlText w:val="%2"/>
      <w:numFmt w:val="lowerLetter"/>
      <w:start w:val="1"/>
    </w:lvl>
  </w:abstractNum>
  <w:abstractNum w:abstractNumId="98">
    <w:nsid w:val="4C9B0904"/>
    <w:multiLevelType w:val="hybridMultilevel"/>
    <w:lvl w:ilvl="0">
      <w:lvlJc w:val="left"/>
      <w:lvlText w:val="\endash "/>
      <w:numFmt w:val="bullet"/>
      <w:start w:val="1"/>
    </w:lvl>
  </w:abstractNum>
  <w:abstractNum w:abstractNumId="99">
    <w:nsid w:val="6AA7B75C"/>
    <w:multiLevelType w:val="hybridMultilevel"/>
    <w:lvl w:ilvl="0">
      <w:lvlJc w:val="left"/>
      <w:lvlText w:val="%1."/>
      <w:numFmt w:val="decimal"/>
      <w:start w:val="2"/>
    </w:lvl>
  </w:abstractNum>
  <w:abstractNum w:abstractNumId="100">
    <w:nsid w:val="1DF029D3"/>
    <w:multiLevelType w:val="hybridMultilevel"/>
    <w:lvl w:ilvl="0">
      <w:lvlJc w:val="left"/>
      <w:lvlText w:val="%1"/>
      <w:numFmt w:val="decimal"/>
      <w:start w:val="1"/>
    </w:lvl>
    <w:lvl w:ilvl="1">
      <w:lvlJc w:val="left"/>
      <w:lvlText w:val="%2."/>
      <w:numFmt w:val="lowerLetter"/>
      <w:start w:val="3"/>
    </w:lvl>
    <w:lvl w:ilvl="2">
      <w:lvlJc w:val="left"/>
      <w:lvlText w:val="\endash "/>
      <w:numFmt w:val="bullet"/>
      <w:start w:val="1"/>
    </w:lvl>
  </w:abstractNum>
  <w:abstractNum w:abstractNumId="101">
    <w:nsid w:val="5675FF36"/>
    <w:multiLevelType w:val="hybridMultilevel"/>
    <w:lvl w:ilvl="0">
      <w:lvlJc w:val="left"/>
      <w:lvlText w:val="%1."/>
      <w:numFmt w:val="decimal"/>
      <w:start w:val="3"/>
    </w:lvl>
    <w:lvl w:ilvl="1">
      <w:lvlJc w:val="left"/>
      <w:lvlText w:val="%2"/>
      <w:numFmt w:val="lowerLetter"/>
      <w:start w:val="1"/>
    </w:lvl>
    <w:lvl w:ilvl="2">
      <w:lvlJc w:val="left"/>
      <w:lvlText w:val="\endash "/>
      <w:numFmt w:val="bullet"/>
      <w:start w:val="1"/>
    </w:lvl>
  </w:abstractNum>
  <w:abstractNum w:abstractNumId="102">
    <w:nsid w:val="3DD15094"/>
    <w:multiLevelType w:val="hybridMultilevel"/>
    <w:lvl w:ilvl="0">
      <w:lvlJc w:val="left"/>
      <w:lvlText w:val="%1."/>
      <w:numFmt w:val="decimal"/>
      <w:start w:val="1"/>
    </w:lvl>
  </w:abstractNum>
  <w:abstractNum w:abstractNumId="103">
    <w:nsid w:val="3DB012B3"/>
    <w:multiLevelType w:val="hybridMultilevel"/>
    <w:lvl w:ilvl="0">
      <w:lvlJc w:val="left"/>
      <w:lvlText w:val="\endash "/>
      <w:numFmt w:val="bullet"/>
      <w:start w:val="1"/>
    </w:lvl>
  </w:abstractNum>
  <w:abstractNum w:abstractNumId="104">
    <w:nsid w:val="2708C9AF"/>
    <w:multiLevelType w:val="hybridMultilevel"/>
    <w:lvl w:ilvl="0">
      <w:lvlJc w:val="left"/>
      <w:lvlText w:val="%1."/>
      <w:numFmt w:val="decimal"/>
      <w:start w:val="3"/>
    </w:lvl>
    <w:lvl w:ilvl="1">
      <w:lvlJc w:val="left"/>
      <w:lvlText w:val="\endash "/>
      <w:numFmt w:val="bullet"/>
      <w:start w:val="1"/>
    </w:lvl>
  </w:abstractNum>
  <w:abstractNum w:abstractNumId="105">
    <w:nsid w:val="5B25ACE2"/>
    <w:multiLevelType w:val="hybridMultilevel"/>
    <w:lvl w:ilvl="0">
      <w:lvlJc w:val="left"/>
      <w:lvlText w:val="%1)"/>
      <w:numFmt w:val="lowerLetter"/>
      <w:start w:val="1"/>
    </w:lvl>
  </w:abstractNum>
  <w:abstractNum w:abstractNumId="106">
    <w:nsid w:val="175DFCF0"/>
    <w:multiLevelType w:val="hybridMultilevel"/>
    <w:lvl w:ilvl="0">
      <w:lvlJc w:val="left"/>
      <w:lvlText w:val="%1."/>
      <w:numFmt w:val="lowerLetter"/>
      <w:start w:val="1"/>
    </w:lvl>
  </w:abstractNum>
  <w:abstractNum w:abstractNumId="107">
    <w:nsid w:val="4F97E3E4"/>
    <w:multiLevelType w:val="hybridMultilevel"/>
    <w:lvl w:ilvl="0">
      <w:lvlJc w:val="left"/>
      <w:lvlText w:val="(%1)"/>
      <w:numFmt w:val="lowerLetter"/>
      <w:start w:val="2"/>
    </w:lvl>
  </w:abstractNum>
  <w:abstractNum w:abstractNumId="108">
    <w:nsid w:val="53B0A9E"/>
    <w:multiLevelType w:val="hybridMultilevel"/>
    <w:lvl w:ilvl="0">
      <w:lvlJc w:val="left"/>
      <w:lvlText w:val="%1."/>
      <w:numFmt w:val="lowerLetter"/>
      <w:start w:val="1"/>
    </w:lvl>
  </w:abstractNum>
  <w:abstractNum w:abstractNumId="109">
    <w:nsid w:val="34FD6B4F"/>
    <w:multiLevelType w:val="hybridMultilevel"/>
    <w:lvl w:ilvl="0">
      <w:lvlJc w:val="left"/>
      <w:lvlText w:val="\endash "/>
      <w:numFmt w:val="bullet"/>
      <w:start w:val="1"/>
    </w:lvl>
  </w:abstractNum>
  <w:abstractNum w:abstractNumId="110">
    <w:nsid w:val="5915FF32"/>
    <w:multiLevelType w:val="hybridMultilevel"/>
    <w:lvl w:ilvl="0">
      <w:lvlJc w:val="left"/>
      <w:lvlText w:val="%1."/>
      <w:numFmt w:val="decimal"/>
      <w:start w:val="2"/>
    </w:lvl>
  </w:abstractNum>
  <w:abstractNum w:abstractNumId="111">
    <w:nsid w:val="56438D15"/>
    <w:multiLevelType w:val="hybridMultilevel"/>
    <w:lvl w:ilvl="0">
      <w:lvlJc w:val="left"/>
      <w:lvlText w:val="\endash "/>
      <w:numFmt w:val="bullet"/>
      <w:start w:val="1"/>
    </w:lvl>
  </w:abstractNum>
  <w:abstractNum w:abstractNumId="112">
    <w:nsid w:val="519E3149"/>
    <w:multiLevelType w:val="hybridMultilevel"/>
    <w:lvl w:ilvl="0">
      <w:lvlJc w:val="left"/>
      <w:lvlText w:val="(%1)"/>
      <w:numFmt w:val="lowerLetter"/>
      <w:start w:val="1"/>
    </w:lvl>
  </w:abstractNum>
  <w:abstractNum w:abstractNumId="113">
    <w:nsid w:val="2C6E4AFD"/>
    <w:multiLevelType w:val="hybridMultilevel"/>
    <w:lvl w:ilvl="0">
      <w:lvlJc w:val="left"/>
      <w:lvlText w:val="(%1)"/>
      <w:numFmt w:val="lowerLetter"/>
      <w:start w:val="2"/>
    </w:lvl>
    <w:lvl w:ilvl="1">
      <w:lvlJc w:val="left"/>
      <w:lvlText w:val="\endash "/>
      <w:numFmt w:val="bullet"/>
      <w:start w:val="1"/>
    </w:lvl>
    <w:lvl w:ilvl="2">
      <w:lvlJc w:val="left"/>
      <w:lvlText w:val="•"/>
      <w:numFmt w:val="bullet"/>
      <w:start w:val="1"/>
    </w:lvl>
  </w:abstractNum>
  <w:abstractNum w:abstractNumId="114">
    <w:nsid w:val="17A1B582"/>
    <w:multiLevelType w:val="hybridMultilevel"/>
    <w:lvl w:ilvl="0">
      <w:lvlJc w:val="left"/>
      <w:lvlText w:val="\endash "/>
      <w:numFmt w:val="bullet"/>
      <w:start w:val="1"/>
    </w:lvl>
  </w:abstractNum>
  <w:abstractNum w:abstractNumId="115">
    <w:nsid w:val="4DF72E4E"/>
    <w:multiLevelType w:val="hybridMultilevel"/>
    <w:lvl w:ilvl="0">
      <w:lvlJc w:val="left"/>
      <w:lvlText w:val="\endash "/>
      <w:numFmt w:val="bullet"/>
      <w:start w:val="1"/>
    </w:lvl>
  </w:abstractNum>
  <w:abstractNum w:abstractNumId="116">
    <w:nsid w:val="5046B5A9"/>
    <w:multiLevelType w:val="hybridMultilevel"/>
    <w:lvl w:ilvl="0">
      <w:lvlJc w:val="left"/>
      <w:lvlText w:val="\endash "/>
      <w:numFmt w:val="bullet"/>
      <w:start w:val="1"/>
    </w:lvl>
  </w:abstractNum>
  <w:abstractNum w:abstractNumId="117">
    <w:nsid w:val="5D888A08"/>
    <w:multiLevelType w:val="hybridMultilevel"/>
    <w:lvl w:ilvl="0">
      <w:lvlJc w:val="left"/>
      <w:lvlText w:val="%1."/>
      <w:numFmt w:val="lowerLetter"/>
      <w:start w:val="3"/>
    </w:lvl>
    <w:lvl w:ilvl="1">
      <w:lvlJc w:val="left"/>
      <w:lvlText w:val="\endash "/>
      <w:numFmt w:val="bullet"/>
      <w:start w:val="1"/>
    </w:lvl>
  </w:abstractNum>
  <w:abstractNum w:abstractNumId="118">
    <w:nsid w:val="2A082C70"/>
    <w:multiLevelType w:val="hybridMultilevel"/>
    <w:lvl w:ilvl="0">
      <w:lvlJc w:val="left"/>
      <w:lvlText w:val="•"/>
      <w:numFmt w:val="bullet"/>
      <w:start w:val="1"/>
    </w:lvl>
  </w:abstractNum>
  <w:abstractNum w:abstractNumId="119">
    <w:nsid w:val="5EC6AFD4"/>
    <w:multiLevelType w:val="hybridMultilevel"/>
    <w:lvl w:ilvl="0">
      <w:lvlJc w:val="left"/>
      <w:lvlText w:val="%1."/>
      <w:numFmt w:val="decimal"/>
      <w:start w:val="2"/>
    </w:lvl>
    <w:lvl w:ilvl="1">
      <w:lvlJc w:val="left"/>
      <w:lvlText w:val="\endash "/>
      <w:numFmt w:val="bullet"/>
      <w:start w:val="1"/>
    </w:lvl>
  </w:abstractNum>
  <w:abstractNum w:abstractNumId="120">
    <w:nsid w:val="19E21BB2"/>
    <w:multiLevelType w:val="hybridMultilevel"/>
    <w:lvl w:ilvl="0">
      <w:lvlJc w:val="left"/>
      <w:lvlText w:val="\endash "/>
      <w:numFmt w:val="bullet"/>
      <w:start w:val="1"/>
    </w:lvl>
  </w:abstractNum>
  <w:abstractNum w:abstractNumId="121">
    <w:nsid w:val="75E0858A"/>
    <w:multiLevelType w:val="hybridMultilevel"/>
    <w:lvl w:ilvl="0">
      <w:lvlJc w:val="left"/>
      <w:lvlText w:val="(%1)"/>
      <w:numFmt w:val="lowerLetter"/>
      <w:start w:val="1"/>
    </w:lvl>
  </w:abstractNum>
  <w:abstractNum w:abstractNumId="122">
    <w:nsid w:val="57A61A29"/>
    <w:multiLevelType w:val="hybridMultilevel"/>
    <w:lvl w:ilvl="0">
      <w:lvlJc w:val="left"/>
      <w:lvlText w:val="(%1)"/>
      <w:numFmt w:val="lowerLetter"/>
      <w:start w:val="2"/>
    </w:lvl>
    <w:lvl w:ilvl="1">
      <w:lvlJc w:val="left"/>
      <w:lvlText w:val="\endash "/>
      <w:numFmt w:val="bullet"/>
      <w:start w:val="1"/>
    </w:lvl>
    <w:lvl w:ilvl="2">
      <w:lvlJc w:val="left"/>
      <w:lvlText w:val="•"/>
      <w:numFmt w:val="bullet"/>
      <w:start w:val="1"/>
    </w:lvl>
  </w:abstractNum>
  <w:abstractNum w:abstractNumId="123">
    <w:nsid w:val="5399C654"/>
    <w:multiLevelType w:val="hybridMultilevel"/>
    <w:lvl w:ilvl="0">
      <w:lvlJc w:val="left"/>
      <w:lvlText w:val="\endash "/>
      <w:numFmt w:val="bullet"/>
      <w:start w:val="1"/>
    </w:lvl>
  </w:abstractNum>
  <w:abstractNum w:abstractNumId="124">
    <w:nsid w:val="20EE1348"/>
    <w:multiLevelType w:val="hybridMultilevel"/>
    <w:lvl w:ilvl="0">
      <w:lvlJc w:val="left"/>
      <w:lvlText w:val="\endash "/>
      <w:numFmt w:val="bullet"/>
      <w:start w:val="1"/>
    </w:lvl>
  </w:abstractNum>
  <w:abstractNum w:abstractNumId="125">
    <w:nsid w:val="4427069A"/>
    <w:multiLevelType w:val="hybridMultilevel"/>
    <w:lvl w:ilvl="0">
      <w:lvlJc w:val="left"/>
      <w:lvlText w:val="\endash "/>
      <w:numFmt w:val="bullet"/>
      <w:start w:val="1"/>
    </w:lvl>
  </w:abstractNum>
  <w:abstractNum w:abstractNumId="126">
    <w:nsid w:val="B37E80A"/>
    <w:multiLevelType w:val="hybridMultilevel"/>
    <w:lvl w:ilvl="0">
      <w:lvlJc w:val="left"/>
      <w:lvlText w:val="%1."/>
      <w:numFmt w:val="decimal"/>
      <w:start w:val="1"/>
    </w:lvl>
  </w:abstractNum>
  <w:abstractNum w:abstractNumId="127">
    <w:nsid w:val="2157F6BC"/>
    <w:multiLevelType w:val="hybridMultilevel"/>
    <w:lvl w:ilvl="0">
      <w:lvlJc w:val="left"/>
      <w:lvlText w:val="%1."/>
      <w:numFmt w:val="decimal"/>
      <w:start w:val="2"/>
    </w:lvl>
  </w:abstractNum>
  <w:abstractNum w:abstractNumId="128">
    <w:nsid w:val="704E1DD5"/>
    <w:multiLevelType w:val="hybridMultilevel"/>
    <w:lvl w:ilvl="0">
      <w:lvlJc w:val="left"/>
      <w:lvlText w:val="à"/>
      <w:numFmt w:val="bullet"/>
      <w:start w:val="1"/>
    </w:lvl>
  </w:abstractNum>
  <w:abstractNum w:abstractNumId="129">
    <w:nsid w:val="57D2F10E"/>
    <w:multiLevelType w:val="hybridMultilevel"/>
    <w:lvl w:ilvl="0">
      <w:lvlJc w:val="left"/>
      <w:lvlText w:val="(%1)"/>
      <w:numFmt w:val="decimal"/>
      <w:start w:val="1"/>
    </w:lvl>
  </w:abstractNum>
  <w:abstractNum w:abstractNumId="130">
    <w:nsid w:val="BFFAE18"/>
    <w:multiLevelType w:val="hybridMultilevel"/>
    <w:lvl w:ilvl="0">
      <w:lvlJc w:val="left"/>
      <w:lvlText w:val="%1)"/>
      <w:numFmt w:val="lowerLetter"/>
      <w:start w:val="1"/>
    </w:lvl>
  </w:abstractNum>
  <w:abstractNum w:abstractNumId="131">
    <w:nsid w:val="E3E47A8"/>
    <w:multiLevelType w:val="hybridMultilevel"/>
    <w:lvl w:ilvl="0">
      <w:lvlJc w:val="left"/>
      <w:lvlText w:val="(%1)"/>
      <w:numFmt w:val="decimal"/>
      <w:start w:val="5"/>
    </w:lvl>
  </w:abstractNum>
  <w:abstractNum w:abstractNumId="132">
    <w:nsid w:val="2E48F044"/>
    <w:multiLevelType w:val="hybridMultilevel"/>
    <w:lvl w:ilvl="0">
      <w:lvlJc w:val="left"/>
      <w:lvlText w:val="%1)"/>
      <w:numFmt w:val="lowerLetter"/>
      <w:start w:val="1"/>
    </w:lvl>
  </w:abstractNum>
  <w:abstractNum w:abstractNumId="133">
    <w:nsid w:val="49D0FEAC"/>
    <w:multiLevelType w:val="hybridMultilevel"/>
    <w:lvl w:ilvl="0">
      <w:lvlJc w:val="left"/>
      <w:lvlText w:val="(%1)"/>
      <w:numFmt w:val="decimal"/>
      <w:start w:val="1"/>
    </w:lvl>
  </w:abstractNum>
  <w:abstractNum w:abstractNumId="134">
    <w:nsid w:val="4BEE5A5B"/>
    <w:multiLevelType w:val="hybridMultilevel"/>
    <w:lvl w:ilvl="0">
      <w:lvlJc w:val="left"/>
      <w:lvlText w:val="%1)"/>
      <w:numFmt w:val="lowerLetter"/>
      <w:start w:val="1"/>
    </w:lvl>
  </w:abstractNum>
  <w:abstractNum w:abstractNumId="135">
    <w:nsid w:val="5551B9F3"/>
    <w:multiLevelType w:val="hybridMultilevel"/>
    <w:lvl w:ilvl="0">
      <w:lvlJc w:val="left"/>
      <w:lvlText w:val="(%1)"/>
      <w:numFmt w:val="decimal"/>
      <w:start w:val="5"/>
    </w:lvl>
  </w:abstractNum>
  <w:abstractNum w:abstractNumId="136">
    <w:nsid w:val="24F6AB8E"/>
    <w:multiLevelType w:val="hybridMultilevel"/>
    <w:lvl w:ilvl="0">
      <w:lvlJc w:val="left"/>
      <w:lvlText w:val="%1)"/>
      <w:numFmt w:val="lowerLetter"/>
      <w:start w:val="1"/>
    </w:lvl>
  </w:abstractNum>
  <w:abstractNum w:abstractNumId="137">
    <w:nsid w:val="634C574C"/>
    <w:multiLevelType w:val="hybridMultilevel"/>
    <w:lvl w:ilvl="0">
      <w:lvlJc w:val="left"/>
      <w:lvlText w:val="(%1)"/>
      <w:numFmt w:val="decimal"/>
      <w:start w:val="1"/>
    </w:lvl>
  </w:abstractNum>
  <w:abstractNum w:abstractNumId="138">
    <w:nsid w:val="24E99DD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4" Type="http://schemas.openxmlformats.org/officeDocument/2006/relationships/image" Target="media/image163.png"/><Relationship Id="rId176" Type="http://schemas.openxmlformats.org/officeDocument/2006/relationships/image" Target="media/image164.png"/><Relationship Id="rId179" Type="http://schemas.openxmlformats.org/officeDocument/2006/relationships/image" Target="media/image165.png"/><Relationship Id="rId182" Type="http://schemas.openxmlformats.org/officeDocument/2006/relationships/image" Target="media/image166.png"/><Relationship Id="rId183" Type="http://schemas.openxmlformats.org/officeDocument/2006/relationships/image" Target="media/image167.png"/><Relationship Id="rId184" Type="http://schemas.openxmlformats.org/officeDocument/2006/relationships/image" Target="media/image168.png"/><Relationship Id="rId187" Type="http://schemas.openxmlformats.org/officeDocument/2006/relationships/image" Target="media/image169.png"/><Relationship Id="rId191" Type="http://schemas.openxmlformats.org/officeDocument/2006/relationships/image" Target="media/image170.png"/><Relationship Id="rId194" Type="http://schemas.openxmlformats.org/officeDocument/2006/relationships/image" Target="media/image171.png"/><Relationship Id="rId196" Type="http://schemas.openxmlformats.org/officeDocument/2006/relationships/image" Target="media/image172.png"/><Relationship Id="rId199" Type="http://schemas.openxmlformats.org/officeDocument/2006/relationships/image" Target="media/image173.png"/><Relationship Id="rId201" Type="http://schemas.openxmlformats.org/officeDocument/2006/relationships/image" Target="media/image174.png"/><Relationship Id="rId203" Type="http://schemas.openxmlformats.org/officeDocument/2006/relationships/image" Target="media/image175.png"/><Relationship Id="rId207" Type="http://schemas.openxmlformats.org/officeDocument/2006/relationships/image" Target="media/image176.png"/><Relationship Id="rId210" Type="http://schemas.openxmlformats.org/officeDocument/2006/relationships/image" Target="media/image177.png"/><Relationship Id="rId213" Type="http://schemas.openxmlformats.org/officeDocument/2006/relationships/image" Target="media/image178.png"/><Relationship Id="rId215" Type="http://schemas.openxmlformats.org/officeDocument/2006/relationships/image" Target="media/image179.png"/><Relationship Id="rId219" Type="http://schemas.openxmlformats.org/officeDocument/2006/relationships/image" Target="media/image180.png"/><Relationship Id="rId220" Type="http://schemas.openxmlformats.org/officeDocument/2006/relationships/image" Target="media/image181.png"/><Relationship Id="rId223" Type="http://schemas.openxmlformats.org/officeDocument/2006/relationships/image" Target="media/image182.png"/><Relationship Id="rId225" Type="http://schemas.openxmlformats.org/officeDocument/2006/relationships/image" Target="media/image183.png"/><Relationship Id="rId229" Type="http://schemas.openxmlformats.org/officeDocument/2006/relationships/image" Target="media/image184.png"/><Relationship Id="rId231" Type="http://schemas.openxmlformats.org/officeDocument/2006/relationships/image" Target="media/image185.png"/><Relationship Id="rId235" Type="http://schemas.openxmlformats.org/officeDocument/2006/relationships/image" Target="media/image186.png"/><Relationship Id="rId238" Type="http://schemas.openxmlformats.org/officeDocument/2006/relationships/image" Target="media/image187.png"/><Relationship Id="rId240" Type="http://schemas.openxmlformats.org/officeDocument/2006/relationships/image" Target="media/image188.png"/><Relationship Id="rId242" Type="http://schemas.openxmlformats.org/officeDocument/2006/relationships/image" Target="media/image189.png"/><Relationship Id="rId244" Type="http://schemas.openxmlformats.org/officeDocument/2006/relationships/image" Target="media/image190.png"/><Relationship Id="rId247" Type="http://schemas.openxmlformats.org/officeDocument/2006/relationships/image" Target="media/image191.png"/><Relationship Id="rId249" Type="http://schemas.openxmlformats.org/officeDocument/2006/relationships/image" Target="media/image192.png"/><Relationship Id="rId250" Type="http://schemas.openxmlformats.org/officeDocument/2006/relationships/image" Target="media/image193.png"/><Relationship Id="rId251" Type="http://schemas.openxmlformats.org/officeDocument/2006/relationships/image" Target="media/image194.png"/><Relationship Id="rId252" Type="http://schemas.openxmlformats.org/officeDocument/2006/relationships/image" Target="media/image195.png"/><Relationship Id="rId253" Type="http://schemas.openxmlformats.org/officeDocument/2006/relationships/image" Target="media/image196.png"/><Relationship Id="rId254" Type="http://schemas.openxmlformats.org/officeDocument/2006/relationships/image" Target="media/image197.png"/><Relationship Id="rId255" Type="http://schemas.openxmlformats.org/officeDocument/2006/relationships/image" Target="media/image198.png"/><Relationship Id="rId256" Type="http://schemas.openxmlformats.org/officeDocument/2006/relationships/image" Target="media/image199.png"/><Relationship Id="rId257" Type="http://schemas.openxmlformats.org/officeDocument/2006/relationships/image" Target="media/image200.png"/><Relationship Id="rId258" Type="http://schemas.openxmlformats.org/officeDocument/2006/relationships/image" Target="media/image201.png"/><Relationship Id="rId259" Type="http://schemas.openxmlformats.org/officeDocument/2006/relationships/image" Target="media/image202.png"/><Relationship Id="rId260" Type="http://schemas.openxmlformats.org/officeDocument/2006/relationships/image" Target="media/image203.png"/><Relationship Id="rId261" Type="http://schemas.openxmlformats.org/officeDocument/2006/relationships/image" Target="media/image204.png"/><Relationship Id="rId262" Type="http://schemas.openxmlformats.org/officeDocument/2006/relationships/image" Target="media/image205.png"/><Relationship Id="rId263" Type="http://schemas.openxmlformats.org/officeDocument/2006/relationships/image" Target="media/image206.png"/><Relationship Id="rId170" Type="http://schemas.openxmlformats.org/officeDocument/2006/relationships/hyperlink" Target="http://www.sec.gov/Archives/edgar/data/746598/000074659812000124/exhibit21-agreement.htm" TargetMode="External"/><Relationship Id="rId171" Type="http://schemas.openxmlformats.org/officeDocument/2006/relationships/hyperlink" Target="http://www.sec.gov/Archives/edgar/data/746598/000074659814000038/exhibit21precisepurchaseag.htm" TargetMode="External"/><Relationship Id="rId172" Type="http://schemas.openxmlformats.org/officeDocument/2006/relationships/hyperlink" Target="https://www.sec.gov/Archives/edgar/data/746598/000074659820000095/exhibit31bylawsasamend.htm" TargetMode="External"/><Relationship Id="rId173" Type="http://schemas.openxmlformats.org/officeDocument/2006/relationships/hyperlink" Target="https://www.sec.gov/Archives/edgar/data/746598/000074659819000128/brc-20190731xex41.htm" TargetMode="External"/><Relationship Id="rId175" Type="http://schemas.openxmlformats.org/officeDocument/2006/relationships/hyperlink" Target="http://www.sec.gov/Archives/edgar/data/746598/000074659818000086/brc-2018731xex104.htm" TargetMode="External"/><Relationship Id="rId177" Type="http://schemas.openxmlformats.org/officeDocument/2006/relationships/hyperlink" Target="http://www.sec.gov/Archives/edgar/data/746598/000074659818000086/brc-2018731xex105.htm" TargetMode="External"/><Relationship Id="rId178" Type="http://schemas.openxmlformats.org/officeDocument/2006/relationships/hyperlink" Target="http://www.sec.gov/Archives/edgar/data/746598/000095013708012076/c35732exv10w6.htm" TargetMode="External"/><Relationship Id="rId180" Type="http://schemas.openxmlformats.org/officeDocument/2006/relationships/hyperlink" Target="http://www.sec.gov/Archives/edgar/data/746598/000074659816000242/exhibit1012017omnibusincen.htm" TargetMode="External"/><Relationship Id="rId181" Type="http://schemas.openxmlformats.org/officeDocument/2006/relationships/hyperlink" Target="http://www.sec.gov/Archives/edgar/data/746598/000074659816000259/exhibit101-stockoptionagre.htm" TargetMode="External"/><Relationship Id="rId185" Type="http://schemas.openxmlformats.org/officeDocument/2006/relationships/hyperlink" Target="http://www.sec.gov/Archives/edgar/data/746598/000074659816000259/exhibit102-rsuagreement.htm" TargetMode="External"/><Relationship Id="rId186" Type="http://schemas.openxmlformats.org/officeDocument/2006/relationships/hyperlink" Target="https://www.sec.gov/Archives/edgar/data/746598/000074659819000128/brc-20190731xex1057.htm" TargetMode="External"/><Relationship Id="rId188" Type="http://schemas.openxmlformats.org/officeDocument/2006/relationships/hyperlink" Target="http://www.sec.gov/Archives/edgar/data/746598/000074659818000086/brc-2018731xex1014.htm" TargetMode="External"/><Relationship Id="rId189" Type="http://schemas.openxmlformats.org/officeDocument/2006/relationships/hyperlink" Target="http://www.sec.gov/Archives/edgar/data/746598/000095013708012076/c35732exv10w15.htm" TargetMode="External"/><Relationship Id="rId190" Type="http://schemas.openxmlformats.org/officeDocument/2006/relationships/hyperlink" Target="https://www.sec.gov/Archives/edgar/data/746598/000074659819000128/brc-20190731xex1058.htm" TargetMode="External"/><Relationship Id="rId192" Type="http://schemas.openxmlformats.org/officeDocument/2006/relationships/hyperlink" Target="http://www.sec.gov/Archives/edgar/data/746598/000074659815000132/brc-2015731xex1058.htm" TargetMode="External"/><Relationship Id="rId193" Type="http://schemas.openxmlformats.org/officeDocument/2006/relationships/hyperlink" Target="http://www.sec.gov/Archives/edgar/data/746598/000074659815000132/brc-2015731xex1059.htm" TargetMode="External"/><Relationship Id="rId195" Type="http://schemas.openxmlformats.org/officeDocument/2006/relationships/hyperlink" Target="http://www.sec.gov/Archives/edgar/data/746598/000074659818000086/brc-2018731xex1058.htm" TargetMode="External"/><Relationship Id="rId197" Type="http://schemas.openxmlformats.org/officeDocument/2006/relationships/hyperlink" Target="http://www.sec.gov/Archives/edgar/data/746598/000074659814000167/brc-2014731xex1063.htm" TargetMode="External"/><Relationship Id="rId198" Type="http://schemas.openxmlformats.org/officeDocument/2006/relationships/hyperlink" Target="http://www.sec.gov/Archives/edgar/data/746598/000074659818000086/brc-2018731xex1021.htm" TargetMode="External"/><Relationship Id="rId200" Type="http://schemas.openxmlformats.org/officeDocument/2006/relationships/hyperlink" Target="http://www.sec.gov/Archives/edgar/data/746598/000074659814000040/brc-20140131xex101.htm" TargetMode="External"/><Relationship Id="rId202" Type="http://schemas.openxmlformats.org/officeDocument/2006/relationships/hyperlink" Target="http://www.sec.gov/Archives/edgar/data/746598/000074659816000259/exhibit103-performancersua.htm" TargetMode="External"/><Relationship Id="rId204" Type="http://schemas.openxmlformats.org/officeDocument/2006/relationships/hyperlink" Target="http://www.sec.gov/Archives/edgar/data/746598/000074659815000089/exhibit101-employmentoffer.htm" TargetMode="External"/><Relationship Id="rId205" Type="http://schemas.openxmlformats.org/officeDocument/2006/relationships/hyperlink" Target="http://www.sec.gov/Archives/edgar/data/746598/000074659815000101/exhibit101restrictedstocku.htm" TargetMode="External"/><Relationship Id="rId206" Type="http://schemas.openxmlformats.org/officeDocument/2006/relationships/hyperlink" Target="http://www.sec.gov/Archives/edgar/data/746598/000095012310049801/c01118exv10w1.htm" TargetMode="External"/><Relationship Id="rId208" Type="http://schemas.openxmlformats.org/officeDocument/2006/relationships/hyperlink" Target="http://www.sec.gov/Archives/edgar/data/746598/000074659818000086/brc-2018731xex1059.htm" TargetMode="External"/><Relationship Id="rId209" Type="http://schemas.openxmlformats.org/officeDocument/2006/relationships/hyperlink" Target="http://www.sec.gov/Archives/edgar/data/746598/000095012310089124/c06339exv10w1.htm" TargetMode="External"/><Relationship Id="rId211" Type="http://schemas.openxmlformats.org/officeDocument/2006/relationships/hyperlink" Target="http://www.sec.gov/Archives/edgar/data/746598/000095012309046589/c53651exv10w29.htm" TargetMode="External"/><Relationship Id="rId212" Type="http://schemas.openxmlformats.org/officeDocument/2006/relationships/hyperlink" Target="http://www.sec.gov/Archives/edgar/data/746598/000095012309046589/c53651exv10w30.htm" TargetMode="External"/><Relationship Id="rId214" Type="http://schemas.openxmlformats.org/officeDocument/2006/relationships/hyperlink" Target="http://www.sec.gov/Archives/edgar/data/746598/000095012309046589/c53651exv10w31.htm" TargetMode="External"/><Relationship Id="rId216" Type="http://schemas.openxmlformats.org/officeDocument/2006/relationships/hyperlink" Target="http://www.sec.gov/Archives/edgar/data/746598/000074659815000132/brc-2015731xex1057.htm" TargetMode="External"/><Relationship Id="rId217" Type="http://schemas.openxmlformats.org/officeDocument/2006/relationships/hyperlink" Target="http://www.sec.gov/Archives/edgar/data/746598/000074659814000040/brc-20140131xex102.htm" TargetMode="External"/><Relationship Id="rId218" Type="http://schemas.openxmlformats.org/officeDocument/2006/relationships/hyperlink" Target="https://www.sec.gov/Archives/edgar/data/746598/000074659815000132/brc-2015731xex1056.htm" TargetMode="External"/><Relationship Id="rId221" Type="http://schemas.openxmlformats.org/officeDocument/2006/relationships/hyperlink" Target="http://www.sec.gov/Archives/edgar/data/746598/000095012311087053/c21968exv10w37.htm" TargetMode="External"/><Relationship Id="rId222" Type="http://schemas.openxmlformats.org/officeDocument/2006/relationships/hyperlink" Target="http://www.sec.gov/Archives/edgar/data/746598/000095012311087053/c21968exv10w38.htm" TargetMode="External"/><Relationship Id="rId224" Type="http://schemas.openxmlformats.org/officeDocument/2006/relationships/hyperlink" Target="http://www.sec.gov/Archives/edgar/data/746598/000095012311087053/c21968exv10w39.htm" TargetMode="External"/><Relationship Id="rId226" Type="http://schemas.openxmlformats.org/officeDocument/2006/relationships/hyperlink" Target="http://www.sec.gov/Archives/edgar/data/746598/000095012311087053/c21968exv10w40.htm" TargetMode="External"/><Relationship Id="rId227" Type="http://schemas.openxmlformats.org/officeDocument/2006/relationships/hyperlink" Target="http://www.sec.gov/Archives/edgar/data/746598/000095012311087053/c21968exv10w41.htm" TargetMode="External"/><Relationship Id="rId228" Type="http://schemas.openxmlformats.org/officeDocument/2006/relationships/hyperlink" Target="http://www.sec.gov/Archives/edgar/data/746598/000119312512406801/d385957dex1044.htm" TargetMode="External"/><Relationship Id="rId230" Type="http://schemas.openxmlformats.org/officeDocument/2006/relationships/hyperlink" Target="http://www.sec.gov/Archives/edgar/data/746598/000119312512406801/d385957dex1045.htm" TargetMode="External"/><Relationship Id="rId232" Type="http://schemas.openxmlformats.org/officeDocument/2006/relationships/hyperlink" Target="http://www.sec.gov/Archives/edgar/data/746598/000074659819000121/exhibit101creditagreement-.htm" TargetMode="External"/><Relationship Id="rId233" Type="http://schemas.openxmlformats.org/officeDocument/2006/relationships/hyperlink" Target="http://www.sec.gov/Archives/edgar/data/746598/000110465914056223/a14-18170_1ex10d1.htm" TargetMode="External"/><Relationship Id="rId234" Type="http://schemas.openxmlformats.org/officeDocument/2006/relationships/hyperlink" Target="http://www.sec.gov/Archives/edgar/data/746598/000110465914056223/a14-18170_1ex10d2.htm" TargetMode="External"/><Relationship Id="rId236" Type="http://schemas.openxmlformats.org/officeDocument/2006/relationships/hyperlink" Target="http://www.sec.gov/Archives/edgar/data/746598/000110465914056223/a14-18170_1ex10d3.htm" TargetMode="External"/><Relationship Id="rId237" Type="http://schemas.openxmlformats.org/officeDocument/2006/relationships/hyperlink" Target="http://www.sec.gov/Archives/edgar/data/746598/000074659813000223/brc-2013731xex1048.htm" TargetMode="External"/><Relationship Id="rId239" Type="http://schemas.openxmlformats.org/officeDocument/2006/relationships/hyperlink" Target="http://www.sec.gov/Archives/edgar/data/746598/000074659813000223/brc-2013731xex1049.htm" TargetMode="External"/><Relationship Id="rId241" Type="http://schemas.openxmlformats.org/officeDocument/2006/relationships/hyperlink" Target="http://www.sec.gov/Archives/edgar/data/746598/000074659813000223/brc-2013731xex1050.htm" TargetMode="External"/><Relationship Id="rId243" Type="http://schemas.openxmlformats.org/officeDocument/2006/relationships/hyperlink" Target="http://www.sec.gov/Archives/edgar/data/746598/000074659815000132/brc-2015731xex1060.htm" TargetMode="External"/><Relationship Id="rId245" Type="http://schemas.openxmlformats.org/officeDocument/2006/relationships/hyperlink" Target="http://www.sec.gov/Archives/edgar/data/746598/000074659815000132/brc-2015731xex1061.htm" TargetMode="External"/><Relationship Id="rId246" Type="http://schemas.openxmlformats.org/officeDocument/2006/relationships/hyperlink" Target="http://www.sec.gov/Archives/edgar/data/746598/000074659814000167/brc-2014731xex1061.htm" TargetMode="External"/><Relationship Id="rId248" Type="http://schemas.openxmlformats.org/officeDocument/2006/relationships/hyperlink" Target="http://www.sec.gov/Archives/edgar/data/746598/000074659814000167/brc-2014731xex106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2020-09-16T06:32:07Z</dcterms:created>
  <dcterms:modified xsi:type="dcterms:W3CDTF">2020-09-16T06:32:07Z</dcterms:modified>
</cp:coreProperties>
</file>