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2832100</wp:posOffset>
            </wp:positionH>
            <wp:positionV relativeFrom="paragraph">
              <wp:posOffset>192405</wp:posOffset>
            </wp:positionV>
            <wp:extent cx="1600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43"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2832100</wp:posOffset>
            </wp:positionH>
            <wp:positionV relativeFrom="paragraph">
              <wp:posOffset>163830</wp:posOffset>
            </wp:positionV>
            <wp:extent cx="1600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1"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CURRENT REPORT</w:t>
      </w:r>
    </w:p>
    <w:p>
      <w:pPr>
        <w:spacing w:after="0" w:line="154"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Securities Exchange Act of 1934</w:t>
      </w:r>
    </w:p>
    <w:p>
      <w:pPr>
        <w:spacing w:after="0" w:line="133"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Date of Report (Date of earliest event reported): November 15,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2832100</wp:posOffset>
            </wp:positionH>
            <wp:positionV relativeFrom="paragraph">
              <wp:posOffset>198755</wp:posOffset>
            </wp:positionV>
            <wp:extent cx="1600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52" w:lineRule="exact"/>
        <w:rPr>
          <w:sz w:val="24"/>
          <w:szCs w:val="24"/>
          <w:color w:val="auto"/>
        </w:rPr>
      </w:pPr>
    </w:p>
    <w:tbl>
      <w:tblPr>
        <w:tblLayout w:type="fixed"/>
        <w:tblInd w:w="2400" w:type="dxa"/>
        <w:tblCellMar>
          <w:top w:w="0" w:type="dxa"/>
          <w:left w:w="0" w:type="dxa"/>
          <w:bottom w:w="0" w:type="dxa"/>
          <w:right w:w="0" w:type="dxa"/>
        </w:tblCellMar>
      </w:tblPr>
      <w:tr>
        <w:trPr>
          <w:trHeight w:val="468"/>
        </w:trPr>
        <w:tc>
          <w:tcPr>
            <w:tcW w:w="960" w:type="dxa"/>
            <w:vAlign w:val="bottom"/>
          </w:tcPr>
          <w:p>
            <w:pPr>
              <w:spacing w:after="0"/>
              <w:rPr>
                <w:sz w:val="24"/>
                <w:szCs w:val="2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39"/>
                <w:szCs w:val="39"/>
                <w:b w:val="1"/>
                <w:bCs w:val="1"/>
                <w:color w:val="auto"/>
                <w:w w:val="99"/>
              </w:rPr>
              <w:t>BRADY CORPORATION</w:t>
            </w:r>
          </w:p>
        </w:tc>
      </w:tr>
      <w:tr>
        <w:trPr>
          <w:trHeight w:val="209"/>
        </w:trPr>
        <w:tc>
          <w:tcPr>
            <w:tcW w:w="960" w:type="dxa"/>
            <w:vAlign w:val="bottom"/>
          </w:tcPr>
          <w:p>
            <w:pPr>
              <w:spacing w:after="0"/>
              <w:rPr>
                <w:sz w:val="18"/>
                <w:szCs w:val="18"/>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r>
      <w:tr>
        <w:trPr>
          <w:trHeight w:val="229"/>
        </w:trPr>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220" w:type="dxa"/>
            <w:vAlign w:val="bottom"/>
          </w:tcPr>
          <w:p>
            <w:pPr>
              <w:spacing w:after="0"/>
              <w:rPr>
                <w:sz w:val="19"/>
                <w:szCs w:val="19"/>
                <w:color w:val="auto"/>
              </w:rPr>
            </w:pPr>
          </w:p>
        </w:tc>
      </w:tr>
      <w:tr>
        <w:trPr>
          <w:trHeight w:val="257"/>
        </w:trPr>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1"/>
              </w:rPr>
              <w:t>Commission File Number 1-14959</w:t>
            </w:r>
          </w:p>
        </w:tc>
      </w:tr>
      <w:tr>
        <w:trPr>
          <w:trHeight w:val="627"/>
        </w:trPr>
        <w:tc>
          <w:tcPr>
            <w:tcW w:w="960" w:type="dxa"/>
            <w:vAlign w:val="bottom"/>
          </w:tcPr>
          <w:p>
            <w:pPr>
              <w:jc w:val="center"/>
              <w:ind w:right="90"/>
              <w:spacing w:after="0"/>
              <w:rPr>
                <w:sz w:val="20"/>
                <w:szCs w:val="20"/>
                <w:color w:val="auto"/>
              </w:rPr>
            </w:pPr>
            <w:r>
              <w:rPr>
                <w:rFonts w:ascii="Arial" w:cs="Arial" w:eastAsia="Arial" w:hAnsi="Arial"/>
                <w:sz w:val="16"/>
                <w:szCs w:val="16"/>
                <w:b w:val="1"/>
                <w:bCs w:val="1"/>
                <w:color w:val="auto"/>
                <w:w w:val="89"/>
              </w:rPr>
              <w:t>Wisconsin</w:t>
            </w:r>
          </w:p>
        </w:tc>
        <w:tc>
          <w:tcPr>
            <w:tcW w:w="5840" w:type="dxa"/>
            <w:vAlign w:val="bottom"/>
            <w:gridSpan w:val="3"/>
          </w:tcPr>
          <w:p>
            <w:pPr>
              <w:jc w:val="center"/>
              <w:ind w:left="4720"/>
              <w:spacing w:after="0"/>
              <w:rPr>
                <w:sz w:val="20"/>
                <w:szCs w:val="20"/>
                <w:color w:val="auto"/>
              </w:rPr>
            </w:pPr>
            <w:r>
              <w:rPr>
                <w:rFonts w:ascii="Arial" w:cs="Arial" w:eastAsia="Arial" w:hAnsi="Arial"/>
                <w:sz w:val="16"/>
                <w:szCs w:val="16"/>
                <w:b w:val="1"/>
                <w:bCs w:val="1"/>
                <w:color w:val="auto"/>
                <w:w w:val="91"/>
              </w:rPr>
              <w:t>39-0971239</w:t>
            </w:r>
          </w:p>
        </w:tc>
      </w:tr>
      <w:tr>
        <w:trPr>
          <w:trHeight w:val="161"/>
        </w:trPr>
        <w:tc>
          <w:tcPr>
            <w:tcW w:w="96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(State of</w:t>
            </w:r>
          </w:p>
        </w:tc>
        <w:tc>
          <w:tcPr>
            <w:tcW w:w="1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(IRS Employer</w:t>
            </w:r>
          </w:p>
        </w:tc>
      </w:tr>
      <w:tr>
        <w:trPr>
          <w:trHeight w:val="160"/>
        </w:trPr>
        <w:tc>
          <w:tcPr>
            <w:tcW w:w="960" w:type="dxa"/>
            <w:vAlign w:val="bottom"/>
          </w:tcPr>
          <w:p>
            <w:pPr>
              <w:jc w:val="center"/>
              <w:ind w:right="90"/>
              <w:spacing w:after="0"/>
              <w:rPr>
                <w:sz w:val="20"/>
                <w:szCs w:val="20"/>
                <w:color w:val="auto"/>
              </w:rPr>
            </w:pPr>
            <w:r>
              <w:rPr>
                <w:rFonts w:ascii="Arial" w:cs="Arial" w:eastAsia="Arial" w:hAnsi="Arial"/>
                <w:sz w:val="13"/>
                <w:szCs w:val="13"/>
                <w:b w:val="1"/>
                <w:bCs w:val="1"/>
                <w:color w:val="auto"/>
                <w:w w:val="90"/>
              </w:rPr>
              <w:t>Incorporation)</w:t>
            </w:r>
          </w:p>
        </w:tc>
        <w:tc>
          <w:tcPr>
            <w:tcW w:w="1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Identification No.)</w:t>
            </w:r>
          </w:p>
        </w:tc>
      </w:tr>
      <w:tr>
        <w:trPr>
          <w:trHeight w:val="193"/>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6555 West Good Hope Road</w:t>
            </w:r>
          </w:p>
        </w:tc>
      </w:tr>
      <w:tr>
        <w:trPr>
          <w:trHeight w:val="190"/>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Milwaukee, Wisconsin 53223</w:t>
            </w:r>
          </w:p>
        </w:tc>
      </w:tr>
      <w:tr>
        <w:trPr>
          <w:trHeight w:val="167"/>
        </w:trPr>
        <w:tc>
          <w:tcPr>
            <w:tcW w:w="960" w:type="dxa"/>
            <w:vAlign w:val="bottom"/>
          </w:tcPr>
          <w:p>
            <w:pPr>
              <w:spacing w:after="0"/>
              <w:rPr>
                <w:sz w:val="14"/>
                <w:szCs w:val="1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3"/>
                <w:szCs w:val="13"/>
                <w:b w:val="1"/>
                <w:bCs w:val="1"/>
                <w:color w:val="auto"/>
                <w:w w:val="89"/>
              </w:rPr>
              <w:t>(Address of Principal Executive Offices and Zip Code)</w:t>
            </w:r>
          </w:p>
        </w:tc>
      </w:tr>
      <w:tr>
        <w:trPr>
          <w:trHeight w:val="336"/>
        </w:trPr>
        <w:tc>
          <w:tcPr>
            <w:tcW w:w="960" w:type="dxa"/>
            <w:vAlign w:val="bottom"/>
          </w:tcPr>
          <w:p>
            <w:pPr>
              <w:spacing w:after="0"/>
              <w:rPr>
                <w:sz w:val="24"/>
                <w:szCs w:val="24"/>
                <w:color w:val="auto"/>
              </w:rPr>
            </w:pPr>
          </w:p>
        </w:tc>
        <w:tc>
          <w:tcPr>
            <w:tcW w:w="3620" w:type="dxa"/>
            <w:vAlign w:val="bottom"/>
            <w:gridSpan w:val="2"/>
          </w:tcPr>
          <w:p>
            <w:pPr>
              <w:jc w:val="center"/>
              <w:ind w:left="1000"/>
              <w:spacing w:after="0"/>
              <w:rPr>
                <w:sz w:val="20"/>
                <w:szCs w:val="20"/>
                <w:color w:val="auto"/>
              </w:rPr>
            </w:pPr>
            <w:r>
              <w:rPr>
                <w:rFonts w:ascii="Arial" w:cs="Arial" w:eastAsia="Arial" w:hAnsi="Arial"/>
                <w:sz w:val="16"/>
                <w:szCs w:val="16"/>
                <w:b w:val="1"/>
                <w:bCs w:val="1"/>
                <w:color w:val="auto"/>
                <w:w w:val="91"/>
              </w:rPr>
              <w:t>(414) 358-6600</w:t>
            </w:r>
          </w:p>
        </w:tc>
        <w:tc>
          <w:tcPr>
            <w:tcW w:w="222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40" w:type="dxa"/>
            <w:vAlign w:val="bottom"/>
            <w:gridSpan w:val="2"/>
          </w:tcPr>
          <w:p>
            <w:pPr>
              <w:jc w:val="center"/>
              <w:ind w:right="2156"/>
              <w:spacing w:after="0"/>
              <w:rPr>
                <w:sz w:val="20"/>
                <w:szCs w:val="20"/>
                <w:color w:val="auto"/>
              </w:rPr>
            </w:pPr>
            <w:r>
              <w:rPr>
                <w:rFonts w:ascii="Arial" w:cs="Arial" w:eastAsia="Arial" w:hAnsi="Arial"/>
                <w:sz w:val="13"/>
                <w:szCs w:val="13"/>
                <w:b w:val="1"/>
                <w:bCs w:val="1"/>
                <w:color w:val="auto"/>
                <w:w w:val="89"/>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2832100</wp:posOffset>
            </wp:positionH>
            <wp:positionV relativeFrom="paragraph">
              <wp:posOffset>159385</wp:posOffset>
            </wp:positionV>
            <wp:extent cx="1600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3" w:lineRule="exact"/>
        <w:rPr>
          <w:sz w:val="24"/>
          <w:szCs w:val="24"/>
          <w:color w:val="auto"/>
        </w:rPr>
      </w:pPr>
    </w:p>
    <w:p>
      <w:pPr>
        <w:ind w:left="50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700" w:hanging="679"/>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7" w:lineRule="exact"/>
        <w:rPr>
          <w:rFonts w:ascii="MS PGothic" w:cs="MS PGothic" w:eastAsia="MS PGothic" w:hAnsi="MS PGothic"/>
          <w:sz w:val="16"/>
          <w:szCs w:val="16"/>
          <w:color w:val="auto"/>
        </w:rPr>
      </w:pPr>
    </w:p>
    <w:p>
      <w:pPr>
        <w:ind w:left="700" w:hanging="679"/>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7" w:lineRule="exact"/>
        <w:rPr>
          <w:rFonts w:ascii="MS PGothic" w:cs="MS PGothic" w:eastAsia="MS PGothic" w:hAnsi="MS PGothic"/>
          <w:sz w:val="16"/>
          <w:szCs w:val="16"/>
          <w:color w:val="auto"/>
        </w:rPr>
      </w:pPr>
    </w:p>
    <w:p>
      <w:pPr>
        <w:ind w:left="700" w:hanging="679"/>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7" w:lineRule="exact"/>
        <w:rPr>
          <w:rFonts w:ascii="MS PGothic" w:cs="MS PGothic" w:eastAsia="MS PGothic" w:hAnsi="MS PGothic"/>
          <w:sz w:val="16"/>
          <w:szCs w:val="16"/>
          <w:color w:val="auto"/>
        </w:rPr>
      </w:pPr>
    </w:p>
    <w:p>
      <w:pPr>
        <w:ind w:left="700" w:hanging="679"/>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06" w:lineRule="exact"/>
        <w:rPr>
          <w:sz w:val="24"/>
          <w:szCs w:val="24"/>
          <w:color w:val="auto"/>
        </w:rPr>
      </w:pPr>
    </w:p>
    <w:p>
      <w:pPr>
        <w:ind w:right="340"/>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or the Securities Exchange Act of 1934 (17 CFR 240.12b-2).</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3" w:lineRule="exact"/>
        <w:rPr>
          <w:sz w:val="24"/>
          <w:szCs w:val="24"/>
          <w:color w:val="auto"/>
        </w:rPr>
      </w:pPr>
    </w:p>
    <w:p>
      <w:pPr>
        <w:ind w:right="42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340"/>
          </w:cols>
          <w:pgMar w:left="240" w:top="670" w:right="319" w:bottom="1440" w:gutter="0" w:footer="0" w:header="0"/>
        </w:sectPr>
      </w:pPr>
    </w:p>
    <w:bookmarkStart w:id="1" w:name="page2"/>
    <w:bookmarkEnd w:id="1"/>
    <w:p>
      <w:pPr>
        <w:ind w:left="20"/>
        <w:spacing w:after="0"/>
        <w:tabs>
          <w:tab w:leader="none" w:pos="940" w:val="left"/>
        </w:tabs>
        <w:rPr>
          <w:sz w:val="20"/>
          <w:szCs w:val="20"/>
          <w:color w:val="auto"/>
        </w:rPr>
      </w:pPr>
      <w:r>
        <w:rPr>
          <w:rFonts w:ascii="Arial" w:cs="Arial" w:eastAsia="Arial" w:hAnsi="Arial"/>
          <w:sz w:val="16"/>
          <w:szCs w:val="16"/>
          <w:color w:val="auto"/>
        </w:rPr>
        <w:t>Item 2.02</w:t>
      </w:r>
      <w:r>
        <w:rPr>
          <w:sz w:val="20"/>
          <w:szCs w:val="20"/>
          <w:color w:val="auto"/>
        </w:rPr>
        <w:tab/>
      </w:r>
      <w:r>
        <w:rPr>
          <w:rFonts w:ascii="Arial" w:cs="Arial" w:eastAsia="Arial" w:hAnsi="Arial"/>
          <w:sz w:val="15"/>
          <w:szCs w:val="15"/>
          <w:color w:val="auto"/>
        </w:rPr>
        <w:t>RESULTS OF OPERATIONS AND FINANCIAL CONDITION</w:t>
      </w:r>
    </w:p>
    <w:p>
      <w:pPr>
        <w:spacing w:after="0" w:line="226" w:lineRule="exact"/>
        <w:rPr>
          <w:sz w:val="20"/>
          <w:szCs w:val="20"/>
          <w:color w:val="auto"/>
        </w:rPr>
      </w:pPr>
    </w:p>
    <w:p>
      <w:pPr>
        <w:jc w:val="both"/>
        <w:ind w:firstLine="290"/>
        <w:spacing w:after="0" w:line="279" w:lineRule="auto"/>
        <w:rPr>
          <w:sz w:val="20"/>
          <w:szCs w:val="20"/>
          <w:color w:val="auto"/>
        </w:rPr>
      </w:pPr>
      <w:r>
        <w:rPr>
          <w:rFonts w:ascii="Arial" w:cs="Arial" w:eastAsia="Arial" w:hAnsi="Arial"/>
          <w:sz w:val="16"/>
          <w:szCs w:val="16"/>
          <w:color w:val="auto"/>
        </w:rPr>
        <w:t>On November 16, 2017, Brady Corporation (the “Company”) issued a press release announcing its fiscal 2018 first quarter financial results. A copy of the press release is being furnished to the Securities and Exchange Commission as Exhibit 99.1 attached hereto and is incorporated herein by reference.</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5.07</w:t>
      </w:r>
      <w:r>
        <w:rPr>
          <w:sz w:val="20"/>
          <w:szCs w:val="20"/>
          <w:color w:val="auto"/>
        </w:rPr>
        <w:tab/>
      </w:r>
      <w:r>
        <w:rPr>
          <w:rFonts w:ascii="Arial" w:cs="Arial" w:eastAsia="Arial" w:hAnsi="Arial"/>
          <w:sz w:val="15"/>
          <w:szCs w:val="15"/>
          <w:color w:val="auto"/>
        </w:rPr>
        <w:t>SUBMISSIONS OF MATTERS TO A VOTE OF SECURITY HOLDERS</w:t>
      </w:r>
    </w:p>
    <w:p>
      <w:pPr>
        <w:spacing w:after="0" w:line="226"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6"/>
          <w:szCs w:val="16"/>
          <w:color w:val="auto"/>
        </w:rPr>
        <w:t>On November 15, 2017, at the Company’s Annual Shareholders’ Meeting, the holders of all of the 3,538,628 shares of the Company’s Class B Common Stock voted unanimously in favor of electing the following persons to serve as the Company’s directors until the next annual meeting of shareholders and until their successors have been elected: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Patrick W. Allender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Gary S. Balkema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Elizabeth P. Bruno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Nancy L. Gioia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Conrad G. Goodkind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Frank W. Harris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 Michael Nauman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Bradley C. Richardson</w:t>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7.01</w:t>
      </w:r>
      <w:r>
        <w:rPr>
          <w:sz w:val="20"/>
          <w:szCs w:val="20"/>
          <w:color w:val="auto"/>
        </w:rPr>
        <w:tab/>
      </w:r>
      <w:r>
        <w:rPr>
          <w:rFonts w:ascii="Arial" w:cs="Arial" w:eastAsia="Arial" w:hAnsi="Arial"/>
          <w:sz w:val="15"/>
          <w:szCs w:val="15"/>
          <w:color w:val="auto"/>
        </w:rPr>
        <w:t>REGULATION FD DISCLOSURE</w:t>
      </w:r>
    </w:p>
    <w:p>
      <w:pPr>
        <w:spacing w:after="0" w:line="226" w:lineRule="exact"/>
        <w:rPr>
          <w:sz w:val="20"/>
          <w:szCs w:val="20"/>
          <w:color w:val="auto"/>
        </w:rPr>
      </w:pPr>
    </w:p>
    <w:p>
      <w:pPr>
        <w:jc w:val="both"/>
        <w:ind w:firstLine="290"/>
        <w:spacing w:after="0" w:line="265" w:lineRule="auto"/>
        <w:rPr>
          <w:sz w:val="20"/>
          <w:szCs w:val="20"/>
          <w:color w:val="auto"/>
        </w:rPr>
      </w:pPr>
      <w:r>
        <w:rPr>
          <w:rFonts w:ascii="Arial" w:cs="Arial" w:eastAsia="Arial" w:hAnsi="Arial"/>
          <w:sz w:val="16"/>
          <w:szCs w:val="16"/>
          <w:color w:val="auto"/>
        </w:rPr>
        <w:t>On November 16, 2017, the Company hosted a conference call related to its fiscal 2018 first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319"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filed as Exhibits to this Report.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80" w:type="dxa"/>
            <w:vAlign w:val="bottom"/>
            <w:gridSpan w:val="5"/>
          </w:tcPr>
          <w:p>
            <w:pPr>
              <w:ind w:left="20"/>
              <w:spacing w:after="0"/>
              <w:rPr>
                <w:sz w:val="20"/>
                <w:szCs w:val="20"/>
                <w:color w:val="auto"/>
              </w:rPr>
            </w:pPr>
            <w:r>
              <w:rPr>
                <w:rFonts w:ascii="Arial" w:cs="Arial" w:eastAsia="Arial" w:hAnsi="Arial"/>
                <w:sz w:val="16"/>
                <w:szCs w:val="16"/>
                <w:color w:val="auto"/>
              </w:rPr>
              <w:t>Exhibit No. Description of Exhibit</w:t>
            </w:r>
          </w:p>
        </w:tc>
        <w:tc>
          <w:tcPr>
            <w:tcW w:w="0" w:type="dxa"/>
            <w:vAlign w:val="bottom"/>
          </w:tcPr>
          <w:p>
            <w:pPr>
              <w:spacing w:after="0"/>
              <w:rPr>
                <w:sz w:val="1"/>
                <w:szCs w:val="1"/>
                <w:color w:val="auto"/>
              </w:rPr>
            </w:pPr>
          </w:p>
        </w:tc>
      </w:tr>
      <w:tr>
        <w:trPr>
          <w:trHeight w:val="24"/>
        </w:trPr>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60" w:type="dxa"/>
            <w:vAlign w:val="bottom"/>
          </w:tcPr>
          <w:p>
            <w:pPr>
              <w:ind w:left="20"/>
              <w:spacing w:after="0"/>
              <w:rPr>
                <w:sz w:val="20"/>
                <w:szCs w:val="20"/>
                <w:color w:val="auto"/>
              </w:rPr>
            </w:pPr>
            <w:r>
              <w:rPr>
                <w:rFonts w:ascii="Arial" w:cs="Arial" w:eastAsia="Arial" w:hAnsi="Arial"/>
                <w:sz w:val="16"/>
                <w:szCs w:val="16"/>
                <w:color w:val="auto"/>
              </w:rPr>
              <w:t>99.1</w:t>
            </w:r>
          </w:p>
        </w:tc>
        <w:tc>
          <w:tcPr>
            <w:tcW w:w="7820" w:type="dxa"/>
            <w:vAlign w:val="bottom"/>
            <w:gridSpan w:val="4"/>
            <w:vMerge w:val="restart"/>
          </w:tcPr>
          <w:p>
            <w:pPr>
              <w:spacing w:after="0"/>
              <w:rPr>
                <w:rFonts w:ascii="Arial" w:cs="Arial" w:eastAsia="Arial" w:hAnsi="Arial"/>
                <w:sz w:val="16"/>
                <w:szCs w:val="16"/>
                <w:color w:val="0000FF"/>
                <w:w w:val="95"/>
              </w:rPr>
            </w:pPr>
            <w:hyperlink w:anchor="page4">
              <w:r>
                <w:rPr>
                  <w:rFonts w:ascii="Arial" w:cs="Arial" w:eastAsia="Arial" w:hAnsi="Arial"/>
                  <w:sz w:val="16"/>
                  <w:szCs w:val="16"/>
                  <w:color w:val="0000FF"/>
                  <w:w w:val="95"/>
                </w:rPr>
                <w:t>Press Release of Brady Corporation, dated November 16, 2017, relating to first quarter fiscal 2018 financial results.</w:t>
              </w:r>
            </w:hyperlink>
          </w:p>
        </w:tc>
        <w:tc>
          <w:tcPr>
            <w:tcW w:w="0" w:type="dxa"/>
            <w:vAlign w:val="bottom"/>
          </w:tcPr>
          <w:p>
            <w:pPr>
              <w:spacing w:after="0"/>
              <w:rPr>
                <w:sz w:val="1"/>
                <w:szCs w:val="1"/>
                <w:color w:val="auto"/>
              </w:rPr>
            </w:pPr>
          </w:p>
        </w:tc>
      </w:tr>
      <w:tr>
        <w:trPr>
          <w:trHeight w:val="36"/>
        </w:trPr>
        <w:tc>
          <w:tcPr>
            <w:tcW w:w="860" w:type="dxa"/>
            <w:vAlign w:val="bottom"/>
          </w:tcPr>
          <w:p>
            <w:pPr>
              <w:spacing w:after="0"/>
              <w:rPr>
                <w:sz w:val="3"/>
                <w:szCs w:val="3"/>
                <w:color w:val="auto"/>
              </w:rPr>
            </w:pPr>
          </w:p>
        </w:tc>
        <w:tc>
          <w:tcPr>
            <w:tcW w:w="7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860" w:type="dxa"/>
            <w:vAlign w:val="bottom"/>
          </w:tcPr>
          <w:p>
            <w:pPr>
              <w:ind w:left="20"/>
              <w:spacing w:after="0"/>
              <w:rPr>
                <w:sz w:val="20"/>
                <w:szCs w:val="20"/>
                <w:color w:val="auto"/>
              </w:rPr>
            </w:pPr>
            <w:r>
              <w:rPr>
                <w:rFonts w:ascii="Arial" w:cs="Arial" w:eastAsia="Arial" w:hAnsi="Arial"/>
                <w:sz w:val="16"/>
                <w:szCs w:val="16"/>
                <w:color w:val="auto"/>
              </w:rPr>
              <w:t>99.2</w:t>
            </w:r>
          </w:p>
        </w:tc>
        <w:tc>
          <w:tcPr>
            <w:tcW w:w="7440" w:type="dxa"/>
            <w:vAlign w:val="bottom"/>
            <w:tcBorders>
              <w:top w:val="single" w:sz="8" w:color="0000FF"/>
            </w:tcBorders>
            <w:gridSpan w:val="3"/>
          </w:tcPr>
          <w:p>
            <w:pPr>
              <w:spacing w:after="0"/>
              <w:rPr>
                <w:rFonts w:ascii="Arial" w:cs="Arial" w:eastAsia="Arial" w:hAnsi="Arial"/>
                <w:sz w:val="16"/>
                <w:szCs w:val="16"/>
                <w:color w:val="0000FF"/>
                <w:w w:val="92"/>
              </w:rPr>
            </w:pPr>
            <w:hyperlink w:anchor="page11">
              <w:r>
                <w:rPr>
                  <w:rFonts w:ascii="Arial" w:cs="Arial" w:eastAsia="Arial" w:hAnsi="Arial"/>
                  <w:sz w:val="16"/>
                  <w:szCs w:val="16"/>
                  <w:color w:val="0000FF"/>
                  <w:w w:val="92"/>
                </w:rPr>
                <w:t>Informational slides provided by Brady Corporation, dated November 16, 2017, relating to first quarter fiscal 2018</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7380" w:type="dxa"/>
            <w:vAlign w:val="bottom"/>
            <w:tcBorders>
              <w:top w:val="single" w:sz="8" w:color="0000FF"/>
            </w:tcBorders>
            <w:gridSpan w:val="2"/>
          </w:tcPr>
          <w:p>
            <w:pPr>
              <w:spacing w:after="0" w:line="173" w:lineRule="exact"/>
              <w:rPr>
                <w:rFonts w:ascii="Arial" w:cs="Arial" w:eastAsia="Arial" w:hAnsi="Arial"/>
                <w:sz w:val="16"/>
                <w:szCs w:val="16"/>
                <w:color w:val="0000FF"/>
              </w:rPr>
            </w:pPr>
            <w:hyperlink w:anchor="page11">
              <w:r>
                <w:rPr>
                  <w:rFonts w:ascii="Arial" w:cs="Arial" w:eastAsia="Arial" w:hAnsi="Arial"/>
                  <w:sz w:val="16"/>
                  <w:szCs w:val="16"/>
                  <w:color w:val="0000FF"/>
                </w:rPr>
                <w:t>financial results.</w:t>
              </w:r>
            </w:hyperlink>
          </w:p>
        </w:tc>
        <w:tc>
          <w:tcPr>
            <w:tcW w:w="4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68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color w:val="auto"/>
        </w:rPr>
        <w:t>SIGNATURE</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7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BRADY CORPORATION</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16, 2017</w:t>
      </w:r>
    </w:p>
    <w:p>
      <w:pPr>
        <w:spacing w:after="0" w:line="34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29210</wp:posOffset>
            </wp:positionV>
            <wp:extent cx="34848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4880" cy="7620"/>
                    </a:xfrm>
                    <a:prstGeom prst="rect">
                      <a:avLst/>
                    </a:prstGeom>
                    <a:noFill/>
                  </pic:spPr>
                </pic:pic>
              </a:graphicData>
            </a:graphic>
          </wp:anchor>
        </w:drawing>
      </w:r>
    </w:p>
    <w:p>
      <w:pPr>
        <w:spacing w:after="0" w:line="4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Aaron J. Pearce</w:t>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Chief Financial Officer and Treasurer</w:t>
      </w:r>
    </w:p>
    <w:p>
      <w:pPr>
        <w:sectPr>
          <w:pgSz w:w="11900" w:h="16838" w:orient="portrait"/>
          <w:cols w:equalWidth="0" w:num="1">
            <w:col w:w="11440"/>
          </w:cols>
          <w:pgMar w:left="240" w:top="537"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Ann Thornton 414-438-6887</w:t>
      </w:r>
    </w:p>
    <w:p>
      <w:pPr>
        <w:spacing w:after="0"/>
        <w:rPr>
          <w:sz w:val="20"/>
          <w:szCs w:val="20"/>
          <w:color w:val="auto"/>
        </w:rPr>
      </w:pPr>
      <w:r>
        <w:rPr>
          <w:rFonts w:ascii="Arial" w:cs="Arial" w:eastAsia="Arial" w:hAnsi="Arial"/>
          <w:sz w:val="18"/>
          <w:szCs w:val="18"/>
          <w:color w:val="auto"/>
        </w:rPr>
        <w:t>Media contact: Kate Venne 414-358-5176</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2018 First Quarter Results</w:t>
      </w:r>
    </w:p>
    <w:p>
      <w:pPr>
        <w:spacing w:after="0" w:line="330" w:lineRule="exact"/>
        <w:rPr>
          <w:sz w:val="20"/>
          <w:szCs w:val="20"/>
          <w:color w:val="auto"/>
        </w:rPr>
      </w:pPr>
    </w:p>
    <w:p>
      <w:pPr>
        <w:ind w:left="580" w:right="80" w:hanging="294"/>
        <w:spacing w:after="0" w:line="349"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Earnings per diluted Class A Nonvoting Common Share increased 11.4 percent to $0.49 in the first quarter of fiscal 2018 compared to $0.44 in the same quarter of the prior year.</w:t>
      </w:r>
    </w:p>
    <w:p>
      <w:pPr>
        <w:spacing w:after="0" w:line="1" w:lineRule="exact"/>
        <w:rPr>
          <w:rFonts w:ascii="Arial" w:cs="Arial" w:eastAsia="Arial" w:hAnsi="Arial"/>
          <w:sz w:val="16"/>
          <w:szCs w:val="16"/>
          <w:color w:val="auto"/>
        </w:rPr>
      </w:pPr>
    </w:p>
    <w:p>
      <w:pPr>
        <w:ind w:left="580" w:right="280" w:hanging="294"/>
        <w:spacing w:after="0" w:line="349"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Total revenues increased 3.6 percent, which consisted of organic revenue growth of 1.7 percent and an increase of 1.9 percent due to foreign currency translation.</w:t>
      </w:r>
    </w:p>
    <w:p>
      <w:pPr>
        <w:spacing w:after="0" w:line="1" w:lineRule="exact"/>
        <w:rPr>
          <w:rFonts w:ascii="Arial" w:cs="Arial" w:eastAsia="Arial" w:hAnsi="Arial"/>
          <w:sz w:val="16"/>
          <w:szCs w:val="16"/>
          <w:color w:val="auto"/>
        </w:rPr>
      </w:pPr>
    </w:p>
    <w:p>
      <w:pPr>
        <w:ind w:left="580" w:right="540" w:hanging="294"/>
        <w:spacing w:after="0" w:line="368"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Net cash provided by operating activities was $34.7 million in the first quarter of fiscal 2018 and the Company was in a net cash position of $47.7 million at October 31, 2017 providing flexibility for future investments.</w:t>
      </w:r>
    </w:p>
    <w:p>
      <w:pPr>
        <w:spacing w:after="0" w:line="246" w:lineRule="exact"/>
        <w:rPr>
          <w:sz w:val="20"/>
          <w:szCs w:val="20"/>
          <w:color w:val="auto"/>
        </w:rPr>
      </w:pPr>
    </w:p>
    <w:p>
      <w:pPr>
        <w:ind w:right="180"/>
        <w:spacing w:after="0" w:line="368" w:lineRule="auto"/>
        <w:rPr>
          <w:sz w:val="20"/>
          <w:szCs w:val="20"/>
          <w:color w:val="auto"/>
        </w:rPr>
      </w:pPr>
      <w:r>
        <w:rPr>
          <w:rFonts w:ascii="Arial" w:cs="Arial" w:eastAsia="Arial" w:hAnsi="Arial"/>
          <w:sz w:val="18"/>
          <w:szCs w:val="18"/>
          <w:color w:val="auto"/>
        </w:rPr>
        <w:t>MILWAUKEE (November 16, 2017)--Brady Corporation (NYSE: BRC) (“Brady” or “Company”), a world leader in identification solutions, today reported its financial results for its fiscal 2018 first quarter ended October 31, 2017.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October 31, 2017 Financial Results:</w:t>
      </w:r>
    </w:p>
    <w:p>
      <w:pPr>
        <w:spacing w:after="0" w:line="101" w:lineRule="exact"/>
        <w:rPr>
          <w:sz w:val="20"/>
          <w:szCs w:val="20"/>
          <w:color w:val="auto"/>
        </w:rPr>
      </w:pPr>
    </w:p>
    <w:p>
      <w:pPr>
        <w:ind w:left="580" w:right="240"/>
        <w:spacing w:after="0" w:line="419" w:lineRule="auto"/>
        <w:rPr>
          <w:sz w:val="20"/>
          <w:szCs w:val="20"/>
          <w:color w:val="auto"/>
        </w:rPr>
      </w:pPr>
      <w:r>
        <w:rPr>
          <w:rFonts w:ascii="Arial" w:cs="Arial" w:eastAsia="Arial" w:hAnsi="Arial"/>
          <w:sz w:val="15"/>
          <w:szCs w:val="15"/>
          <w:color w:val="auto"/>
        </w:rPr>
        <w:t>Net earnings for the quarter ended October 31, 2017, increased 14.6 percent to $25.8 million compared to $22.6 million in the same quarter last year. Earnings per diluted Class A Nonvoting Common Share increased 11.4 percent to $0.49 for the quarter ended October 31, 2017, compared to $0.44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same quarter last year.</w:t>
      </w:r>
    </w:p>
    <w:p>
      <w:pPr>
        <w:spacing w:after="0" w:line="95" w:lineRule="exact"/>
        <w:rPr>
          <w:sz w:val="20"/>
          <w:szCs w:val="20"/>
          <w:color w:val="auto"/>
        </w:rPr>
      </w:pPr>
    </w:p>
    <w:p>
      <w:pPr>
        <w:ind w:right="360" w:firstLine="579"/>
        <w:spacing w:after="0" w:line="359" w:lineRule="auto"/>
        <w:rPr>
          <w:sz w:val="20"/>
          <w:szCs w:val="20"/>
          <w:color w:val="auto"/>
        </w:rPr>
      </w:pPr>
      <w:r>
        <w:rPr>
          <w:rFonts w:ascii="Arial" w:cs="Arial" w:eastAsia="Arial" w:hAnsi="Arial"/>
          <w:sz w:val="18"/>
          <w:szCs w:val="18"/>
          <w:color w:val="auto"/>
        </w:rPr>
        <w:t>Sales for the quarter ended October 31, 2017, increased 3.6 percent to $290.2 million compared to $280.2 million in the same quarter last year. Total organic sales increased 1.7 percent while foreign currency translation increased sales by 1.9 percent. By segment, organic sales increased 2.9 percent in Identification Solutions and decreased 1.4 percent in Workplace Safety.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w:t>
      </w:r>
    </w:p>
    <w:p>
      <w:pPr>
        <w:spacing w:after="0" w:line="101" w:lineRule="exact"/>
        <w:rPr>
          <w:sz w:val="20"/>
          <w:szCs w:val="20"/>
          <w:color w:val="auto"/>
        </w:rPr>
      </w:pPr>
    </w:p>
    <w:p>
      <w:pPr>
        <w:ind w:right="60" w:firstLine="579"/>
        <w:spacing w:after="0" w:line="354" w:lineRule="auto"/>
        <w:rPr>
          <w:sz w:val="20"/>
          <w:szCs w:val="20"/>
          <w:color w:val="auto"/>
        </w:rPr>
      </w:pPr>
      <w:r>
        <w:rPr>
          <w:rFonts w:ascii="Arial" w:cs="Arial" w:eastAsia="Arial" w:hAnsi="Arial"/>
          <w:sz w:val="18"/>
          <w:szCs w:val="18"/>
          <w:color w:val="auto"/>
        </w:rPr>
        <w:t>“Our focus on serving our customers extremely well, developing high-quality innovative products, driving efficiencies throughout our global operations, and strengthening our culture of innovation is working. This marks our ninth consecutive quarter of year-over-year profit improvement,” said Brady’s President and Chief Executive Officer, J. Michael Nauman. “Organic sales growth was 1.7 percent this quarter, and we expect to continue this positive trend as our increased investment in research and development strengthens our new product pipeline. Brady is a company that was built on innovative products and solutions that our customers value to solve their</w:t>
      </w:r>
    </w:p>
    <w:p>
      <w:pPr>
        <w:sectPr>
          <w:pgSz w:w="11900" w:h="16838" w:orient="portrait"/>
          <w:cols w:equalWidth="0" w:num="1">
            <w:col w:w="11440"/>
          </w:cols>
          <w:pgMar w:left="240" w:top="734" w:right="219" w:bottom="1440" w:gutter="0" w:footer="0" w:header="0"/>
        </w:sectPr>
      </w:pPr>
    </w:p>
    <w:bookmarkStart w:id="4" w:name="page5"/>
    <w:bookmarkEnd w:id="4"/>
    <w:p>
      <w:pPr>
        <w:ind w:right="40"/>
        <w:spacing w:after="0" w:line="419" w:lineRule="auto"/>
        <w:rPr>
          <w:sz w:val="20"/>
          <w:szCs w:val="20"/>
          <w:color w:val="auto"/>
        </w:rPr>
      </w:pPr>
      <w:r>
        <w:rPr>
          <w:rFonts w:ascii="Arial" w:cs="Arial" w:eastAsia="Arial" w:hAnsi="Arial"/>
          <w:sz w:val="15"/>
          <w:szCs w:val="15"/>
          <w:color w:val="auto"/>
        </w:rPr>
        <w:t>unique safety and identification challenges. We are rekindling this culture of innovation and are focused on providing solutions and great customer service to our target markets. It’s exciting to see the impact as our culture of local ownership and accountability is allowing for increased innovative thought and actions throughout the Company, which is essential to execute our long-term strategy and to continue to deliver improved financial results for our shareholders.”</w:t>
      </w:r>
    </w:p>
    <w:p>
      <w:pPr>
        <w:spacing w:after="0" w:line="1" w:lineRule="exact"/>
        <w:rPr>
          <w:sz w:val="20"/>
          <w:szCs w:val="20"/>
          <w:color w:val="auto"/>
        </w:rPr>
      </w:pPr>
    </w:p>
    <w:p>
      <w:pPr>
        <w:ind w:firstLine="579"/>
        <w:spacing w:after="0" w:line="378" w:lineRule="auto"/>
        <w:rPr>
          <w:sz w:val="20"/>
          <w:szCs w:val="20"/>
          <w:color w:val="auto"/>
        </w:rPr>
      </w:pPr>
      <w:r>
        <w:rPr>
          <w:rFonts w:ascii="Arial" w:cs="Arial" w:eastAsia="Arial" w:hAnsi="Arial"/>
          <w:sz w:val="17"/>
          <w:szCs w:val="17"/>
          <w:color w:val="auto"/>
        </w:rPr>
        <w:t>“Profitability improved compared to last year as a direct result of our focus on organic sales growth and on driving efficiencies throughout our operations and across our selling, general and administrative expense structure. We remain focused on the business fundamentals that will deliver consistent long-term cash generation. Cash provided by operating activities was $34.7 million in the first quarter, and we finished in a net cash position of $47.7 million compared to net cash of $26.2 million at the beginning of the quarter,” said Brady’s Chief Financial Officer, Aaron Pearce. “Our balance sheet is solid and continues to provide significant flexibility for future investment and returning funds to our shareholders.”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Guidance:</w:t>
      </w:r>
    </w:p>
    <w:p>
      <w:pPr>
        <w:spacing w:after="0" w:line="101" w:lineRule="exact"/>
        <w:rPr>
          <w:sz w:val="20"/>
          <w:szCs w:val="20"/>
          <w:color w:val="auto"/>
        </w:rPr>
      </w:pPr>
    </w:p>
    <w:p>
      <w:pPr>
        <w:ind w:right="80" w:firstLine="579"/>
        <w:spacing w:after="0" w:line="353" w:lineRule="auto"/>
        <w:rPr>
          <w:sz w:val="20"/>
          <w:szCs w:val="20"/>
          <w:color w:val="auto"/>
        </w:rPr>
      </w:pPr>
      <w:r>
        <w:rPr>
          <w:rFonts w:ascii="Arial" w:cs="Arial" w:eastAsia="Arial" w:hAnsi="Arial"/>
          <w:sz w:val="18"/>
          <w:szCs w:val="18"/>
          <w:color w:val="auto"/>
        </w:rPr>
        <w:t>The Company’s earnings per diluted Class A Nonvoting Common Share guidance for the year ending July 31, 2018 remains unchanged at $1.85 to $1.95. Included in this guidance is low-single digit organic sales growth, a full-year income tax rate of 27 percent to 29 percent, and depreciation and amortization expense of approximately $26 million. The Company expects to achieve efficiency gains in its manufacturing facilities and in selling, general and administrative expenses while increasing investments in research and development by approximately 10 percent when compared to fiscal 2017. Capital expenditures are anticipated to be approximately $30 million during the year ending July 31, 2018. This guidance is based upon foreign currency exchange rates as of October 31, 2017.</w:t>
      </w:r>
    </w:p>
    <w:p>
      <w:pPr>
        <w:spacing w:after="0" w:line="26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 webcast regarding Brady’s fiscal 2018 first quarter financial results will be available at </w:t>
      </w:r>
      <w:r>
        <w:rPr>
          <w:rFonts w:ascii="Arial" w:cs="Arial" w:eastAsia="Arial" w:hAnsi="Arial"/>
          <w:sz w:val="15"/>
          <w:szCs w:val="15"/>
          <w:u w:val="single" w:color="auto"/>
          <w:color w:val="0000FF"/>
        </w:rPr>
        <w:t>www.bradycorp.com</w:t>
      </w:r>
      <w:r>
        <w:rPr>
          <w:rFonts w:ascii="Arial" w:cs="Arial" w:eastAsia="Arial" w:hAnsi="Arial"/>
          <w:sz w:val="15"/>
          <w:szCs w:val="15"/>
          <w:color w:val="auto"/>
        </w:rPr>
        <w:t xml:space="preserve"> beginning at 9:30 a.m. Central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today.</w:t>
      </w:r>
    </w:p>
    <w:p>
      <w:pPr>
        <w:spacing w:after="0" w:line="372" w:lineRule="exact"/>
        <w:rPr>
          <w:sz w:val="20"/>
          <w:szCs w:val="20"/>
          <w:color w:val="auto"/>
        </w:rPr>
      </w:pPr>
    </w:p>
    <w:p>
      <w:pPr>
        <w:ind w:right="80" w:firstLine="579"/>
        <w:spacing w:after="0" w:line="377" w:lineRule="auto"/>
        <w:rPr>
          <w:sz w:val="20"/>
          <w:szCs w:val="20"/>
          <w:color w:val="auto"/>
        </w:rPr>
      </w:pPr>
      <w:r>
        <w:rPr>
          <w:rFonts w:ascii="Arial" w:cs="Arial" w:eastAsia="Arial" w:hAnsi="Arial"/>
          <w:sz w:val="17"/>
          <w:szCs w:val="17"/>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2017, employed approximately 6,300 people in its worldwide businesses. Brady’s fiscal 2017 sales were approximately $1.11 billion. Brady stock trades on the New York Stock Exchange under the symbol BRC. More information is available on the Internet at </w:t>
      </w:r>
      <w:r>
        <w:rPr>
          <w:rFonts w:ascii="Arial" w:cs="Arial" w:eastAsia="Arial" w:hAnsi="Arial"/>
          <w:sz w:val="17"/>
          <w:szCs w:val="17"/>
          <w:u w:val="single" w:color="auto"/>
          <w:color w:val="0000FF"/>
        </w:rPr>
        <w:t>www.bradycorp.com.</w:t>
      </w:r>
    </w:p>
    <w:p>
      <w:pPr>
        <w:sectPr>
          <w:pgSz w:w="11900" w:h="16838" w:orient="portrait"/>
          <w:cols w:equalWidth="0" w:num="1">
            <w:col w:w="11420"/>
          </w:cols>
          <w:pgMar w:left="240" w:top="583"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w:t>
      </w:r>
    </w:p>
    <w:p>
      <w:pPr>
        <w:spacing w:after="0" w:line="24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3" w:lineRule="exact"/>
        <w:rPr>
          <w:sz w:val="20"/>
          <w:szCs w:val="20"/>
          <w:color w:val="auto"/>
        </w:rPr>
      </w:pPr>
    </w:p>
    <w:p>
      <w:pPr>
        <w:ind w:right="40"/>
        <w:spacing w:after="0" w:line="272" w:lineRule="auto"/>
        <w:rPr>
          <w:sz w:val="20"/>
          <w:szCs w:val="20"/>
          <w:color w:val="auto"/>
        </w:rPr>
      </w:pPr>
      <w:r>
        <w:rPr>
          <w:rFonts w:ascii="Arial" w:cs="Arial" w:eastAsia="Arial" w:hAnsi="Arial"/>
          <w:sz w:val="15"/>
          <w:szCs w:val="15"/>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our ability to compete effectively or to successfully execute our strategy; Brady’s ability to develop technologically advanced products that meet customer demands; difficulties in protecting our websites, networks, and systems against security breaches; decreased demand for our products; Brady’s ability to retain large customers; extensive regulations by U.S. and non-U.S. governmental and self-regulatory entities; Brady’s ability to execute facility consolidations and maintain acceptable operational service metrics; litigation, including product liability claims; risks associated with the loss of key employees; divestitures and contingent liabilities from divestitures; Brady’s ability to properly identify, integrate, and grow acquired companies; foreign currency fluctuations; changes in tax legislation and tax rates; potential write-offs of Brady’s substantial intangible assets; differing interests of voting and non-voting shareholders; Brady’s ability to meet certain financial covenants required by our debt agreements;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2017.</w:t>
      </w:r>
    </w:p>
    <w:p>
      <w:pPr>
        <w:spacing w:after="0" w:line="163"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20"/>
          </w:cols>
          <w:pgMar w:left="240" w:top="583" w:right="2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EARNINGS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4"/>
          </w:tcPr>
          <w:p>
            <w:pPr>
              <w:jc w:val="right"/>
              <w:ind w:right="188"/>
              <w:spacing w:after="0"/>
              <w:rPr>
                <w:sz w:val="20"/>
                <w:szCs w:val="20"/>
                <w:color w:val="auto"/>
              </w:rPr>
            </w:pPr>
            <w:r>
              <w:rPr>
                <w:rFonts w:ascii="Arial" w:cs="Arial" w:eastAsia="Arial" w:hAnsi="Arial"/>
                <w:sz w:val="14"/>
                <w:szCs w:val="14"/>
                <w:color w:val="auto"/>
                <w:w w:val="95"/>
              </w:rPr>
              <w:t>Three months ended October 31,</w:t>
            </w:r>
          </w:p>
        </w:tc>
      </w:tr>
      <w:tr>
        <w:trPr>
          <w:trHeight w:val="30"/>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3"/>
        </w:trPr>
        <w:tc>
          <w:tcPr>
            <w:tcW w:w="6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2016</w:t>
            </w:r>
          </w:p>
        </w:tc>
      </w:tr>
      <w:tr>
        <w:trPr>
          <w:trHeight w:val="30"/>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1"/>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290,151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280,176</w:t>
            </w: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144,086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139,818</w:t>
            </w:r>
          </w:p>
        </w:tc>
      </w:tr>
      <w:tr>
        <w:trPr>
          <w:trHeight w:val="30"/>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Gross margin</w:t>
            </w: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146,065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140,358</w:t>
            </w: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Research and development</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10,520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9,146</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100,134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98,004</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110,654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107,150</w:t>
            </w:r>
          </w:p>
        </w:tc>
      </w:tr>
      <w:tr>
        <w:trPr>
          <w:trHeight w:val="241"/>
        </w:trPr>
        <w:tc>
          <w:tcPr>
            <w:tcW w:w="6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1"/>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35,411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33,208</w:t>
            </w:r>
          </w:p>
        </w:tc>
      </w:tr>
      <w:tr>
        <w:trPr>
          <w:trHeight w:val="241"/>
        </w:trPr>
        <w:tc>
          <w:tcPr>
            <w:tcW w:w="6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1"/>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Investment and other income (expense)</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(489)</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(1,732)</w:t>
            </w:r>
          </w:p>
        </w:tc>
      </w:tr>
      <w:tr>
        <w:trPr>
          <w:trHeight w:val="233"/>
        </w:trPr>
        <w:tc>
          <w:tcPr>
            <w:tcW w:w="6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21"/>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Earnings before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34,764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30,987</w:t>
            </w:r>
          </w:p>
        </w:tc>
      </w:tr>
      <w:tr>
        <w:trPr>
          <w:trHeight w:val="241"/>
        </w:trPr>
        <w:tc>
          <w:tcPr>
            <w:tcW w:w="6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1"/>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8,928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8,434</w:t>
            </w:r>
          </w:p>
        </w:tc>
      </w:tr>
      <w:tr>
        <w:trPr>
          <w:trHeight w:val="233"/>
        </w:trPr>
        <w:tc>
          <w:tcPr>
            <w:tcW w:w="6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21"/>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25,836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22,553</w:t>
            </w:r>
          </w:p>
        </w:tc>
      </w:tr>
      <w:tr>
        <w:trPr>
          <w:trHeight w:val="20"/>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5"/>
        </w:trPr>
        <w:tc>
          <w:tcPr>
            <w:tcW w:w="6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1"/>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per Class A Nonvoting Common Share:</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0.45</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0.44</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Dividends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0.21</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0.21</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Net Earnings per Class B Voting Common Share: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0.43</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0.42</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Dividends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0.19</w:t>
            </w:r>
          </w:p>
        </w:tc>
      </w:tr>
      <w:tr>
        <w:trPr>
          <w:trHeight w:val="241"/>
        </w:trPr>
        <w:tc>
          <w:tcPr>
            <w:tcW w:w="6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1"/>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 (in thousands):</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51,440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50,634</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1"/>
        </w:trPr>
        <w:tc>
          <w:tcPr>
            <w:tcW w:w="6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52,383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51,455</w:t>
            </w:r>
          </w:p>
        </w:tc>
      </w:tr>
      <w:tr>
        <w:trPr>
          <w:trHeight w:val="30"/>
        </w:trPr>
        <w:tc>
          <w:tcPr>
            <w:tcW w:w="6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ectPr>
          <w:pgSz w:w="11900" w:h="16838" w:orient="portrait"/>
          <w:cols w:equalWidth="0" w:num="1">
            <w:col w:w="10219"/>
          </w:cols>
          <w:pgMar w:left="240" w:top="537" w:right="1440"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color w:val="auto"/>
              </w:rPr>
              <w:t>October 31, 2017</w:t>
            </w:r>
          </w:p>
        </w:tc>
        <w:tc>
          <w:tcPr>
            <w:tcW w:w="14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w w:val="96"/>
              </w:rPr>
              <w:t>July 31, 2017</w:t>
            </w: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3"/>
        </w:trPr>
        <w:tc>
          <w:tcPr>
            <w:tcW w:w="13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ASSETS</w:t>
            </w:r>
          </w:p>
        </w:tc>
        <w:tc>
          <w:tcPr>
            <w:tcW w:w="284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11"/>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Current assets: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142,237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133,944</w:t>
            </w: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Accounts receivable—net</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152,698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149,638</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11"/>
        </w:trPr>
        <w:tc>
          <w:tcPr>
            <w:tcW w:w="6240" w:type="dxa"/>
            <w:vAlign w:val="bottom"/>
            <w:gridSpan w:val="5"/>
          </w:tcPr>
          <w:p>
            <w:pPr>
              <w:ind w:left="520"/>
              <w:spacing w:after="0"/>
              <w:rPr>
                <w:sz w:val="20"/>
                <w:szCs w:val="20"/>
                <w:color w:val="auto"/>
              </w:rPr>
            </w:pPr>
            <w:r>
              <w:rPr>
                <w:rFonts w:ascii="Arial" w:cs="Arial" w:eastAsia="Arial" w:hAnsi="Arial"/>
                <w:sz w:val="14"/>
                <w:szCs w:val="14"/>
                <w:color w:val="auto"/>
              </w:rPr>
              <w:t>Finished products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69,458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69,760</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Arial" w:cs="Arial" w:eastAsia="Arial" w:hAnsi="Arial"/>
                <w:sz w:val="14"/>
                <w:szCs w:val="14"/>
                <w:color w:val="auto"/>
              </w:rPr>
              <w:t>Work-in-process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19,052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18,117</w:t>
            </w:r>
          </w:p>
        </w:tc>
      </w:tr>
      <w:tr>
        <w:trPr>
          <w:trHeight w:val="211"/>
        </w:trPr>
        <w:tc>
          <w:tcPr>
            <w:tcW w:w="6240" w:type="dxa"/>
            <w:vAlign w:val="bottom"/>
            <w:gridSpan w:val="5"/>
          </w:tcPr>
          <w:p>
            <w:pPr>
              <w:ind w:left="520"/>
              <w:spacing w:after="0"/>
              <w:rPr>
                <w:sz w:val="20"/>
                <w:szCs w:val="20"/>
                <w:color w:val="auto"/>
              </w:rPr>
            </w:pPr>
            <w:r>
              <w:rPr>
                <w:rFonts w:ascii="Arial" w:cs="Arial" w:eastAsia="Arial" w:hAnsi="Arial"/>
                <w:sz w:val="14"/>
                <w:szCs w:val="14"/>
                <w:color w:val="auto"/>
              </w:rPr>
              <w:t>Raw materials and supplies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21,152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19,147</w:t>
            </w: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1"/>
        </w:trPr>
        <w:tc>
          <w:tcPr>
            <w:tcW w:w="6240" w:type="dxa"/>
            <w:vAlign w:val="bottom"/>
            <w:tcBorders>
              <w:bottom w:val="single" w:sz="8" w:color="CCEEFF"/>
            </w:tcBorders>
            <w:gridSpan w:val="5"/>
            <w:shd w:val="clear" w:color="auto" w:fill="CCEEFF"/>
          </w:tcPr>
          <w:p>
            <w:pPr>
              <w:ind w:left="820"/>
              <w:spacing w:after="0"/>
              <w:rPr>
                <w:sz w:val="20"/>
                <w:szCs w:val="20"/>
                <w:color w:val="auto"/>
              </w:rPr>
            </w:pPr>
            <w:r>
              <w:rPr>
                <w:rFonts w:ascii="Arial" w:cs="Arial" w:eastAsia="Arial" w:hAnsi="Arial"/>
                <w:sz w:val="14"/>
                <w:szCs w:val="14"/>
                <w:color w:val="auto"/>
              </w:rPr>
              <w:t>Total inventories</w:t>
            </w: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109,662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107,024</w:t>
            </w: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19,045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17,208</w:t>
            </w: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Total current assets</w:t>
            </w: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423,642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407,814</w:t>
            </w:r>
          </w:p>
        </w:tc>
      </w:tr>
      <w:tr>
        <w:trPr>
          <w:trHeight w:val="211"/>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Other assets: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Goodwill</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433,704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437,697</w:t>
            </w: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Other intangible assets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51,200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53,076</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36,281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35,456</w:t>
            </w: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17,072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18,077</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Cost:</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Arial" w:cs="Arial" w:eastAsia="Arial" w:hAnsi="Arial"/>
                <w:sz w:val="14"/>
                <w:szCs w:val="14"/>
                <w:color w:val="auto"/>
              </w:rPr>
              <w:t>Land</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7,344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7,470</w:t>
            </w:r>
          </w:p>
        </w:tc>
      </w:tr>
      <w:tr>
        <w:trPr>
          <w:trHeight w:val="211"/>
        </w:trPr>
        <w:tc>
          <w:tcPr>
            <w:tcW w:w="6240" w:type="dxa"/>
            <w:vAlign w:val="bottom"/>
            <w:gridSpan w:val="5"/>
          </w:tcPr>
          <w:p>
            <w:pPr>
              <w:ind w:left="520"/>
              <w:spacing w:after="0"/>
              <w:rPr>
                <w:sz w:val="20"/>
                <w:szCs w:val="20"/>
                <w:color w:val="auto"/>
              </w:rPr>
            </w:pPr>
            <w:r>
              <w:rPr>
                <w:rFonts w:ascii="Arial" w:cs="Arial" w:eastAsia="Arial" w:hAnsi="Arial"/>
                <w:sz w:val="14"/>
                <w:szCs w:val="14"/>
                <w:color w:val="auto"/>
              </w:rPr>
              <w:t>Buildings and improvements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97,457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98,228</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Arial" w:cs="Arial" w:eastAsia="Arial" w:hAnsi="Arial"/>
                <w:sz w:val="14"/>
                <w:szCs w:val="14"/>
                <w:color w:val="auto"/>
              </w:rPr>
              <w:t>Machinery and equipment</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262,820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261,192</w:t>
            </w:r>
          </w:p>
        </w:tc>
      </w:tr>
      <w:tr>
        <w:trPr>
          <w:trHeight w:val="211"/>
        </w:trPr>
        <w:tc>
          <w:tcPr>
            <w:tcW w:w="6240" w:type="dxa"/>
            <w:vAlign w:val="bottom"/>
            <w:gridSpan w:val="5"/>
          </w:tcPr>
          <w:p>
            <w:pPr>
              <w:ind w:left="520"/>
              <w:spacing w:after="0"/>
              <w:rPr>
                <w:sz w:val="20"/>
                <w:szCs w:val="20"/>
                <w:color w:val="auto"/>
              </w:rPr>
            </w:pPr>
            <w:r>
              <w:rPr>
                <w:rFonts w:ascii="Arial" w:cs="Arial" w:eastAsia="Arial" w:hAnsi="Arial"/>
                <w:sz w:val="14"/>
                <w:szCs w:val="14"/>
                <w:color w:val="auto"/>
              </w:rPr>
              <w:t>Construction in progress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4,123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4,109</w:t>
            </w: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1"/>
        </w:trPr>
        <w:tc>
          <w:tcPr>
            <w:tcW w:w="13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371,744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370,999</w:t>
            </w: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Less accumulated depreciation</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276,030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272,896</w:t>
            </w: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Property, plant and equipment—net</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95,714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98,103</w:t>
            </w:r>
          </w:p>
        </w:tc>
      </w:tr>
      <w:tr>
        <w:trPr>
          <w:trHeight w:val="253"/>
        </w:trPr>
        <w:tc>
          <w:tcPr>
            <w:tcW w:w="6240" w:type="dxa"/>
            <w:vAlign w:val="bottom"/>
            <w:tcBorders>
              <w:bottom w:val="single" w:sz="8" w:color="CCEEFF"/>
            </w:tcBorders>
            <w:gridSpan w:val="5"/>
          </w:tcPr>
          <w:p>
            <w:pPr>
              <w:ind w:left="2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1,057,613</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1,050,223</w:t>
            </w:r>
          </w:p>
        </w:tc>
      </w:tr>
      <w:tr>
        <w:trPr>
          <w:trHeight w:val="205"/>
        </w:trPr>
        <w:tc>
          <w:tcPr>
            <w:tcW w:w="1340" w:type="dxa"/>
            <w:vAlign w:val="bottom"/>
            <w:tcBorders>
              <w:bottom w:val="single" w:sz="8" w:color="CCEEFF"/>
            </w:tcBorders>
            <w:shd w:val="clear" w:color="auto" w:fill="CCEEFF"/>
          </w:tcPr>
          <w:p>
            <w:pPr>
              <w:spacing w:after="0"/>
              <w:rPr>
                <w:sz w:val="17"/>
                <w:szCs w:val="17"/>
                <w:color w:val="auto"/>
              </w:rPr>
            </w:pPr>
          </w:p>
        </w:tc>
        <w:tc>
          <w:tcPr>
            <w:tcW w:w="356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rPr>
              <w:t>LIABILITIES AND STOCKHOLDERS’ INVESTMENT</w:t>
            </w:r>
          </w:p>
        </w:tc>
        <w:tc>
          <w:tcPr>
            <w:tcW w:w="1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211"/>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Notes payable</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3,228</w:t>
            </w: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64,902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66,817</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Wages and amounts withheld from employees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64,863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58,192</w:t>
            </w: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Taxes, other than income taxes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8,242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7,970</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Accrued 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9,574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7,373</w:t>
            </w: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Other current liabilities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45,455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43,618</w:t>
            </w: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Total current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193,785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187,198</w:t>
            </w:r>
          </w:p>
        </w:tc>
      </w:tr>
      <w:tr>
        <w:trPr>
          <w:trHeight w:val="211"/>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Long-term obligations, less current maturities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93,810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104,536</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62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Other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57,347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58,349</w:t>
            </w:r>
          </w:p>
        </w:tc>
      </w:tr>
      <w:tr>
        <w:trPr>
          <w:trHeight w:val="191"/>
        </w:trPr>
        <w:tc>
          <w:tcPr>
            <w:tcW w:w="6240" w:type="dxa"/>
            <w:vAlign w:val="bottom"/>
            <w:gridSpan w:val="5"/>
          </w:tcPr>
          <w:p>
            <w:pPr>
              <w:ind w:left="520"/>
              <w:spacing w:after="0"/>
              <w:rPr>
                <w:sz w:val="20"/>
                <w:szCs w:val="20"/>
                <w:color w:val="auto"/>
              </w:rPr>
            </w:pPr>
            <w:r>
              <w:rPr>
                <w:rFonts w:ascii="Arial" w:cs="Arial" w:eastAsia="Arial" w:hAnsi="Arial"/>
                <w:sz w:val="14"/>
                <w:szCs w:val="14"/>
                <w:b w:val="1"/>
                <w:bCs w:val="1"/>
                <w:color w:val="auto"/>
              </w:rPr>
              <w:t>Total liabilities</w:t>
            </w: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344,942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350,083</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investment:</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Common stock:</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7"/>
        </w:trPr>
        <w:tc>
          <w:tcPr>
            <w:tcW w:w="6240" w:type="dxa"/>
            <w:vAlign w:val="bottom"/>
            <w:gridSpan w:val="5"/>
            <w:shd w:val="clear" w:color="auto" w:fill="CCEEFF"/>
          </w:tcPr>
          <w:p>
            <w:pPr>
              <w:ind w:left="520"/>
              <w:spacing w:after="0"/>
              <w:rPr>
                <w:sz w:val="20"/>
                <w:szCs w:val="20"/>
                <w:color w:val="auto"/>
              </w:rPr>
            </w:pPr>
            <w:r>
              <w:rPr>
                <w:rFonts w:ascii="Arial" w:cs="Arial" w:eastAsia="Arial" w:hAnsi="Arial"/>
                <w:sz w:val="14"/>
                <w:szCs w:val="14"/>
                <w:color w:val="auto"/>
                <w:w w:val="96"/>
              </w:rPr>
              <w:t>Class A nonvoting common stock—Issued 51,261,487 and 51,261,487 shares, respectively and</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3"/>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Arial" w:cs="Arial" w:eastAsia="Arial" w:hAnsi="Arial"/>
                <w:sz w:val="14"/>
                <w:szCs w:val="14"/>
                <w:color w:val="auto"/>
              </w:rPr>
              <w:t>outstanding 48,020,711 and 47,814,818 shares, respectively</w:t>
            </w:r>
          </w:p>
        </w:tc>
        <w:tc>
          <w:tcPr>
            <w:tcW w:w="3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513</w:t>
            </w:r>
          </w:p>
        </w:tc>
      </w:tr>
      <w:tr>
        <w:trPr>
          <w:trHeight w:val="211"/>
        </w:trPr>
        <w:tc>
          <w:tcPr>
            <w:tcW w:w="6240" w:type="dxa"/>
            <w:vAlign w:val="bottom"/>
            <w:gridSpan w:val="5"/>
          </w:tcPr>
          <w:p>
            <w:pPr>
              <w:ind w:left="520"/>
              <w:spacing w:after="0"/>
              <w:rPr>
                <w:sz w:val="20"/>
                <w:szCs w:val="20"/>
                <w:color w:val="auto"/>
              </w:rPr>
            </w:pPr>
            <w:r>
              <w:rPr>
                <w:rFonts w:ascii="Arial" w:cs="Arial" w:eastAsia="Arial" w:hAnsi="Arial"/>
                <w:sz w:val="14"/>
                <w:szCs w:val="14"/>
                <w:color w:val="auto"/>
              </w:rPr>
              <w:t>Class B voting common stock—Issued and outstanding, 3,538,628 shares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35</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322,657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322,608</w:t>
            </w: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Earnings retained in the business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522,334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507,136</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7"/>
        </w:trPr>
        <w:tc>
          <w:tcPr>
            <w:tcW w:w="6240" w:type="dxa"/>
            <w:vAlign w:val="bottom"/>
            <w:gridSpan w:val="5"/>
            <w:shd w:val="clear" w:color="auto" w:fill="CCEEFF"/>
          </w:tcPr>
          <w:p>
            <w:pPr>
              <w:ind w:left="340"/>
              <w:spacing w:after="0"/>
              <w:rPr>
                <w:sz w:val="20"/>
                <w:szCs w:val="20"/>
                <w:color w:val="auto"/>
              </w:rPr>
            </w:pPr>
            <w:r>
              <w:rPr>
                <w:rFonts w:ascii="Arial" w:cs="Arial" w:eastAsia="Arial" w:hAnsi="Arial"/>
                <w:sz w:val="14"/>
                <w:szCs w:val="14"/>
                <w:color w:val="auto"/>
                <w:w w:val="94"/>
              </w:rPr>
              <w:t>Treasury stock—3,240,776 and 3,446,669 shares, respectively of Class A nonvoting common stock,</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3"/>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at cost</w:t>
            </w:r>
          </w:p>
        </w:tc>
        <w:tc>
          <w:tcPr>
            <w:tcW w:w="3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(80,806)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(85,470)</w:t>
            </w: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Accumulated other comprehensive loss</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(52,062)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(44,682)</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Total stockholders’ investment</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712,671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700,140</w:t>
            </w:r>
          </w:p>
        </w:tc>
      </w:tr>
      <w:tr>
        <w:trPr>
          <w:trHeight w:val="213"/>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1,057,613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1,050,223</w:t>
            </w:r>
          </w:p>
        </w:tc>
      </w:tr>
      <w:tr>
        <w:trPr>
          <w:trHeight w:val="20"/>
        </w:trPr>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4"/>
          </w:tcPr>
          <w:p>
            <w:pPr>
              <w:jc w:val="right"/>
              <w:ind w:right="88"/>
              <w:spacing w:after="0"/>
              <w:rPr>
                <w:sz w:val="20"/>
                <w:szCs w:val="20"/>
                <w:color w:val="auto"/>
              </w:rPr>
            </w:pPr>
            <w:r>
              <w:rPr>
                <w:rFonts w:ascii="Arial" w:cs="Arial" w:eastAsia="Arial" w:hAnsi="Arial"/>
                <w:sz w:val="14"/>
                <w:szCs w:val="14"/>
                <w:color w:val="auto"/>
                <w:w w:val="93"/>
              </w:rPr>
              <w:t>Three months ended October 31,</w:t>
            </w:r>
          </w:p>
        </w:tc>
      </w:tr>
      <w:tr>
        <w:trPr>
          <w:trHeight w:val="30"/>
        </w:trPr>
        <w:tc>
          <w:tcPr>
            <w:tcW w:w="6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6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2016</w:t>
            </w:r>
          </w:p>
        </w:tc>
      </w:tr>
      <w:tr>
        <w:trPr>
          <w:trHeight w:val="30"/>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25,836</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22,553</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6,564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7,234</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Non-cash portion of stock-based compensation expense</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3,744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3,155</w:t>
            </w: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2,027</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(680)</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Inventories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(3,571)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1,197</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(1,170)</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Accounts payable and accrued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7,799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2,546</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Income taxes</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(2,869)</w:t>
            </w:r>
          </w:p>
        </w:tc>
      </w:tr>
      <w:tr>
        <w:trPr>
          <w:trHeight w:val="30"/>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6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34,719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33,993</w:t>
            </w:r>
          </w:p>
        </w:tc>
      </w:tr>
      <w:tr>
        <w:trPr>
          <w:trHeight w:val="253"/>
        </w:trPr>
        <w:tc>
          <w:tcPr>
            <w:tcW w:w="6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Purchases of property, plant and equipment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(3,959)</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974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1,511</w:t>
            </w:r>
          </w:p>
        </w:tc>
      </w:tr>
      <w:tr>
        <w:trPr>
          <w:trHeight w:val="191"/>
        </w:trPr>
        <w:tc>
          <w:tcPr>
            <w:tcW w:w="6440" w:type="dxa"/>
            <w:vAlign w:val="bottom"/>
          </w:tcPr>
          <w:p>
            <w:pPr>
              <w:ind w:left="92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(2,828)</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(2,448)</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Payment of dividends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(10,639)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(10,370)</w:t>
            </w: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Proceeds from exercise of stock options</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3,249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8,813</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Proceeds from borrowings on credit facilities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10,901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27,565</w:t>
            </w: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Repayments of borrowings on credit facilities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(22,894)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(27,139)</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Income tax on equity-based compensation, and other</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(1,232)</w:t>
            </w:r>
          </w:p>
        </w:tc>
      </w:tr>
      <w:tr>
        <w:trPr>
          <w:trHeight w:val="191"/>
        </w:trPr>
        <w:tc>
          <w:tcPr>
            <w:tcW w:w="6440" w:type="dxa"/>
            <w:vAlign w:val="bottom"/>
          </w:tcPr>
          <w:p>
            <w:pPr>
              <w:ind w:left="920"/>
              <w:spacing w:after="0"/>
              <w:rPr>
                <w:sz w:val="20"/>
                <w:szCs w:val="20"/>
                <w:color w:val="auto"/>
              </w:rPr>
            </w:pPr>
            <w:r>
              <w:rPr>
                <w:rFonts w:ascii="Arial" w:cs="Arial" w:eastAsia="Arial" w:hAnsi="Arial"/>
                <w:sz w:val="14"/>
                <w:szCs w:val="14"/>
                <w:color w:val="auto"/>
              </w:rPr>
              <w:t>Net cash used in financing activities</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(21,663)</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(2,363)</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(4,109)</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8,293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25,073</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133,944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141,228</w:t>
            </w:r>
          </w:p>
        </w:tc>
      </w:tr>
      <w:tr>
        <w:trPr>
          <w:trHeight w:val="245"/>
        </w:trPr>
        <w:tc>
          <w:tcPr>
            <w:tcW w:w="64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142,237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166,301</w:t>
            </w:r>
          </w:p>
        </w:tc>
      </w:tr>
      <w:tr>
        <w:trPr>
          <w:trHeight w:val="20"/>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4"/>
          </w:tcPr>
          <w:p>
            <w:pPr>
              <w:jc w:val="right"/>
              <w:ind w:right="28"/>
              <w:spacing w:after="0"/>
              <w:rPr>
                <w:sz w:val="20"/>
                <w:szCs w:val="20"/>
                <w:color w:val="auto"/>
              </w:rPr>
            </w:pPr>
            <w:r>
              <w:rPr>
                <w:rFonts w:ascii="Arial" w:cs="Arial" w:eastAsia="Arial" w:hAnsi="Arial"/>
                <w:sz w:val="14"/>
                <w:szCs w:val="14"/>
                <w:color w:val="auto"/>
                <w:w w:val="92"/>
              </w:rPr>
              <w:t>Three months ended October 31,</w:t>
            </w:r>
          </w:p>
        </w:tc>
      </w:tr>
      <w:tr>
        <w:trPr>
          <w:trHeight w:val="30"/>
        </w:trPr>
        <w:tc>
          <w:tcPr>
            <w:tcW w:w="6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3"/>
        </w:trPr>
        <w:tc>
          <w:tcPr>
            <w:tcW w:w="6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8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2016</w:t>
            </w:r>
          </w:p>
        </w:tc>
      </w:tr>
      <w:tr>
        <w:trPr>
          <w:trHeight w:val="30"/>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9"/>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SALES TO EXTERNAL CUSTOMERS</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211"/>
        </w:trPr>
        <w:tc>
          <w:tcPr>
            <w:tcW w:w="654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209,705</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201,264</w:t>
            </w:r>
          </w:p>
        </w:tc>
      </w:tr>
      <w:tr>
        <w:trPr>
          <w:trHeight w:val="30"/>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80,446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78,912</w:t>
            </w:r>
          </w:p>
        </w:tc>
      </w:tr>
      <w:tr>
        <w:trPr>
          <w:trHeight w:val="253"/>
        </w:trPr>
        <w:tc>
          <w:tcPr>
            <w:tcW w:w="65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Company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290,151</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280,176</w:t>
            </w:r>
          </w:p>
        </w:tc>
      </w:tr>
      <w:tr>
        <w:trPr>
          <w:trHeight w:val="213"/>
        </w:trPr>
        <w:tc>
          <w:tcPr>
            <w:tcW w:w="6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bl>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SALES INFORMATION</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0"/>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9"/>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ID Solutions</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11"/>
        </w:trPr>
        <w:tc>
          <w:tcPr>
            <w:tcW w:w="6540" w:type="dxa"/>
            <w:vAlign w:val="bottom"/>
          </w:tcPr>
          <w:p>
            <w:pPr>
              <w:ind w:left="340"/>
              <w:spacing w:after="0"/>
              <w:rPr>
                <w:sz w:val="20"/>
                <w:szCs w:val="20"/>
                <w:color w:val="auto"/>
              </w:rPr>
            </w:pPr>
            <w:r>
              <w:rPr>
                <w:rFonts w:ascii="Arial" w:cs="Arial" w:eastAsia="Arial" w:hAnsi="Arial"/>
                <w:sz w:val="14"/>
                <w:szCs w:val="14"/>
                <w:color w:val="auto"/>
              </w:rPr>
              <w:t>Organic</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0.7 %</w:t>
            </w:r>
          </w:p>
        </w:tc>
      </w:tr>
      <w:tr>
        <w:trPr>
          <w:trHeight w:val="30"/>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Currency</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253"/>
        </w:trPr>
        <w:tc>
          <w:tcPr>
            <w:tcW w:w="65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4.2 %</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0.1 %</w:t>
            </w:r>
          </w:p>
        </w:tc>
      </w:tr>
      <w:tr>
        <w:trPr>
          <w:trHeight w:val="213"/>
        </w:trPr>
        <w:tc>
          <w:tcPr>
            <w:tcW w:w="6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99"/>
        </w:trPr>
        <w:tc>
          <w:tcPr>
            <w:tcW w:w="65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Workplace Safety</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0"/>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Organic</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11"/>
        </w:trPr>
        <w:tc>
          <w:tcPr>
            <w:tcW w:w="6540" w:type="dxa"/>
            <w:vAlign w:val="bottom"/>
          </w:tcPr>
          <w:p>
            <w:pPr>
              <w:ind w:left="340"/>
              <w:spacing w:after="0"/>
              <w:rPr>
                <w:sz w:val="20"/>
                <w:szCs w:val="20"/>
                <w:color w:val="auto"/>
              </w:rPr>
            </w:pPr>
            <w:r>
              <w:rPr>
                <w:rFonts w:ascii="Arial" w:cs="Arial" w:eastAsia="Arial" w:hAnsi="Arial"/>
                <w:sz w:val="14"/>
                <w:szCs w:val="14"/>
                <w:color w:val="auto"/>
              </w:rPr>
              <w:t>Currency</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30"/>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3"/>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20"/>
        </w:trPr>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3"/>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9"/>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Total Company</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11"/>
        </w:trPr>
        <w:tc>
          <w:tcPr>
            <w:tcW w:w="6540" w:type="dxa"/>
            <w:vAlign w:val="bottom"/>
          </w:tcPr>
          <w:p>
            <w:pPr>
              <w:ind w:left="340"/>
              <w:spacing w:after="0"/>
              <w:rPr>
                <w:sz w:val="20"/>
                <w:szCs w:val="20"/>
                <w:color w:val="auto"/>
              </w:rPr>
            </w:pPr>
            <w:r>
              <w:rPr>
                <w:rFonts w:ascii="Arial" w:cs="Arial" w:eastAsia="Arial" w:hAnsi="Arial"/>
                <w:sz w:val="14"/>
                <w:szCs w:val="14"/>
                <w:color w:val="auto"/>
              </w:rPr>
              <w:t>Organic</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30"/>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Currency</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253"/>
        </w:trPr>
        <w:tc>
          <w:tcPr>
            <w:tcW w:w="65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13"/>
        </w:trPr>
        <w:tc>
          <w:tcPr>
            <w:tcW w:w="6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99"/>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SEGMENT PROFIT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0"/>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ID Solutions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35,837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33,068</w:t>
            </w:r>
          </w:p>
        </w:tc>
      </w:tr>
      <w:tr>
        <w:trPr>
          <w:trHeight w:val="211"/>
        </w:trPr>
        <w:tc>
          <w:tcPr>
            <w:tcW w:w="6540" w:type="dxa"/>
            <w:vAlign w:val="bottom"/>
          </w:tcPr>
          <w:p>
            <w:pPr>
              <w:ind w:left="340"/>
              <w:spacing w:after="0"/>
              <w:rPr>
                <w:sz w:val="20"/>
                <w:szCs w:val="20"/>
                <w:color w:val="auto"/>
              </w:rPr>
            </w:pPr>
            <w:r>
              <w:rPr>
                <w:rFonts w:ascii="Arial" w:cs="Arial" w:eastAsia="Arial" w:hAnsi="Arial"/>
                <w:sz w:val="14"/>
                <w:szCs w:val="14"/>
                <w:color w:val="auto"/>
              </w:rPr>
              <w:t>Workplace Safety</w:t>
            </w:r>
          </w:p>
        </w:tc>
        <w:tc>
          <w:tcPr>
            <w:tcW w:w="120" w:type="dxa"/>
            <w:vAlign w:val="bottom"/>
          </w:tcPr>
          <w:p>
            <w:pPr>
              <w:spacing w:after="0"/>
              <w:rPr>
                <w:sz w:val="18"/>
                <w:szCs w:val="18"/>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6,445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6,450</w:t>
            </w:r>
          </w:p>
        </w:tc>
      </w:tr>
      <w:tr>
        <w:trPr>
          <w:trHeight w:val="30"/>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3"/>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42,282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39,518</w:t>
            </w:r>
          </w:p>
        </w:tc>
      </w:tr>
      <w:tr>
        <w:trPr>
          <w:trHeight w:val="20"/>
        </w:trPr>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3"/>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9"/>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 PROFIT AS A PERCENT OF SALES</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11"/>
        </w:trPr>
        <w:tc>
          <w:tcPr>
            <w:tcW w:w="654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12.7 %</w:t>
            </w:r>
          </w:p>
        </w:tc>
      </w:tr>
      <w:tr>
        <w:trPr>
          <w:trHeight w:val="30"/>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11.4 %</w:t>
            </w:r>
          </w:p>
        </w:tc>
      </w:tr>
      <w:tr>
        <w:trPr>
          <w:trHeight w:val="213"/>
        </w:trPr>
        <w:tc>
          <w:tcPr>
            <w:tcW w:w="6540" w:type="dxa"/>
            <w:vAlign w:val="bottom"/>
          </w:tcPr>
          <w:p>
            <w:pPr>
              <w:ind w:left="3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14.6 %</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12.3 %</w:t>
            </w:r>
          </w:p>
        </w:tc>
      </w:tr>
      <w:tr>
        <w:trPr>
          <w:trHeight w:val="20"/>
        </w:trPr>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r>
      <w:tr>
        <w:trPr>
          <w:trHeight w:val="497"/>
        </w:trPr>
        <w:tc>
          <w:tcPr>
            <w:tcW w:w="6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4"/>
          </w:tcPr>
          <w:p>
            <w:pPr>
              <w:jc w:val="right"/>
              <w:ind w:right="28"/>
              <w:spacing w:after="0"/>
              <w:rPr>
                <w:sz w:val="20"/>
                <w:szCs w:val="20"/>
                <w:color w:val="auto"/>
              </w:rPr>
            </w:pPr>
            <w:r>
              <w:rPr>
                <w:rFonts w:ascii="Arial" w:cs="Arial" w:eastAsia="Arial" w:hAnsi="Arial"/>
                <w:sz w:val="14"/>
                <w:szCs w:val="14"/>
                <w:color w:val="auto"/>
                <w:w w:val="92"/>
              </w:rPr>
              <w:t>Three months ended October 31,</w:t>
            </w:r>
          </w:p>
        </w:tc>
      </w:tr>
      <w:tr>
        <w:trPr>
          <w:trHeight w:val="30"/>
        </w:trPr>
        <w:tc>
          <w:tcPr>
            <w:tcW w:w="6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3"/>
        </w:trPr>
        <w:tc>
          <w:tcPr>
            <w:tcW w:w="6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8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2017</w:t>
            </w:r>
          </w:p>
        </w:tc>
      </w:tr>
      <w:tr>
        <w:trPr>
          <w:trHeight w:val="30"/>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1"/>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segment profit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42,282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39,518</w:t>
            </w:r>
          </w:p>
        </w:tc>
      </w:tr>
      <w:tr>
        <w:trPr>
          <w:trHeight w:val="211"/>
        </w:trPr>
        <w:tc>
          <w:tcPr>
            <w:tcW w:w="6540" w:type="dxa"/>
            <w:vAlign w:val="bottom"/>
          </w:tcPr>
          <w:p>
            <w:pPr>
              <w:ind w:left="20"/>
              <w:spacing w:after="0"/>
              <w:rPr>
                <w:sz w:val="20"/>
                <w:szCs w:val="20"/>
                <w:color w:val="auto"/>
              </w:rPr>
            </w:pPr>
            <w:r>
              <w:rPr>
                <w:rFonts w:ascii="Arial" w:cs="Arial" w:eastAsia="Arial" w:hAnsi="Arial"/>
                <w:sz w:val="14"/>
                <w:szCs w:val="14"/>
                <w:color w:val="auto"/>
              </w:rPr>
              <w:t>Unallocated amounts: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0"/>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Administrative costs</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(6,871)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(6,310)</w:t>
            </w:r>
          </w:p>
        </w:tc>
      </w:tr>
      <w:tr>
        <w:trPr>
          <w:trHeight w:val="211"/>
        </w:trPr>
        <w:tc>
          <w:tcPr>
            <w:tcW w:w="6540" w:type="dxa"/>
            <w:vAlign w:val="bottom"/>
          </w:tcPr>
          <w:p>
            <w:pPr>
              <w:ind w:left="340"/>
              <w:spacing w:after="0"/>
              <w:rPr>
                <w:sz w:val="20"/>
                <w:szCs w:val="20"/>
                <w:color w:val="auto"/>
              </w:rPr>
            </w:pPr>
            <w:r>
              <w:rPr>
                <w:rFonts w:ascii="Arial" w:cs="Arial" w:eastAsia="Arial" w:hAnsi="Arial"/>
                <w:sz w:val="14"/>
                <w:szCs w:val="14"/>
                <w:color w:val="auto"/>
              </w:rPr>
              <w:t>Investment and other income (expense)</w:t>
            </w:r>
          </w:p>
        </w:tc>
        <w:tc>
          <w:tcPr>
            <w:tcW w:w="12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(489)</w:t>
            </w:r>
          </w:p>
        </w:tc>
      </w:tr>
      <w:tr>
        <w:trPr>
          <w:trHeight w:val="30"/>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(1,732)</w:t>
            </w:r>
          </w:p>
        </w:tc>
      </w:tr>
      <w:tr>
        <w:trPr>
          <w:trHeight w:val="213"/>
        </w:trPr>
        <w:tc>
          <w:tcPr>
            <w:tcW w:w="6540" w:type="dxa"/>
            <w:vAlign w:val="bottom"/>
          </w:tcPr>
          <w:p>
            <w:pPr>
              <w:ind w:left="20"/>
              <w:spacing w:after="0"/>
              <w:rPr>
                <w:sz w:val="20"/>
                <w:szCs w:val="20"/>
                <w:color w:val="auto"/>
              </w:rPr>
            </w:pPr>
            <w:r>
              <w:rPr>
                <w:rFonts w:ascii="Arial" w:cs="Arial" w:eastAsia="Arial" w:hAnsi="Arial"/>
                <w:sz w:val="14"/>
                <w:szCs w:val="14"/>
                <w:color w:val="auto"/>
              </w:rPr>
              <w:t>Earnings before income taxes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34,764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30,987</w:t>
            </w:r>
          </w:p>
        </w:tc>
      </w:tr>
      <w:tr>
        <w:trPr>
          <w:trHeight w:val="20"/>
        </w:trPr>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2019-12-29T02:57:44Z</dcterms:created>
  <dcterms:modified xsi:type="dcterms:W3CDTF">2019-12-29T02:57:44Z</dcterms:modified>
</cp:coreProperties>
</file>