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660"/>
            <w:col w:w="60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720"/>
            <w:col w:w="60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 2014, there were 47,647,885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Earnings</w:t>
            </w:r>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Comprehensive Income</w:t>
            </w:r>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6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3.</w:t>
              </w:r>
            </w:hyperlink>
          </w:p>
        </w:tc>
        <w:tc>
          <w:tcPr>
            <w:tcW w:w="4380" w:type="dxa"/>
            <w:vAlign w:val="bottom"/>
            <w:gridSpan w:val="12"/>
          </w:tcPr>
          <w:p>
            <w:pPr>
              <w:ind w:left="20"/>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Quantitative and Qualitative Disclosures About Market Risk</w:t>
              </w:r>
            </w:hyperlink>
          </w:p>
        </w:tc>
        <w:tc>
          <w:tcPr>
            <w:tcW w:w="2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60" w:type="dxa"/>
            <w:vAlign w:val="bottom"/>
            <w:gridSpan w:val="10"/>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6.</w:t>
              </w:r>
            </w:hyperlink>
          </w:p>
        </w:tc>
        <w:tc>
          <w:tcPr>
            <w:tcW w:w="4380" w:type="dxa"/>
            <w:vAlign w:val="bottom"/>
            <w:gridSpan w:val="12"/>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April 30, 2014</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178,197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169,261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71,397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64,544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20,873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94,707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109,540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119,864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522,482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512,490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620,998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156,851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12,361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21,325</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7,917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284,905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266,787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402,017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377,961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255,803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130,227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122,158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75,552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50,613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44,742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42,413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8,409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31,628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36,806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344,467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323,497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80,742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83,239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587,677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607,886</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47,935,602 and 48,408,544 shares,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306,191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572,474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538,512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stock—3,245,885 and 2,626,276 shares, respectively of Class A nonvoting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common stock, at cost</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(69,797)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63,687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56,063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863,997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302,483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908,301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847,200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154,457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143,082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452,797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395,723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155,120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455,504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451,477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116,666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111,864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340,825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320,874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10,473</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128,353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128,466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380,702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355,509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95,968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(12,755)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85,640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17,077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48,340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48,835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(loss) from discontinued operations, net of income taxes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15,606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(14,564)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w w:val="92"/>
              </w:rPr>
              <w:t>Earnings (loss) from discontinued operations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6"/>
              </w:rPr>
              <w:t>Earnings (loss) from discontinued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51,210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52,041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52,304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51,685</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April 30,</w:t>
            </w:r>
          </w:p>
        </w:tc>
        <w:tc>
          <w:tcPr>
            <w:tcW w:w="220" w:type="dxa"/>
            <w:vAlign w:val="bottom"/>
          </w:tcPr>
          <w:p>
            <w:pPr>
              <w:spacing w:after="0"/>
              <w:rPr>
                <w:sz w:val="18"/>
                <w:szCs w:val="18"/>
                <w:color w:val="auto"/>
              </w:rPr>
            </w:pPr>
          </w:p>
        </w:tc>
        <w:tc>
          <w:tcPr>
            <w:tcW w:w="23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270"/>
        </w:trPr>
        <w:tc>
          <w:tcPr>
            <w:tcW w:w="6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2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2013</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22,736</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19,318</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(5,270)</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recognized in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6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2,873</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33,348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72,065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39,764</w:t>
            </w:r>
          </w:p>
        </w:tc>
      </w:tr>
      <w:tr>
        <w:trPr>
          <w:trHeight w:val="3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64,441</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22,736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33,782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36,037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3,701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on write-down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Loss on sales of businesses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33,780</w:t>
            </w: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(6,410)</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(22,226)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(4,198)</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75,840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89,630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020" w:type="dxa"/>
            <w:vAlign w:val="bottom"/>
            <w:shd w:val="clear" w:color="auto" w:fill="CCEEFF"/>
          </w:tcPr>
          <w:p>
            <w:pPr>
              <w:spacing w:after="0"/>
              <w:rPr>
                <w:sz w:val="21"/>
                <w:szCs w:val="21"/>
                <w:color w:val="auto"/>
              </w:rPr>
            </w:pPr>
          </w:p>
        </w:tc>
        <w:tc>
          <w:tcPr>
            <w:tcW w:w="7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(26,082)</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(301,157)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(1,245)</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(318,306)</w:t>
            </w:r>
          </w:p>
        </w:tc>
      </w:tr>
      <w:tr>
        <w:trPr>
          <w:trHeight w:val="243"/>
        </w:trPr>
        <w:tc>
          <w:tcPr>
            <w:tcW w:w="10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(29,344)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10,246</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borrowing on 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220,000</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Repayment of borrowing on notes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(173,000)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borrowing on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11,491</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Repayment of borrowing on line of credit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Principal payments on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 on the exercise of stock options and deferred compensation distributions,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1,794</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(6,448)</w:t>
            </w:r>
          </w:p>
        </w:tc>
      </w:tr>
      <w:tr>
        <w:trPr>
          <w:trHeight w:val="243"/>
        </w:trPr>
        <w:tc>
          <w:tcPr>
            <w:tcW w:w="10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6,258</w:t>
            </w:r>
          </w:p>
        </w:tc>
      </w:tr>
      <w:tr>
        <w:trPr>
          <w:trHeight w:val="243"/>
        </w:trPr>
        <w:tc>
          <w:tcPr>
            <w:tcW w:w="102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(228,866)</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91,058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305,900</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020" w:type="dxa"/>
            <w:vAlign w:val="bottom"/>
            <w:shd w:val="clear" w:color="auto" w:fill="CCEEFF"/>
          </w:tcPr>
          <w:p>
            <w:pPr>
              <w:spacing w:after="0"/>
              <w:rPr>
                <w:sz w:val="20"/>
                <w:szCs w:val="20"/>
                <w:color w:val="auto"/>
              </w:rPr>
            </w:pPr>
          </w:p>
        </w:tc>
        <w:tc>
          <w:tcPr>
            <w:tcW w:w="7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78,715</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77,034</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24"/>
        </w:trPr>
        <w:tc>
          <w:tcPr>
            <w:tcW w:w="102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Interest, net of capitalized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11,417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13,194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taxes, net of refunds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26,786</w:t>
            </w: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Fair value of assets acquired, net of cash</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169,830</w:t>
            </w:r>
          </w:p>
        </w:tc>
      </w:tr>
      <w:tr>
        <w:trPr>
          <w:trHeight w:val="237"/>
        </w:trPr>
        <w:tc>
          <w:tcPr>
            <w:tcW w:w="8340" w:type="dxa"/>
            <w:vAlign w:val="bottom"/>
            <w:gridSpan w:val="2"/>
          </w:tcPr>
          <w:p>
            <w:pPr>
              <w:ind w:left="960"/>
              <w:spacing w:after="0"/>
              <w:rPr>
                <w:sz w:val="20"/>
                <w:szCs w:val="20"/>
                <w:color w:val="auto"/>
              </w:rPr>
            </w:pPr>
            <w:r>
              <w:rPr>
                <w:rFonts w:ascii="Arial" w:cs="Arial" w:eastAsia="Arial" w:hAnsi="Arial"/>
                <w:sz w:val="16"/>
                <w:szCs w:val="16"/>
                <w:color w:val="auto"/>
              </w:rPr>
              <w:t>Liabilities assumed</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(57,860)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189,187</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paid for acquisitions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301,157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2014 and July 31, 2013, its results of operations and comprehensive income for the three and nine months ended April 30, 2014 and 2013, and cash flows for the nine months ended April 30, 2014 and 2013. The consolidated balance sheet as of July 31, 2013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2013.</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announced its plan to divest its Asia Die-Cut business in the third quarter of fiscal 2013, and incorporated its Balkhausen Die-Cut business into that plan during the fourth quarter of fiscal 2013 (collectively referred to as "Die-Cut"). As a result, the assets and liabilities have been reclassified in accordance with the authoritative literature on assets held for sale in the condensed consolidated balance sheets as of April 30, 2014 and July 31, 2013. The results of operations of the Company's Die-Cut business have been reported as discontinued operations within the condensed consolidated statements of earnings for all periods presented. In addition, the Brady Medical and Varitronics businesses that were divested in fiscal 2013 are included within discontinued operations. In accordance with the authoritative literature, the Company has elected to not separately disclose the cash flows or other comprehensive income related to the Die-Cut business' discontinued operations. Refer to Note K, "Discontinued Operations" for further discussion regarding the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nine months ended April 30, 2014,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517,029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Purchase accounting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0" w:type="dxa"/>
            <w:vAlign w:val="bottom"/>
          </w:tcPr>
          <w:p>
            <w:pPr>
              <w:spacing w:after="0"/>
              <w:rPr>
                <w:sz w:val="1"/>
                <w:szCs w:val="1"/>
                <w:color w:val="auto"/>
              </w:rPr>
            </w:pPr>
          </w:p>
        </w:tc>
      </w:tr>
      <w:tr>
        <w:trPr>
          <w:trHeight w:val="217"/>
        </w:trPr>
        <w:tc>
          <w:tcPr>
            <w:tcW w:w="4400" w:type="dxa"/>
            <w:vAlign w:val="bottom"/>
          </w:tcPr>
          <w:p>
            <w:pPr>
              <w:ind w:left="40"/>
              <w:spacing w:after="0"/>
              <w:rPr>
                <w:sz w:val="20"/>
                <w:szCs w:val="20"/>
                <w:color w:val="auto"/>
              </w:rPr>
            </w:pPr>
            <w:r>
              <w:rPr>
                <w:rFonts w:ascii="Arial" w:cs="Arial" w:eastAsia="Arial" w:hAnsi="Arial"/>
                <w:sz w:val="16"/>
                <w:szCs w:val="16"/>
                <w:color w:val="auto"/>
              </w:rPr>
              <w:t>Balance as of April 30, 2014</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517,063</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103,935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620,998</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increased by $3,762 during the nine months ended April 30, 2014. The increase was due to the positive effects of foreign translation of $5,930, partially offset by a decrease due to purchase accounting adjustments of $2,168 for the deferred tax impact related to the release of escrow from the fiscal 2013 acquisition of Precision Dynamics Corporation ("PDC").</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Goodwill at April 30, 2014 included $18,225 and $172,280 of accumulated impairment losses within the IDS and WPS segments, respectively, for a total of $190,505. There were no impairment charges recorded during the three and nine months ended April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2014</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2013</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11,428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(10,025)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1,403</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11,053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(9,597)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5,344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259,383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(155,093)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104,290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261,076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116,456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31,182</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31,321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331,316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(188,470)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142,846</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333,681</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(176,830)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gross carrying amount of goodwill and other intangible assets in the condensed consolidated balance sheets at April 30, 2014 differs from the value assigned to them in the original allocation of purchase price due to the effect of currency fluctuations between the date of acquisition and April 30, 2014.</w:t>
      </w:r>
    </w:p>
    <w:p>
      <w:pPr>
        <w:spacing w:after="0" w:line="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Amortization expense on intangible assets was $4,713 and $5,007 for the three months ended April 30, 2014 and 2013, respectively, and $14,837 and $11,020 for the nine months ended April 30, 2014 and 2013, respectively. The amortization over each of the next five fiscal years is projected to be $19,579, $18,746, $16,531, $13,318 and $11,981 for the fiscal years ending July 31, 2014, 2015, 2016, 2017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Comprehensive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income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gain on cash flow hedges and the unamortized gain on postretirement plans are presented net of tax:</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Unamortized</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Foreign</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5"/>
              </w:rPr>
              <w:t>Accumulated</w:t>
            </w:r>
          </w:p>
        </w:tc>
      </w:tr>
      <w:tr>
        <w:trPr>
          <w:trHeight w:val="203"/>
        </w:trPr>
        <w:tc>
          <w:tcPr>
            <w:tcW w:w="442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gain 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currency</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7"/>
              </w:rPr>
              <w:t>other</w:t>
            </w: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on cash flow</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postretirement</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3"/>
              </w:rPr>
              <w:t>hedges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plans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adjustments</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2"/>
              </w:rPr>
              <w:t>income</w:t>
            </w:r>
          </w:p>
        </w:tc>
      </w:tr>
      <w:tr>
        <w:trPr>
          <w:trHeight w:val="33"/>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8,057</w:t>
            </w:r>
          </w:p>
        </w:tc>
      </w:tr>
      <w:tr>
        <w:trPr>
          <w:trHeight w:val="33"/>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April 30, 2014</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62,227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63,687</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accumulated other comprehensive income ("OCI") over the nine months ended April 30, 2014 was primarily due to the depreciation of the U.S. dollar against other currencies. The foreign currency translation adjustments column in the table above includes the impact of foreign currency translation on intercompany notes and net investment hedges, net of tax. Of the total $433 in amounts reclassified from accumulated other comprehensive income, the $82 gain on cash flow hedges was reclassified into cost of products sold and the $351 gain on postretirement plans was reclassified into SG&amp;A on the condensed consolidated statement of earnings for the nine months ended April 30,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income tax (expense) benefit on the components of other comprehensive income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2014 and 2013: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18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4"/>
              </w:rPr>
              <w:t>Nine months ended April 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20,184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21,680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48,835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37,300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Numerator for basic and diluted earnings from continuing operations per</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20,168</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21,620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48,759</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37,121</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Numerator for basic and diluted earnings from continuing operations per</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20,168</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21,620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47,940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36,319</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Denominator for basic earnings from continuing operations per share for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both Class A and Class B</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51,933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51,415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51,210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Denominator for diluted earnings from continuing operations per share</w:t>
            </w:r>
          </w:p>
        </w:tc>
        <w:tc>
          <w:tcPr>
            <w:tcW w:w="9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52,000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52,041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52,304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51,685</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w w:val="94"/>
              </w:rPr>
              <w:t>Earnings from continuing operations per Class A Nonvoting Common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Earnings from continuing operations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20"/>
        </w:trPr>
        <w:tc>
          <w:tcPr>
            <w:tcW w:w="5160" w:type="dxa"/>
            <w:vAlign w:val="bottom"/>
          </w:tcPr>
          <w:p>
            <w:pPr>
              <w:ind w:left="40"/>
              <w:spacing w:after="0"/>
              <w:rPr>
                <w:sz w:val="20"/>
                <w:szCs w:val="20"/>
                <w:color w:val="auto"/>
              </w:rPr>
            </w:pPr>
            <w:r>
              <w:rPr>
                <w:rFonts w:ascii="Arial" w:cs="Arial" w:eastAsia="Arial" w:hAnsi="Arial"/>
                <w:sz w:val="16"/>
                <w:szCs w:val="16"/>
                <w:color w:val="auto"/>
                <w:w w:val="92"/>
              </w:rPr>
              <w:t>Earnings (loss) from discontinued operations per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4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Earnings (loss) from discontinued operations per Class B Voting Common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5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Options to purchase approximately 4,213,000 and 2,591,000 shares of Class A Nonvoting Common Stock for the three months ended April 30, 2014 and 2013, respectively, were not included in the computation of diluted net earnings or loss per share because the option exercise price was greater than the average market price of the common shares and, therefore, the effect would have been anti-dilutive. Options to purchase approximately 3,085,000 and 3,560,000 shares of Class A Nonvoting Common Stock for the nine months ended April 30, 2014 and 2013, respectively, were not included in the computation of diluted net earnings per share because the option exercise price was greater than the average market price of the common shares and, therefore, the effect would have been anti-dilutive.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May 1, 2013, the Company is organized and managed on a global basis within two business platforms: Identification Solutions and Workplace Safety, which are the reportable segments.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 Intersegment sales and transfers are recorded at cost plus a markup that reasonably approximates fair value.</w:t>
      </w:r>
    </w:p>
    <w:p>
      <w:pPr>
        <w:spacing w:after="0" w:line="5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Each business platform has a President (or acting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3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and nine months ended April 30, 2014 and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April 30,</w:t>
            </w:r>
          </w:p>
        </w:tc>
        <w:tc>
          <w:tcPr>
            <w:tcW w:w="180" w:type="dxa"/>
            <w:vAlign w:val="bottom"/>
          </w:tcPr>
          <w:p>
            <w:pPr>
              <w:spacing w:after="0"/>
              <w:rPr>
                <w:sz w:val="18"/>
                <w:szCs w:val="18"/>
                <w:color w:val="auto"/>
              </w:rPr>
            </w:pPr>
          </w:p>
        </w:tc>
        <w:tc>
          <w:tcPr>
            <w:tcW w:w="22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Nine months ended April 30,</w:t>
            </w: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206,448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197,417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610,726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528,044</w:t>
            </w: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319,156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309,577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302,483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908,301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847,200</w:t>
            </w:r>
          </w:p>
        </w:tc>
      </w:tr>
      <w:tr>
        <w:trPr>
          <w:trHeight w:val="73"/>
        </w:trPr>
        <w:tc>
          <w:tcPr>
            <w:tcW w:w="42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44,302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46,787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132,795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126,011</w:t>
            </w:r>
          </w:p>
        </w:tc>
      </w:tr>
      <w:tr>
        <w:trPr>
          <w:trHeight w:val="33"/>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74,881</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59,073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70,240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180,608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200,892</w:t>
            </w: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180,608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200,892</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(94,451)</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(10,473)</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(12,755)</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85,640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 awards ("RSUs"), or restricted or unrestricted shares of Class A Nonvoting Common Stock to employees and non-employee directors.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April 30, 2014, the Company has reserved 4,564,718 shares of Class A Nonvoting Common Stock for outstanding stock options, RSUs, and restricted shares. A total of 3,958,986 shares of Class A Nonvoting Common Stock remain for future issuance of stock options, RSUs, and restricted or unrestricted shares under the active plan. The Company uses treasury stock or will issue new Class A Nonvoting Common Stock to deliver shares under the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recognizes the compensation cost of all share-based awards on a straight-line basis over the vesting period of the award. Total stock-based compensation expense recognized by the Company during the three months ended April 30, 2014 and 2013, was $656 ($407 net of taxes) and $155 ($94 net of taxes), respectively. Stock-based compensation expense recognized during the nine months ended April 30, 2014 and 2013, was $5,033 ($3,121 net of taxes) and $6,964 ($4,248 net of taxes), respectively.</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April 30, 2014, total unrecognized compensation cost related to stock-based compensation awards was $7,037 pre-tax, net of estimated forfeitures, which the Company expects to recognize over a weighted-average period of 1.6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estimated the fair value of its service-based option awards granted during the nine months ended April 30, 2014 and 2013,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valuation model. The weighted-average assumptions used in the Black-Scholes valuation model are reflected in the following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2013</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38.68%</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30.54</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30.98</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30.54</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2014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5,106,585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375,272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(698,805)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4,375,545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April 30, 2014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3,131,418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There were 3,131,418 and 3,736,320 options exercisable with a weighted average exercise price of $30.97 and $30.70 at April 30, 2014 and 2013, respectively. No options were exercised during the three months ended April 30, 2014. The cash received from the exercise of options during the three months ended April 30, 2013, was $5,837. The cash received from the exercise of options during the nine months ended April 30, 2014 and 2013, was $10,894 and $10,246, respectively. The tax benefit on options exercised during the three months ended April 30, 2013 was $1,226. The tax benefit on options exercised during the nine months ended April 30, 2014 and 2013, was $788 and $2,870, respectively.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2014 and 2013, based upon the average market price at the time of exercise during the period, was $2,020 and $7,360, respectively. The total fair value of stock options vested during the nine months ended April 30, 2014 and 2013, was $6,565 and $10,860,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and restricted share activity under the Company's share-based compensation plans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2014:</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Service-Based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572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April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Performance-Based RSUs and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8572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April 30, 2014</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80" w:type="dxa"/>
            <w:vAlign w:val="bottom"/>
          </w:tcPr>
          <w:p>
            <w:pPr>
              <w:jc w:val="right"/>
              <w:spacing w:after="0"/>
              <w:rPr>
                <w:sz w:val="20"/>
                <w:szCs w:val="20"/>
                <w:color w:val="auto"/>
              </w:rPr>
            </w:pPr>
            <w:r>
              <w:rPr>
                <w:rFonts w:ascii="Arial" w:cs="Arial" w:eastAsia="Arial" w:hAnsi="Arial"/>
                <w:sz w:val="16"/>
                <w:szCs w:val="16"/>
                <w:color w:val="auto"/>
              </w:rPr>
              <w:t>5,000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108,055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(3,882)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line="20" w:lineRule="exact"/>
              <w:rPr>
                <w:sz w:val="1"/>
                <w:szCs w:val="1"/>
                <w:color w:val="auto"/>
              </w:rPr>
            </w:pPr>
          </w:p>
        </w:tc>
      </w:tr>
      <w:tr>
        <w:trPr>
          <w:trHeight w:val="486"/>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80" w:type="dxa"/>
            <w:vAlign w:val="bottom"/>
          </w:tcPr>
          <w:p>
            <w:pPr>
              <w:jc w:val="right"/>
              <w:spacing w:after="0"/>
              <w:rPr>
                <w:sz w:val="20"/>
                <w:szCs w:val="20"/>
                <w:color w:val="auto"/>
              </w:rPr>
            </w:pPr>
            <w:r>
              <w:rPr>
                <w:rFonts w:ascii="Arial" w:cs="Arial" w:eastAsia="Arial" w:hAnsi="Arial"/>
                <w:sz w:val="16"/>
                <w:szCs w:val="16"/>
                <w:color w:val="auto"/>
              </w:rPr>
              <w:t>231,667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31.43</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(35,001)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6"/>
                <w:szCs w:val="16"/>
                <w:color w:val="auto"/>
              </w:rPr>
              <w:t>(116,666)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66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April 30, 2014 and July 31, 2013, according to the valuation techniques the Company used to determine their fair values.</w:t>
      </w:r>
    </w:p>
    <w:p>
      <w:pPr>
        <w:spacing w:after="0" w:line="117"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2014</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16,058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2013</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15,269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I, “Derivatives and Hedging Activities,” for additional information.</w:t>
      </w:r>
    </w:p>
    <w:p>
      <w:pPr>
        <w:spacing w:after="0" w:line="12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have been no transfers of assets or liabilities between the fair value hierarchy levels outlined above during the three or nine months ended April 30, 2014 and 2013. In addition, the Company had no significant measurements of assets or liabilities at fair value on a nonrecurring basis subsequent to their initial recognition during the three and nine months ended April 30, 2014, except for the fair value measurement performed on the Die-Cut disposal group. The assets and liabilities of the disposal group were recorded at approximate fair value less costs to sell and classified as "Assets held for sale" and "Liabilities held for sale" on the condensed consolidated balance sheets as of April 30, 2014 and July 31, 2013. Fair value was determined utilizing a combination of external market factors and internal projections. A loss on the write-down of the disposal group of $15,658 was recorded within discontinued operations in the third quarter of fiscal 2013. There were no additional fair value adjustments recorded during the three or nine months ended April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2013, goodwill with a carrying amount of $183,146 in the WPS Americas reporting unit was written down to its estimated implied fair value of $10,866 and represented a Level 3 asset measured at fair value on a nonrecurring basis at July 31, 2013, which was subsequent to its original recognition. In order to arrive at the implied fair value of goodwill, the Company calculated the fair value of all of the assets and liabilities of the reporting unit as if the reporting unit had been acquired in a business combination. Intangible assets consisted of customer relationships and tradenames, which were valued using the income approach. As a result of the analysis, indefinite-lived tradenames with a carrying amount of $25,449 were written down to the estimated fair value of $14,881 and represented a Level 3 asset measured at fair value on a nonrecurring basis at July 31, 2013, which was subsequent to its original recognition.</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2013, goodwill with a carrying amount of $18,225 in the IDS APAC reporting unit was written off in its entirety and represented a Level 3 asset measured at fair value on a nonrecurring basis at July 31, 2013, which was subsequent to its original recognition. In order to arrive at the implied fair value of goodwill, the Company completed a qualitative assessment because the amount by which the carrying value exceeded fair value was more than the balance of goodwill remaining.</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excluding notes payable, based on the quoted market prices for similar issues and on the current rates offered for debt of similar maturities was $238,907 and $288,055 at April 30, 2014 and July 31, 2013, respectively, as compared to the carrying value of $223,732 and $262,414 at April 30, 2014 and July 31, 2013, respectively.</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was $63,000 and $39,000 outstanding on the Company's revolving loan agreement at April 30, 2014 and July 31, 2013, respectively, and $12,552 and $11,613 outstanding on the Company's USD-denominated line of credit facility with Bank of America in China at April 30, 2014 and July 31, 2013, respectively. These outstanding balances are classified as "Notes Payable" in the amount of $75,552 and $50,613 on the condensed consolidated balance sheets at April 30, 2014 and July 31, 2013, respectively. The fair value approximates carrying value due to the short-term nature of the instruments. See Note L, "Notes Payable,"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H — Restructuring</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fiscal 2014, the Company’s Board of Directors approved a restructuring plan to consolidate facilities in North America, Europe and Asia. The Company implemented this restructuring plan to enhance customer service, improve efficiency of operations and reduce operating expenses. The Company expects to incur pre-tax charges of approximately $22 million in fiscal 2014 due primarily to facility consolidation activities. Facility consolidation activities will extend into fiscal 2015.</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these restructuring plans, the Company incurred restructuring charges of $3,039 and $14,202 in continuing operations during the three and nine months ended April 30, 2014, respectively. The three month restructuring charges of $3,039 consisted of $1,782 of employee separation costs, $170 of fixed asset write-offs, $771 of facility closure related costs, and $316 of contract termination costs. Of the $3,039 of restructuring charges recorded during the quarter, $1,161 was incurred within IDS and $1,878 within WPS.</w:t>
      </w:r>
    </w:p>
    <w:p>
      <w:pPr>
        <w:spacing w:after="0" w:line="29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restructuring charges of $14,202 for the nine months ended April 30, 2014 consisted of $9,547 of employee separation costs, $267 of fixed asset write-offs, $3,454 of facility closure related costs, and $934 of contract termination costs. Of the $14,202 of restructuring charges, $7,595 was incurred within IDS and $6,607 within WPS.</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fiscal 2013, the Company implemented a restructuring plan to reorganize into global product-based business platforms and reduce its global workforce to address its cost structure. During the three and nine months ended April 30, 2013, the Company recorded restructuring charges in continuing operations of $8,540 and $10,473, respectively. The three month restructuring charges of $8,540 consisted of $2,863 employee separation costs, $3,423 of fixed asset write-offs and $2,254 of facility closure related costs. Of the $8,540 of restructuring charges recorded during the quarter, $2,995 was incurred within IDS and $5,545 within WPS.</w:t>
      </w:r>
    </w:p>
    <w:p>
      <w:pPr>
        <w:spacing w:after="0" w:line="29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restructuring charges of $10,473 for the nine months ended April 30, 2013 consisted of $4,796 of employee separation costs, $3,423 of fixed asset write-offs and $2,254 of facility closure related costs. Of the $10,473 of restructuring charges, $4,720 was incurred within IDS and $5,753 within WPS.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charges for employee separation costs in fiscal 2014 and 2013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Employee</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Asset Write-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Related</w:t>
            </w:r>
          </w:p>
        </w:tc>
        <w:tc>
          <w:tcPr>
            <w:tcW w:w="260" w:type="dxa"/>
            <w:vAlign w:val="bottom"/>
          </w:tcPr>
          <w:p>
            <w:pPr>
              <w:spacing w:after="0"/>
              <w:rPr>
                <w:sz w:val="18"/>
                <w:szCs w:val="18"/>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1"/>
              </w:rPr>
              <w:t>offs</w:t>
            </w:r>
          </w:p>
        </w:tc>
        <w:tc>
          <w:tcPr>
            <w:tcW w:w="22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14,206</w:t>
            </w:r>
          </w:p>
        </w:tc>
      </w:tr>
      <w:tr>
        <w:trPr>
          <w:trHeight w:val="243"/>
        </w:trPr>
        <w:tc>
          <w:tcPr>
            <w:tcW w:w="6980" w:type="dxa"/>
            <w:vAlign w:val="bottom"/>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14,202</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698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Ending balance, April 30,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7,077</w:t>
            </w: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2014 and July 31, 2013, the notional amount of outstanding forward exchange contracts was $122,899 and $157,500,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April 30, 2014, unrealized losses of $5 have been included in OCI. As of April 30, 2013, unrealized losses of $132 were included in OCI. Balances are reclassified from OCI to earnings during the next twelve months when the hedged transactions impact earnings. For the three months ended April 30, 2014 and 2013, the Company reclassified gains of $43 and losses of $9 from OCI into earnings, respectively. For the nine months ended April 30, 2014 and 2013, the Company reclassified gains of $135 and $548 from OCI into earnings. At April 30, 2014, the U.S. dollar equivalent of these outstanding forward foreign exchange contracts totaled $7,132, including contracts to sell Euros, Canadian Dollars, Australian Dollars, British Pounds and U.S. Dollars. There were no outstanding forward foreign exchange contracts designated as cash flow hedges as of July 31,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April 30, 2014, the Company designated £25,036 of intercompany loans as net investment hedges to hedge portions of its net investment in British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OCI. Recognition in earnings of amounts previously recorded in cumulative translation is limited to circumstances such as complete or substantially complete liquidation of the net investment in the hedged foreign operation. At April 30, 2014 and July 31, 2013, the U.S dollar equivalent of these outstanding forward foreign exchange contracts totaled $6,300. As of April 30, 2014 and 2013, the Company recognized OCI losses of $370 and gains of $24, respectively, on its outstanding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nine months ended April 30, 2014, the Company recognized gains of $403 and $2,268, respectively, in “Investment and other income” on the condensed consolidated statements of earnings related to non-designated hedges. For the three and nine months ended April 30, 2013, the Company recognized losses of $520 and $478, respectively.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April 30, 2014</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2013</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9"/>
              </w:rPr>
              <w:t>April 30, 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2013</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103,582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103,662</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J — Acquisitions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Financing for this acquisition consisted of $220,000 from the Company's revolving loan agreement with a group of six banks and the balance from cash on hand. The Company has repaid the total amount of the borrowing, of which $39,000 was repaid during the nine months ended April 30, 2014.</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acquired PDC to create an anchor position in the healthcare sector. PDC's large customer base, strong channels to market, and broad product offering provide a strong foundation to build upon PDC's market position.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the final allocation of the PDC purchase price: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ind w:left="40"/>
              <w:spacing w:after="0"/>
              <w:rPr>
                <w:sz w:val="20"/>
                <w:szCs w:val="20"/>
                <w:color w:val="auto"/>
              </w:rPr>
            </w:pPr>
            <w:r>
              <w:rPr>
                <w:rFonts w:ascii="Arial" w:cs="Arial" w:eastAsia="Arial" w:hAnsi="Arial"/>
                <w:sz w:val="16"/>
                <w:szCs w:val="16"/>
                <w:color w:val="auto"/>
              </w:rPr>
              <w:t>Fair values:</w:t>
            </w: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receivable — net</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21,178</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inventories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4,233</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168,150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intangible assets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109,300</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Property, plant and equipment</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18,015</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Taxes, other than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Accrued income taxes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(16,858)</w:t>
            </w:r>
          </w:p>
        </w:tc>
      </w:tr>
      <w:tr>
        <w:trPr>
          <w:trHeight w:val="33"/>
        </w:trPr>
        <w:tc>
          <w:tcPr>
            <w:tcW w:w="7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314,061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Less: cash acquired</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total consideration</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final valuation was completed in the second quarter of fiscal 2014 . The intangible assets consist of a customer relationship of $102,500, which is being amortized over a life of 10 years, and a definite-lived trademark of $6,800, which is being amortized over a life of 3 years. Of the total $168,150 in acquired goodwill, $57,374 is tax deductible, and $51,672 of the total $109,300 in intangible assets is tax deductible.</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reflects the unaudited pro-forma operating results of the Company for the three and nine months ended April 30, 2014 and 2013, which give effect to the acquisition of PDC as if it had occurred at the beginning of fiscal 2012, after adjusting for the amortization of intangible assets, interest expense on acquisition debt, and income tax effects. The pro-forma results have been prepared for comparative purposes only and are not necessarily indicative of the results of operations which may occur in the future or that would have occurred had the acquisition been effected on the date indicated, nor are they necessarily indicative of the Company's future results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180" w:type="dxa"/>
            <w:vAlign w:val="bottom"/>
          </w:tcPr>
          <w:p>
            <w:pPr>
              <w:spacing w:after="0"/>
              <w:rPr>
                <w:sz w:val="18"/>
                <w:szCs w:val="18"/>
                <w:color w:val="auto"/>
              </w:rPr>
            </w:pPr>
          </w:p>
        </w:tc>
        <w:tc>
          <w:tcPr>
            <w:tcW w:w="22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Nine months ended April 30,</w:t>
            </w: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309,577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302,483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908,301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847,200</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309,577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302,483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908,301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915,625</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as reported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37,300</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Earnings from continuing operations, pro forma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41,600</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from continuing operations per Class A</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20"/>
        </w:trPr>
        <w:tc>
          <w:tcPr>
            <w:tcW w:w="4200" w:type="dxa"/>
            <w:vAlign w:val="bottom"/>
          </w:tcPr>
          <w:p>
            <w:pPr>
              <w:ind w:left="40"/>
              <w:spacing w:after="0"/>
              <w:rPr>
                <w:sz w:val="20"/>
                <w:szCs w:val="20"/>
                <w:color w:val="auto"/>
              </w:rPr>
            </w:pPr>
            <w:r>
              <w:rPr>
                <w:rFonts w:ascii="Arial" w:cs="Arial" w:eastAsia="Arial" w:hAnsi="Arial"/>
                <w:sz w:val="16"/>
                <w:szCs w:val="16"/>
                <w:color w:val="auto"/>
              </w:rPr>
              <w:t>Basic earnings from continuing operations per Class A</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200" w:type="dxa"/>
            <w:vAlign w:val="bottom"/>
          </w:tcPr>
          <w:p>
            <w:pPr>
              <w:ind w:left="40"/>
              <w:spacing w:after="0"/>
              <w:rPr>
                <w:sz w:val="20"/>
                <w:szCs w:val="20"/>
                <w:color w:val="auto"/>
              </w:rPr>
            </w:pPr>
            <w:r>
              <w:rPr>
                <w:rFonts w:ascii="Arial" w:cs="Arial" w:eastAsia="Arial" w:hAnsi="Arial"/>
                <w:sz w:val="16"/>
                <w:szCs w:val="16"/>
                <w:color w:val="auto"/>
              </w:rPr>
              <w:t>Common Share, pro forma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33"/>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from continuing operations per Class A</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20"/>
        </w:trPr>
        <w:tc>
          <w:tcPr>
            <w:tcW w:w="4200" w:type="dxa"/>
            <w:vAlign w:val="bottom"/>
          </w:tcPr>
          <w:p>
            <w:pPr>
              <w:ind w:left="40"/>
              <w:spacing w:after="0"/>
              <w:rPr>
                <w:sz w:val="20"/>
                <w:szCs w:val="20"/>
                <w:color w:val="auto"/>
              </w:rPr>
            </w:pPr>
            <w:r>
              <w:rPr>
                <w:rFonts w:ascii="Arial" w:cs="Arial" w:eastAsia="Arial" w:hAnsi="Arial"/>
                <w:sz w:val="16"/>
                <w:szCs w:val="16"/>
                <w:color w:val="auto"/>
              </w:rPr>
              <w:t>Diluted earnings from continuing operations per Class A</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200" w:type="dxa"/>
            <w:vAlign w:val="bottom"/>
          </w:tcPr>
          <w:p>
            <w:pPr>
              <w:ind w:left="40"/>
              <w:spacing w:after="0"/>
              <w:rPr>
                <w:sz w:val="20"/>
                <w:szCs w:val="20"/>
                <w:color w:val="auto"/>
              </w:rPr>
            </w:pPr>
            <w:r>
              <w:rPr>
                <w:rFonts w:ascii="Arial" w:cs="Arial" w:eastAsia="Arial" w:hAnsi="Arial"/>
                <w:sz w:val="16"/>
                <w:szCs w:val="16"/>
                <w:color w:val="auto"/>
              </w:rPr>
              <w:t>Common Share, pro forma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0.80</w:t>
            </w:r>
          </w:p>
        </w:tc>
      </w:tr>
    </w:tbl>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 forma results for the nine months ended April 30, 2013, were adjusted to exclude $3,600 of acquisition-related expenses and $1,530 of nonrecurring expense related to the fair value adjustment to acquisition-date inventory, and were adjusted to include $529 in interest expense on acquisition debt, $135 in income tax benefit, and $6,208 of pretax amortization expense related to intangible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K — Discontinued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announced its plan to divest its Die-Cut business in fiscal 2013. As a result, the business has been classified as assets and liabilities held for sale in accordance with the authoritative literature as of April 30, 2014 and July 31, 2013. The disposal group has been recorded based on the estimated fair value less costs to sell, which resulted in a write down of $15,658, recorded in the third quarter of fiscal 2013. The operating results have been reported as discontinued operations for the three and nine month comparative periods ended April 30, 2014 and 2013, including the operating results of the following two previously divested businesses: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Divestitures</w:t>
            </w: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w:t>
            </w:r>
          </w:p>
        </w:tc>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Precision Converting, LLC (“Brady Medical”)</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August 2012</w:t>
            </w: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Varitronics</w:t>
            </w: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Pr>
          <w:p>
            <w:pPr>
              <w:ind w:left="20"/>
              <w:spacing w:after="0"/>
              <w:rPr>
                <w:sz w:val="20"/>
                <w:szCs w:val="20"/>
                <w:color w:val="auto"/>
              </w:rPr>
            </w:pPr>
            <w:r>
              <w:rPr>
                <w:rFonts w:ascii="Arial" w:cs="Arial" w:eastAsia="Arial" w:hAnsi="Arial"/>
                <w:sz w:val="16"/>
                <w:szCs w:val="16"/>
                <w:color w:val="auto"/>
              </w:rPr>
              <w:t>October 2012</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operating results of discontinued operations for the three and nine months ended April 30, 2014 and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4"/>
              </w:rPr>
              <w:t>Nine months ended April 30,</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168,688</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w w:val="98"/>
              </w:rPr>
              <w:t>Earnings (loss) from operations of discontinued businesses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(11,201)</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00"/>
        </w:trPr>
        <w:tc>
          <w:tcPr>
            <w:tcW w:w="4180" w:type="dxa"/>
            <w:vAlign w:val="bottom"/>
          </w:tcPr>
          <w:p>
            <w:pPr>
              <w:ind w:left="40"/>
              <w:spacing w:after="0"/>
              <w:rPr>
                <w:sz w:val="20"/>
                <w:szCs w:val="20"/>
                <w:color w:val="auto"/>
              </w:rPr>
            </w:pPr>
            <w:r>
              <w:rPr>
                <w:rFonts w:ascii="Arial" w:cs="Arial" w:eastAsia="Arial" w:hAnsi="Arial"/>
                <w:sz w:val="16"/>
                <w:szCs w:val="16"/>
                <w:color w:val="auto"/>
                <w:w w:val="97"/>
              </w:rPr>
              <w:t>Earnings (loss) from discontinued operations, net of income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3,904</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(17,447)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15,606</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(14,564)</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tax</w:t>
            </w: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assets and liabilities of the Die-Cut disposal group classified as held for sale as of April 30,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April 30, 2014</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39,667</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16,451</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57,040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37,032</w:t>
            </w: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28,671</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125,198</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21,252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23,394</w:t>
            </w:r>
          </w:p>
        </w:tc>
      </w:tr>
      <w:tr>
        <w:trPr>
          <w:trHeight w:val="284"/>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24,536</w:t>
            </w:r>
          </w:p>
        </w:tc>
      </w:tr>
      <w:tr>
        <w:trPr>
          <w:trHeight w:val="271"/>
        </w:trPr>
        <w:tc>
          <w:tcPr>
            <w:tcW w:w="7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Net assets of disposal group</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100,662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write-down on disposal group</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Net assets of disposal group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85,004</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accordance with authoritative literature, accumulated other comprehensive income will be reclassified to the statement of earnings upon liquidation or substantial liquidation of the disposal group. As of April 30, 2014, the accumulated other comprehensive income attributable to the disposal group was approximately $31,000.</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February 24, 2014, Brady Corporation and LTI Flexible Products, Inc. (d/b/a Boyd Corporation) entered into a Share and Asset Purchase Agreement for the sale of the Company's Die-Cut Business. The first phase of the sale closed on May 1, 2014. Refer to Note N, "Subsequent Events,"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L - Notes Payable</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December 2012, the Company drew down $220,000 from its revolving loan agreement to fund a portion of the purchase price of the acquisition of PDC. As of July 31, 2013, there was $39,000 outstanding on this revolving loan agreement, which was repaid during the nine months ended April 30, 2014. During the three months ended April 30, 2014, the Company drew down an additional $63,000 in order to fund principal payments on the private placement note issuances, dividends, share repurchases, and other corporate needs During the nine months ended April 30, 2014, the maximum amount outstanding on the revolving loan agreement was $72,000. As of April 30, 2014, the outstanding balance on the credit facility was $63,000 and there was $237,000 available for future borrowing, which can be increased to $387,000 at the Company's option, subject to certain conditions. The Company intends to repay the remainder of the borrowing within 12 months of the current period end. As such, the borrowing is classified as "Notes payable" within current liabilities on the condensed consolidated balance sheets.</w:t>
      </w:r>
    </w:p>
    <w:p>
      <w:pPr>
        <w:spacing w:after="0" w:line="1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February 2013, the Company entered into a USD-denominated line of credit facility in the People's Republic of China. The facility supports USD-denominated borrowing to fund working capital and operations for the Company's Chinese entities. During the nine months ended April 30, 2014, the maximum amount outstanding was $14,946, comprised entirely of USD-denominated borrowings. During the nine months ended April 30, 2014, the Company repaid $2,401 of this borrowing. As of April 30, 2014, the outstanding balance was $12,552 and there was $13,648 available for future borrowing under this credit facility.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April 30, 2014, borrowings on the revolving loan agreement and China credit facility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Interest Rate</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30, 2014</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180" w:type="dxa"/>
            <w:vAlign w:val="bottom"/>
          </w:tcPr>
          <w:p>
            <w:pPr>
              <w:jc w:val="right"/>
              <w:spacing w:after="0"/>
              <w:rPr>
                <w:sz w:val="20"/>
                <w:szCs w:val="20"/>
                <w:color w:val="auto"/>
              </w:rPr>
            </w:pPr>
            <w:r>
              <w:rPr>
                <w:rFonts w:ascii="Arial" w:cs="Arial" w:eastAsia="Arial" w:hAnsi="Arial"/>
                <w:sz w:val="16"/>
                <w:szCs w:val="16"/>
                <w:color w:val="auto"/>
              </w:rPr>
              <w:t>1.5518%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12,552</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75,552</w:t>
            </w: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M — New Accounting Pronouncements</w:t>
      </w:r>
    </w:p>
    <w:p>
      <w:pPr>
        <w:spacing w:after="0" w:line="38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earnings in their entirety, entities are required to disclose the effect of the reclassification in each affected line in the statement of earnings. For AOCI reclassification items that are not reclassified in their entirety into net earnings, a cross reference to other required U.S. GAAP disclosures is required. This information may be provided either in the notes or parenthetically on the face of the statement that reports net earnings as long as all the information is disclosed in a single location. However, an entity is prohibited from providing this information parenthetically on the face of the statement that reports net earnings if it has items that are not reclassified in their entirety into net earnings. The adoption of this update did not have a material impact on the Company's condensed consolidated financial statements; however, the Company provided additional disclosures as required by ASU 2013-02 in Note C, "Comprehensive Income," in the notes to the condensed consolidated financial statements.</w:t>
      </w:r>
    </w:p>
    <w:p>
      <w:pPr>
        <w:spacing w:after="0" w:line="12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The adoption of this update did not have a material impact on the condensed consolidated financial statements of the Company.</w:t>
      </w:r>
    </w:p>
    <w:p>
      <w:pPr>
        <w:spacing w:after="0" w:line="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2013, the FASB issued ASU 2013-11, "Presentation of an Unrecognized Tax Benefit When a Net Operating Loss Carryforward, a Similar Tax Loss, or a Tax Credit Carryforward Exists," which requires entities to present an unrecognized tax benefit as a reduction of a deferred tax asset for a net operating loss (“NOL”) or tax credit carryforward whenever the NOL or tax credit carryforward would be available to reduce the additional taxable income or tax due if the tax position is disallowed. This accounting standard update requires entities to assess whether to net the unrecognized tax benefit with a deferred tax asset as 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reporting date. This guidance is effective for fiscal years beginning after December 15, 2013. The Company is not anticipating adoption of this update to have a material impact on the Company's condensed consolidated financial statements.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is not expected to have a material impact on the financial statements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52"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On May 1, 2014, the Company closed the first phase of the sale of the Die-Cut business to LTI Flexible Products, Inc. (d/b/a Boyd Corporation) for cash proceeds of approximately $53,000. This phase included the die-cut businesses in Korea, Thailand and Malaysia, and the Balkhausen business in Europe. The remainder of the Asia Die-Cut business is located in China, and its divestiture is expected to close in the fourth quarter ending July 31, 2014.</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21, 2014, the Board of Directors declared a quarterly cash dividend to shareholders of the Company’s Class A and Class B Common Stock of $0.195 per share payable on July 31, 2014, to shareholders of record at the close of business on July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made significant portfolio and management decisions during fiscal 2013 in order to better position the Company for growth in the future, including:</w:t>
      </w:r>
    </w:p>
    <w:p>
      <w:pPr>
        <w:spacing w:after="0" w:line="170"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Divestiture of non-strategic businesses and the announcement of management’s intent to divest its Die-Cut business in order to reduce its reliance on the consumer electronics industry.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Precision Dynamics Corporation (“PDC”), a leader in healthcare identification, providing Brady with an entrance into the healthcare industry.</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Realignment of business structure from regional to two global product-based platforms: Identification Solutions (“IDS”) and Workplace Safety (“WPS”).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Part I, Item 1, "Business," of the Company’s fiscal 2013 Form 10-K for additional information regarding fiscal 2013 activities impacting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these structural changes in place, the Company is targeting the following key initiatives: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Returning the WPS business to organic sales growth. The Company is expanding its multi-channel direct marketing model by expanding its offering of identification and workplace safety products with a heightened focus on proprietary and customized product offerings and an increased emphasis on e-commerce.</w:t>
      </w: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Growing the Company's IDS business primarily through salesforce expansion in the United States and EMEA, increased focus on strategic accounts, and the development of innovative proprietary new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Completing the second phase of the sale of the Die-Cut business, following the closing of the first phase on May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Company's cost structure through the consolidation of selected manufacturing facilities in the Americas and 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the Company's customers with innovative products and the highest level of customer service.</w:t>
      </w:r>
    </w:p>
    <w:p>
      <w:pPr>
        <w:spacing w:after="0" w:line="21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largest segment, IDS, which represents approximately 70% of sales from continuing operations, realized organic sales growth of 3.6% during the first three quarters of fiscal 2014. We continue to focus on key markets and accounts, increasing our sales force, and development of proprietary products. Sales within the WPS segment have declined and we have implemented several planned strategies, which reduced the organic sales decline in this business from 10% in the first quarter of fiscal 2014 to 1.9% in the third quarter of fiscal 2014.Sales growth will be key to improving the WPS segment profit margin as this business has a relatively high fixed cost structure and thus, a change in sales will have a leveraged impact on net earnings.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nine months ended April 30, 2014 and 2013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2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91"/>
              </w:rPr>
              <w:t>Three months ended April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1"/>
              </w:rPr>
              <w:t>Nine months ended April 30,</w:t>
            </w:r>
          </w:p>
        </w:tc>
        <w:tc>
          <w:tcPr>
            <w:tcW w:w="560" w:type="dxa"/>
            <w:vAlign w:val="bottom"/>
          </w:tcPr>
          <w:p>
            <w:pPr>
              <w:spacing w:after="0"/>
              <w:rPr>
                <w:sz w:val="18"/>
                <w:szCs w:val="18"/>
                <w:color w:val="auto"/>
              </w:rPr>
            </w:pPr>
          </w:p>
        </w:tc>
      </w:tr>
      <w:tr>
        <w:trPr>
          <w:trHeight w:val="33"/>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9"/>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r>
      <w:tr>
        <w:trPr>
          <w:trHeight w:val="210"/>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w w:val="94"/>
              </w:rPr>
              <w:t>(Dollars in thousands)</w:t>
            </w:r>
          </w:p>
        </w:tc>
        <w:tc>
          <w:tcPr>
            <w:tcW w:w="14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Sales</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12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b w:val="1"/>
                <w:bCs w:val="1"/>
                <w:color w:val="auto"/>
              </w:rPr>
              <w:t>Sales</w:t>
            </w: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b w:val="1"/>
                <w:bCs w:val="1"/>
                <w:color w:val="auto"/>
              </w:rPr>
              <w:t>Sales</w:t>
            </w:r>
          </w:p>
        </w:tc>
      </w:tr>
      <w:tr>
        <w:trPr>
          <w:trHeight w:val="33"/>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309,577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302,483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908,301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847,200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155,120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159,401</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455,504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451,477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33"/>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20"/>
        </w:trPr>
        <w:tc>
          <w:tcPr>
            <w:tcW w:w="1660" w:type="dxa"/>
            <w:vAlign w:val="bottom"/>
          </w:tcPr>
          <w:p>
            <w:pPr>
              <w:ind w:left="280"/>
              <w:spacing w:after="0"/>
              <w:rPr>
                <w:sz w:val="20"/>
                <w:szCs w:val="20"/>
                <w:color w:val="auto"/>
              </w:rPr>
            </w:pPr>
            <w:r>
              <w:rPr>
                <w:rFonts w:ascii="Arial" w:cs="Arial" w:eastAsia="Arial" w:hAnsi="Arial"/>
                <w:sz w:val="16"/>
                <w:szCs w:val="16"/>
                <w:color w:val="auto"/>
              </w:rPr>
              <w:t>Research and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6"/>
        </w:trPr>
        <w:tc>
          <w:tcPr>
            <w:tcW w:w="1660" w:type="dxa"/>
            <w:vAlign w:val="bottom"/>
          </w:tcPr>
          <w:p>
            <w:pPr>
              <w:ind w:left="40"/>
              <w:spacing w:after="0"/>
              <w:rPr>
                <w:sz w:val="20"/>
                <w:szCs w:val="20"/>
                <w:color w:val="auto"/>
              </w:rPr>
            </w:pPr>
            <w:r>
              <w:rPr>
                <w:rFonts w:ascii="Arial" w:cs="Arial" w:eastAsia="Arial" w:hAnsi="Arial"/>
                <w:sz w:val="16"/>
                <w:szCs w:val="16"/>
                <w:color w:val="auto"/>
              </w:rPr>
              <w:t>Development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8,648</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8,062</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25,675</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24,162</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1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General &amp;</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9"/>
        </w:trPr>
        <w:tc>
          <w:tcPr>
            <w:tcW w:w="1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116,666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111,864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340,825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320,874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20"/>
        </w:trPr>
        <w:tc>
          <w:tcPr>
            <w:tcW w:w="166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6"/>
        </w:trPr>
        <w:tc>
          <w:tcPr>
            <w:tcW w:w="1660" w:type="dxa"/>
            <w:vAlign w:val="bottom"/>
          </w:tcPr>
          <w:p>
            <w:pPr>
              <w:ind w:left="4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3,039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8,540</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0"/>
        </w:trPr>
        <w:tc>
          <w:tcPr>
            <w:tcW w:w="1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9"/>
        </w:trPr>
        <w:tc>
          <w:tcPr>
            <w:tcW w:w="1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128,353</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128,466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380,702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355,509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26,767</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30,935</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74,802</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95,968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1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for the three months ended April 30, 2014 increased 2.3% to $309.6 million, compared to $302.5 million in the same period of the prior year. The increase in sales was a result of organic sales growth of 2.5% and a negative currency impact of 0.2%. The organic sales improvement was a result of 4.8% organic sales growth in the IDS segment, partially offset by a decline of 1.9% in organic sales in the WPS segment.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for the nine months ended April 30, 2014 increased 7.2% to $908.3 million, compared to $847.2 million in the same period of the prior year. The increase in sales was primarily a result of the prior year acquisition of PDC, which added 7.7% in sales, which was partially offset by an organic sales decline of 0.1% and a negative currency impact of 0.4%. The organic sales decline was due to a 6.3% organic sales decline in the WPS segment, mostly offset by 3.6% organic sales growth in the IDS segment.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Gross margin as a percentage of sales decreased to 50.1% for the three months ended April 30, 2014, from 52.7% in the same period of the prior year. The decline was due to an increase in incentive compensation and the sales decline in the WPS business, with a smaller negative impact from results in the IDS business. The increase in incentive compensation in the current period was due to the reversal of the accrual for employee bonuses in the third quarter ended April 30, 2013, resulting in a benefit of approximately $2.1 million, compared to bonus expense of approximately $0.6 million during the quarter ended April 30, 2014. In the WPS segment, gross margin declined due to pricing actions and reduced sales as compared to the same period in the prior year. In the IDS segment, gross margin was negatively impacted by incentive compensation, facility consolidation related expenses, and product mix.</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as a percentage of sales decreased to 50.1% for the nine months ended April 30, 2014, from 53.3% in the same period of the prior year. The decline was due to both the IDS and WPS segments, with a slightly larger impact from the IDS segment due to the increase in incentive compensation and an increase in total company mix of IDS sales. The decline in gross margin within the WPS business was due to the decrease in sales and price reductions compared to the prior year.</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Research and development (“R&amp;D”) for the three months ended April 30, 2014, increased 7.3% to $8.6 million, compared to $8.1 million in the same period of the prior year, and increased 6.3% to $25.7 million for the nine months ended April 30, 2014, compared to $24.2 million for the same period in the prior year. R&amp;D expense remained relatively consistent as a percentage of sales as it increased to 2.8% from 2.7% for the three months and decreased to 2.8% from 2.9% for the nine months ended April 30, 2014, compared to the same periods of the prior year. The increase in R&amp;D expense for both the three and nine month periods was due to increased investment in new products including the BMP21 Plus hand-held printer, which launched in the third quarter of fiscal 2014.</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Selling, general and administrative expenses (“SG&amp;A”) increased 4.3% to $116.7 million for the three months ended April 30, 2014, compared to $111.9 million in the same period in the prior year. The increase was primarily due to the reversal of the accrual for employee bonuses that occurred during the third quarter ended April 30, 2013, resulting in a benefit of approximately $1.8 million, compared to bonus expense of approximately $1.2 million during the quarter ended April 30, 2014. In addition, SG&amp;A increased due to the investment in the WPS business in the current quarter.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SG&amp;A increased 6.2% to $340.8 million for the nine months ended April 30, 2014, compared to $320.9 million in the same period of the prior year. The increase was due to incremental SG&amp;A associated with the PDC acquisition of approximately $21 million.</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nine months ended April 30, 2014, the Company’s Board of Directors approved a restructuring plan to consolidate facilities in North America, Europe and Asia. The Company implemented this restructuring plan to enhance customer service, improve efficiency of operations and reduce operating expenses. The Company expects to incur pre-tax charges of approximately $22 million in fiscal 2014 and expects approximately $10 million in annualized, pre-tax operational savings once these restructuring actions are fully complete. Facility consolidation activities will extend into fiscal 2015 and may result in additional charges. Restructuring charges for the three and nine months ended April 30, 2014 were $3.0 million and $14.2 million, respectively. Of the $3.0 million recognized during the three-month period, $1.1 million was incurred within the IDS segment and $1.9 million was incurred within the WPS segment. Of the $14.2 million recognized during the nine-month period ended April 30, 2014, $7.6 million was incurred within the IDS segment and $6.6 million was incurred within the WPS segment.</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Restructuring charges were $8.5 million and $10.5 million for the three and nine months ended April 30, 2013, respectively. The charges for the three month period primarily consisted of employee separation costs associated with the restructuring plan announced in February 2013 to reorganize into global product-based business platforms and reduce our global cost structure. In addition to employee costs, $3.2 million related to a non-cash write-off of tradenames as a result of brand consolidation efforts that took place during the third quarter. Of the $8.5 million in restructuring charges recorded during the quarter, $3.0 million was incurred within the IDS segment and $5.5 million was incurred within the WPS segment. Of the $10.5 million in restructuring charges recognized during the nine months ended April 30, 2013, $4.7 million was incurred within the IDS segment and $5.8 million was incurred within the WPS segment.</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$26.8 million during the three months ended April 30, 2014; excluding restructuring charges of $3.0 million, operating income was $29.8 million. Operating income was $30.9 million for the three months ended April 30, 2013; excluding restructuring charges of $8.5 million and the $4.1 million benefit from the reversal of incentive compensation, operating income was $35.3 million. This decline of $5.5 million was primarily due to the decrease in sales and segment profit within the WPS segment.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was $74.8 million during the nine months ended April 30, 2014; excluding restructuring charges of $14.2 million, operating income was $89.0 million. Operating income was $96.0 million for the nine months ended April 30, 2013; excluding restructuring charges of $10.5 million and $3.6 million in professional fees related to the PDC acquisition, operating income was $110.1 million. This decline of $21.1 million was due to the decrease in sales and segment profit within the WPS segment, partially offset by an improvement in segment profit in the IDS segment.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8"/>
          </w:tcPr>
          <w:p>
            <w:pPr>
              <w:ind w:left="500"/>
              <w:spacing w:after="0"/>
              <w:rPr>
                <w:sz w:val="20"/>
                <w:szCs w:val="20"/>
                <w:color w:val="auto"/>
              </w:rPr>
            </w:pPr>
            <w:r>
              <w:rPr>
                <w:rFonts w:ascii="Arial" w:cs="Arial" w:eastAsia="Arial" w:hAnsi="Arial"/>
                <w:sz w:val="16"/>
                <w:szCs w:val="16"/>
                <w:b w:val="1"/>
                <w:bCs w:val="1"/>
                <w:color w:val="auto"/>
                <w:w w:val="91"/>
              </w:rPr>
              <w:t>Three months ended April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8"/>
          </w:tcPr>
          <w:p>
            <w:pPr>
              <w:ind w:left="560"/>
              <w:spacing w:after="0"/>
              <w:rPr>
                <w:sz w:val="20"/>
                <w:szCs w:val="20"/>
                <w:color w:val="auto"/>
              </w:rPr>
            </w:pPr>
            <w:r>
              <w:rPr>
                <w:rFonts w:ascii="Arial" w:cs="Arial" w:eastAsia="Arial" w:hAnsi="Arial"/>
                <w:sz w:val="16"/>
                <w:szCs w:val="16"/>
                <w:b w:val="1"/>
                <w:bCs w:val="1"/>
                <w:color w:val="auto"/>
                <w:w w:val="91"/>
              </w:rPr>
              <w:t>Nine months ended April 30,</w:t>
            </w:r>
          </w:p>
        </w:tc>
        <w:tc>
          <w:tcPr>
            <w:tcW w:w="680" w:type="dxa"/>
            <w:vAlign w:val="bottom"/>
          </w:tcPr>
          <w:p>
            <w:pPr>
              <w:spacing w:after="0"/>
              <w:rPr>
                <w:sz w:val="18"/>
                <w:szCs w:val="18"/>
                <w:color w:val="auto"/>
              </w:rPr>
            </w:pP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74,802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95,968</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37"/>
        </w:trPr>
        <w:tc>
          <w:tcPr>
            <w:tcW w:w="226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22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22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(10,777)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(12,755)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from continuing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 before income tax</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65,912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85,640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37"/>
        </w:trPr>
        <w:tc>
          <w:tcPr>
            <w:tcW w:w="22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17,077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48,340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from continuing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48,835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37,300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20"/>
        </w:trPr>
        <w:tc>
          <w:tcPr>
            <w:tcW w:w="2260" w:type="dxa"/>
            <w:vAlign w:val="bottom"/>
          </w:tcPr>
          <w:p>
            <w:pPr>
              <w:ind w:left="40"/>
              <w:spacing w:after="0"/>
              <w:rPr>
                <w:sz w:val="20"/>
                <w:szCs w:val="20"/>
                <w:color w:val="auto"/>
              </w:rPr>
            </w:pPr>
            <w:r>
              <w:rPr>
                <w:rFonts w:ascii="Arial" w:cs="Arial" w:eastAsia="Arial" w:hAnsi="Arial"/>
                <w:sz w:val="16"/>
                <w:szCs w:val="16"/>
                <w:color w:val="auto"/>
                <w:w w:val="92"/>
              </w:rPr>
              <w:t>Earnings (loss) from discontinued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2260" w:type="dxa"/>
            <w:vAlign w:val="bottom"/>
          </w:tcPr>
          <w:p>
            <w:pPr>
              <w:ind w:left="40"/>
              <w:spacing w:after="0"/>
              <w:rPr>
                <w:sz w:val="20"/>
                <w:szCs w:val="20"/>
                <w:color w:val="auto"/>
              </w:rPr>
            </w:pPr>
            <w:r>
              <w:rPr>
                <w:rFonts w:ascii="Arial" w:cs="Arial" w:eastAsia="Arial" w:hAnsi="Arial"/>
                <w:sz w:val="16"/>
                <w:szCs w:val="16"/>
                <w:color w:val="auto"/>
                <w:w w:val="98"/>
              </w:rPr>
              <w:t>operations, net of income taxes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(17,447)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15,606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(14,564)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Investment and other income decreased to $0.9 million for the three months ended April 30, 2014, from $1.1 million for the same period in the prior year. Investment and other income decreased to $1.9 million for the nine months ended April 30, 2014, from $2.4 million for the same period in the prior year. For the three-month period, the decrease was primarily due to foreign currency losses. For the nine-month period, the decrease was primarily due to a reduction in interest income and a decline in the gain recognized on securities held in the executive and director deferred compensation plans.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decreased to $3.4 million for the three months ended April 30, 2014, from $4.2 million for the same period in the prior year. Interest expense decreased to $10.8 million for the nine months ended April 30, 2014, from $12.8 million for the same period in the prior year. For both the three and nine-month periods, the decrease was due to the Company’s declining principal balance under its outstanding long-term debt agreements.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effective tax rate on continuing operations was 16.8% for the three months and 25.9% for the nine months ended April 30, 2014, compared to 22.2% for the three months and 56.4% for the nine months ended April 30, 2013. The decrease in the effective tax rate for the three months was primarily due to a benefit from the release of tax reserves as a result of expired statutes of limitation. The decrease in the nine-month tax rate was primarily driven by the $25.0 million non-cash tax charge recorded in the second quarter ended January 31, 2013, associated with the repatriation of cash to fund the acquisition of PDC.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Discontinued operations include the Asia Die-Cut and Balkhausen Die-Cut business ("Die-Cut"), which was classified as held for sale as of April 30, 2014. The Brady Medical and Varitronics businesses were also included in discontinued operations, which were divested in August 2012 and October 2012, respectively, both within the IDS segment. The Company entered into an agreement with LTI Flexible Products, Inc. (d/b/a Boyd Corporation) on February 24, 2014, for the sale of the Die-Cut business.. The first phase of this divestiture closed on May 1, 2014, and the Company received approximately $53 million of cash proceeds for its businesses in Korea, Thailand and Malaysia, and its Balkhausen business in Europe. The remainder of the Die-Cut business is located in China and its divestiture is expected to close in the fourth quarter ending July 31, 2014.</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Discontinued operations generated earnings net of income taxes of $3.9 million and a loss of $17.4 million for the three months ended April 30, 2014 and 2013, respectively. The loss in the prior year was driven by the $15.7 million write-down of the disposal group to its estimated fair value less cost to sell. Income net of income taxes from discontinued operations increased in the current quarter due to the discontinuance of depreciation and amortization expense of $3.0 million (pre-tax), and a tax benefit of $1.5 million due to the release of tax reserves from expired statutes of limitation in certain countries.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Discontinued operations generated income net of income taxes of $15.6 million and a loss of $14.6 million for the nine months ended April 30, 2014 and 2013, respectively. The loss in the nine months ended April 30, 2013 was driven by the $15.7 million write-down of the disposal group to its estimated fair value less cost to sell. Income net of income taxes from discontinued operations increased in the nine months ended April 30, 2014 due to the discontinuance of depreciation and amortization expense of $9.0 million (pre-tax), a tax benefit of $3.1 million associated with the conclusion of a tax audit and a tax benefit of $1.5 million due to the release of tax reserves from expired statutes of limitations. The nine months ended April 30, 2013 also included a $5.2 million gain on the settlement of the insurance claim related to a flood in Thailand.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Asia Die-Cut business was first reported as held for sale as of the quarter ended April 30, 2013, and the Balkhausen Die-Cut business was first reported as held for sale as of the quarter ended July 31, 2013, at which point the fixed assets and intangible assets of these businesses were no longer depreciated or amortized in accordance with applicable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organized and managed on a global basis within two business platforms: IDS and WPS, which are the reportable segments. Each business platform has a President (or acting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00" w:type="dxa"/>
            <w:vAlign w:val="bottom"/>
            <w:gridSpan w:val="4"/>
          </w:tcPr>
          <w:p>
            <w:pPr>
              <w:ind w:left="60"/>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2013</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280"/>
              <w:spacing w:after="0"/>
              <w:rPr>
                <w:sz w:val="20"/>
                <w:szCs w:val="20"/>
                <w:color w:val="auto"/>
              </w:rPr>
            </w:pPr>
            <w:r>
              <w:rPr>
                <w:rFonts w:ascii="Arial" w:cs="Arial" w:eastAsia="Arial" w:hAnsi="Arial"/>
                <w:sz w:val="16"/>
                <w:szCs w:val="16"/>
                <w:color w:val="auto"/>
              </w:rPr>
              <w:t>206,448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180"/>
              <w:spacing w:after="0"/>
              <w:rPr>
                <w:sz w:val="20"/>
                <w:szCs w:val="20"/>
                <w:color w:val="auto"/>
              </w:rPr>
            </w:pPr>
            <w:r>
              <w:rPr>
                <w:rFonts w:ascii="Arial" w:cs="Arial" w:eastAsia="Arial" w:hAnsi="Arial"/>
                <w:sz w:val="16"/>
                <w:szCs w:val="16"/>
                <w:color w:val="auto"/>
              </w:rPr>
              <w:t>197,417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260"/>
              <w:spacing w:after="0"/>
              <w:rPr>
                <w:sz w:val="20"/>
                <w:szCs w:val="20"/>
                <w:color w:val="auto"/>
              </w:rPr>
            </w:pPr>
            <w:r>
              <w:rPr>
                <w:rFonts w:ascii="Arial" w:cs="Arial" w:eastAsia="Arial" w:hAnsi="Arial"/>
                <w:sz w:val="16"/>
                <w:szCs w:val="16"/>
                <w:color w:val="auto"/>
              </w:rPr>
              <w:t>610,726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ind w:left="160"/>
              <w:spacing w:after="0"/>
              <w:rPr>
                <w:sz w:val="20"/>
                <w:szCs w:val="20"/>
                <w:color w:val="auto"/>
              </w:rPr>
            </w:pPr>
            <w:r>
              <w:rPr>
                <w:rFonts w:ascii="Arial" w:cs="Arial" w:eastAsia="Arial" w:hAnsi="Arial"/>
                <w:sz w:val="16"/>
                <w:szCs w:val="16"/>
                <w:color w:val="auto"/>
              </w:rPr>
              <w:t>528,044</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103,129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105,066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297,575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319,156</w:t>
            </w: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309,577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302,483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908,301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847,200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3184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44,302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46,787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132,795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126,011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14,771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47,813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74,881</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59,073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70,240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180,608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200,892</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and nine months ended April 30, 2014 and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4"/>
              </w:rPr>
              <w:t>Nine months ended April 30,</w:t>
            </w:r>
          </w:p>
        </w:tc>
      </w:tr>
      <w:tr>
        <w:trPr>
          <w:trHeight w:val="33"/>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180,608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200,892</w:t>
            </w: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(94,451)</w:t>
            </w:r>
          </w:p>
        </w:tc>
      </w:tr>
      <w:tr>
        <w:trPr>
          <w:trHeight w:val="237"/>
        </w:trPr>
        <w:tc>
          <w:tcPr>
            <w:tcW w:w="418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(10,473)</w:t>
            </w:r>
          </w:p>
        </w:tc>
      </w:tr>
      <w:tr>
        <w:trPr>
          <w:trHeight w:val="33"/>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r>
      <w:tr>
        <w:trPr>
          <w:trHeight w:val="237"/>
        </w:trPr>
        <w:tc>
          <w:tcPr>
            <w:tcW w:w="418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(12,755)</w:t>
            </w:r>
          </w:p>
        </w:tc>
      </w:tr>
      <w:tr>
        <w:trPr>
          <w:trHeight w:val="33"/>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85,640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Approximately 70% of net sales in the IDS segment were generated in the Americas region, 20% in EMEA and 10% in APAC. IDS sales increased 4.6% to $206.4 million for the three months and 15.7% to $610.7 million for the nine months ended April 30, 2014, compared to $197.4 million and $528.0 million, respectively, for the same periods in the prior year. The acquisition of PDC in December 2012 had minimal impact on the current quarter; however it increased sales by 12.4% for the nine months ended April 30, 2014 as compared to the same period in the prior year. Organic sales increased 4.8% and 3.6% during the three and nine months ended April 30, 2014, respectively, compared to the same periods in the prior year. Currency fluctuations were minimal, decreasing sales by 0.2% and 0.3% in the three and nine months ended April 30, 2014, respectively.</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Organic sales within the IDS business in the Americas grew in the low single digit percentages for the three and nine months ended April 30, 2014. In North America, the slowdown in order patterns from large distributors that we experienced at the end of the second quarter of fiscal 2014 continued mid-way into the third quarter, then returned to a more normalized order pattern for the remainder of the quarter. The PDC business had organic sales growth of approximately 1% for the three months ended April 30, 2014, as compared to the same period in the prior year, due to increased volumes and increased market share from sales synergy opportunities with our PeopleID business. This growth represented an improvement from the organic sales declines realized in the prior two quarters of fiscal 2014. PDC’s healthcare business has historically correlated with U.S. hospital admission rates, which declined by approximately 2% for the three and nine month periods. IDS sales were flat in Brazil for the three months ended April 30, 2014, compared to the same period in the prior year, which represented a slight improvement from the organic sales decline we realized in prior quarters this fiscal year. The Brazilian business demonstrated signs of improvement as we have taken action to improve customer service and product quality. We are further reviewing our Brazilian cost structure to ensure that our business is appropriately sized to the current business environment.</w:t>
      </w:r>
    </w:p>
    <w:p>
      <w:pPr>
        <w:spacing w:after="0" w:line="17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IDS business in EMEA continued the trend from the preceding two quarters of fiscal 2014 with mid-single-digit organic sales growth for the three months ended April 30, 2014, as compared to the same period in the prior year. Growth continued to be driven by our businesses in the established Western European economies as well as Central Europe where our recently launched printers, including the BMP21 Plus contributed to our growth.</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Sales within the IDS business in APAC continued the trend from the preceding two quarters of fiscal 2014 with double-digit organic sales growth for the three and nine months ended April 30, 2014, as we have experienced success in delivering high-quality, labeling products to our OEM customer base, while also expanding our MRO business. Sales of product identification to our OEM customers in China were particularly strong as we continue to expand production capacity and capabilities. Sales growth of our MRO business was positive, but less robust than OEM, and we are investing in the growth potential of this region as we focus on building partnerships with key strategic customers and distributors and expand our production capacity and capabilities.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$44.3 million from $46.8 million, or 5.3%, for the three months, and increased to $132.8 million from $126.0 million, or 5.4%, for the nine months ended April 30, 2014, compared to the same periods in the prior year. Incentive compensation increased by approximately $4.9 million in the three and nine months ended April 30, 2014, which was due to the reversal of the accrual for employee bonuses in the three months ended April 30, 2013. If incentive compensation were consistent year on year, segment profit would have increased by $2.4 million and $11.7 million, or 5.7% and 9.7% for the three and nine months ended April 30,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percentage of sales, segment profit decreased to 21.5% from 23.7% for the three months, and decreased to 21.7% from 23.9% for the nine months ended April 30, 2014, compared to the same periods in the prior year. The decline in segment profit as a percentage of sales for the three and nine months was primarily due to the increase in incentive compensation. If incentive compensation were consistent year on year, segment profit as a percentage of sales would have increased to 23.8% from 23.7% for the three months, and would have decreased to 22.5% from 23.9% for the nine months ended April 30, 2014, compared to the same periods in the prior year. The remaining decline in segment profit as a percentage of sales was due to facility consolidation costs and PDC for the nine-month period, as the incremental profit added by PDC is dilutive to our segment profit percentage.</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Effective August 1, 2013, the existing Brady PeopleID business was integrated into the PeopleID reporting unit, which previously consisted entirely of the PDC business and, as a result, the Company completed an analysis as of this date to conclude upon the appropriate goodwill allocation and any impairment indicators. The PeopleID reporting unit had a fair value in excess of carrying value of 12% and a goodwill balance of $193.3 million at April 30, 2014.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If the PeopleID reporting unit does not meet its projections, it could become impaired, which may adversely affect earnings in the period in which the charge is recorded. The assumptions with the most impact on our determination of the fair value of the PeopleID reporting unit are sales growth and profitability. A reduction in the annual sales growth or annual profitability assumptions by 100 basis points would result in a fair value of less than carrying value for the reporting unit.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Approximately 50% of net sales in the WPS segment were generated in EMEA, 35% in the Americas and 15% in APAC. Beginning in the second quarter of fiscal 2012, due to a reduction in direct catalog mailings, increased e-commerce competition, and pricing adjustments, the WPS business segment sales declined and continued to decline in all subsequent quarters. As a result, in connection with our organizational change to global business platforms, we refined our WPS strategy to focus on and invest in the following: increasing our volume of catalog mailings, expanding our e-commerce presence, increasing the offering of workplace safety products, enhancing our industry expertise, and further developing our pricing capabilities.</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Although year-over-year organic sales declined 1.9% for the three months ended April 30, 2014, this was an improvement over prior quarters as the rate of decline has slowed. During the quarter ended April 30, 2014, we realized low single digit growth in Europe while the Americas and APAC had mid-single digit declines, which was an improvement compared to the declines realized in the first and second quarters of fiscal 2014.</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WPS sales decreased 1.8% to $103.1 million for the three months and 6.8% to $297.6 million for the nine months ended April 30, 2014, compared to $105.1 million and $319.2 million, respectively, for the same periods in the prior year. Organic sales declined 1.9% for the third quarter, an improvement from the decline of 6.8% in the second quarter and 10.0% in the first quarter of fiscal 2014, all as compared to the same periods in the prior year. Organic sales decreased 6.3% for the nine months ended April 30, 2014, compared to the same period in the prior year. Currency fluctuations were minimal, increasing sales by 0.1% and decreasing sales by 0.5% in the three and nine months ended April 30, 2014, respectively, compared to the same periods in the prior year.</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WPS sales in the Americas improved slightly as the percentage rate of decline lessened to mid-single-digits. Similar to the IDS business in the U.S., our WPS business had a slow start to the third quarter. February and the first half of March were weak, followed by improved order patterns in the last half of the quarter ended April 30, 2014.</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WPS business in Europe, primarily the established Western European economies, realized a low-single-digit sales percentage increase for the three months ended April 30, 2014, improving from a mid-single-digit sales percentage decline in the first half of fiscal 2014. This improvement was driven by increases in new customers and order volumes.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WPS sales in APAC, which entirely consists of Australia, experienced a mid-single-digit percentage sales decline for the three months ended April 30, 2014, compared to the same period in the prior year. This was an improvement over the double-digit percentage sales decline in the first half of fiscal 2014. While the Company’s Australian business is focused within many diverse industries, it has a higher concentration in industries that are experiencing economic challenges which include manufacturing, non-residential construction, and most importantly, mining. Management has taken action to reduce our cost structure in Australia while at the same time implementing sales growth initiatives.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$14.8 million from $23.5 million for the three months, and decreased to $47.8 million from $74.9 million for the nine months ended April 30, 2014, compared to the same periods in the prior year. As a percentage of sales, segment profit decreased to 14.3% from 22.3% for the three months, and decreased to 16.1% from 23.5% for the nine months ended April 30, 2014, compared to the same periods in the prior year. The segment profit decline for the three and nine-month periods was due to pricing actions, changes in mix and sales strategy, and the strategic investments intended to return the business to growth.</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WPS EMEA and WPS APAC reporting units had goodwill of $60.3 million and $32.8 million, respectively, as of April 30, 2014. These reporting units have experienced a decline in sales for the last ten quarters primarily due to reduced sales generated from catalogs, as well as an economic slowdown within Western Europe and Australia. Although our sales in e-commerce have increased, the shift is not sufficient to entirely compensate for the lost sales from the traditional catalog model. Management is addressing this via investments in digital capabilities, increased catalog spend, and focused emphasis on growing the customer base, and we anticipate returning to annual sales growth over the next several years. The annual goodwill impairment analysis performed as of May 1, 2013 for these reporting units resulted in a significant fair value excess over carrying value, which the Company considers to be at 20% or greater. However, if the Company does not realize a sufficient return on its strategic investment in the WPS business, these reporting units could face the risk of a material goodwill impairment charge, which may adversely affect earnings in the period in which the charge is recorded. The third reporting unit in the WPS segment is WPS Americas, which had goodwill of $10.9 million as of April 30, 2014. The goodwill of this reporting unit was impaired during fiscal 2013 and had a significant excess of fair value over carrying value subsequent to the impairment charge.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decreased by $12.3 million and $228.9 million during the nine months ended April 30, 2014 and 2013.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7"/>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75,840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89,630</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(318,306)</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(61,626)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(6,448)</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(228,866)</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decreased by $13.8 million to $75.8 million from $89.6 million for the nine months ended April 30, 2014 and 2013, respectively. The decline was due to the $27 million decline in WPS segment profit, offset by improvements in operating assets and liabilities of approximately $13 million. Cash flow from accounts receivable and accounts payable improved due to working capital initiatives that began last fiscal year, partially offset by inventory increases from facility consolidations this fiscal year. Accounts payable improved in all geographies and accounts receivable improved in Europe and APAC.</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$30.5 million for the nine months ended April 30, 2014, compared to $318.3 million used in the same period of the prior year. The decrease in cash used in investing activities was due to the acquisition of PDC for $301.2 million, partially offset by $10.2 million in cash received from the divestitures of Brady Medical and Varitronics during the nine months ended April 30, 2013.</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$61.6 million during the nine months ended April 30, 2014, compared to $6.4 million used in the same period of the prior year. The increase in cash used in financing activities was primarily due to an increase in the net drawdown on the revolving loan agreement and line of credit of $33.7 million and an increase in cash used for share repurchases of $18.2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of ten-year fixed rate notes with varying maturity dates to institutional investors at interest rates varying from 5.14% to 5.33%. The notes must be repaid equally over seven years, with initial payment due dates ranging from 2008 to 2011, with interest payable on the notes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December 2012, the Company drew down $220 million from its revolving loan agreement to fund a portion of the purchase price of the acquisition of PDC. The borrowings bear interest at LIBOR plus 1.125% per annum, which will be reset from time to time based upon changes in the LIBOR rate. As of July 31, 2013, there was $39 million outstanding on this revolving loan agreement, which was repaid during the nine months ended April 30, 2014. During the three months ended April 30, 2014, the Company drew down an additional $63 million in order to fund dividends, principal payments on the private placement note issuances, share repurchases, and general corporate needs. The maximum amount outstanding on the revolving loan agreement during the period was $72 million. As of April 30, 2014, the outstanding balance on the revolving loan agreement was $63 million and there was $237 million available for future borrowing, which could be increased to $387 million at the Company’s option, subject to certain conditions.</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2013, the Company entered into an unsecured $26.2 million multi-currency line of credit in China. The line of credit supports USD-denominated or CNY-denominated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of the facility and the facility is subject to periodic review and repricing. The Company is not required to comply with any financial covenants as part of this agreement. During fiscal 2014, the maximum amount outstanding was $14.9 million, comprised entirely of USD-denominated borrowings. During the three months ended April 30, 2014, the Company repaid $2.4 million of this borrowing resulting in a balance of $12.6 million at April 30, 2014. There was $13.6 million available for future borrowing under this credit facility at the end of the reporting period.</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 EBITDA, as defined in the debt agreements, of not more than a 3.5 to 1.0 ratio (leverage ratio). As of April 30, 2014, the Company was in compliance with the financial covenant of the June 2004, February 2006, and March 2007 private placement agreements, with the ratio of debt to EBITDA, as defined by the agreements, equal to 1.8 to 1.0. As of April 30, 2014, the Company was in compliance with the financial covenant of the May 2010 private placement agreement, with the ratio of debt to EBITDA, as defined by the agreement, equal to 1.8 to 1.0. Additionally, the Company’s February 2012 revolving loan agreement requires the Company to maintain a ratio of debt to trailing twelve month EBITDA, as defined by the debt agreement, of not more than a 3.25 to 1.0 ratio. The revolving loan agreement requires the Company’s trailing twelve months EBITDA to interest expense of not less than a 3.0 to 1.0 ratio (interest expense coverage). As of April 30, 2014, the Company was in compliance with the financial covenants of the revolving loan agreement with the ratio of debt to EBITDA, as defined by the agreement, equal to 1.8 to 1.0 and the interest expense coverage ratio equal to 11.5 to 1.0.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debt as a percentage of total debt plus stockholders' investment was 25.7% at April 30, 2014 and 27.4% at July 31, 2013. The decrease in the ratio was due to a decrease in total debt of $13.7 million as the Company made a principal payment on its long-term borrowings of $42.5 million, which was partially offset by net borrowing on the revolving loan agreement of $24 million. In addition, there was an increase in the Company’s stockholders’ investment of $33.2 million as a result of current year earnings partially offset by treasury stock repurchases.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April 30, 2014, 90.4%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21, 2014, the Board of Directors declared a quarterly cash dividend to shareholders of the Company’s Class A and Class B Common Stock of $0.195 per share payable on July 31, 2014, to shareholders of record at the close of business on July 10, 2014.</w:t>
      </w:r>
    </w:p>
    <w:p>
      <w:pPr>
        <w:spacing w:after="0" w:line="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May 1, 2014, the Company closed the first phase of the sale of the Die-Cut business to LTI Flexible Products, Inc. (d/b/a Boyd Corporation) for cash proceeds of approximately $53 million. This phase included the die-cut businesses in Korea, Thailand and Malaysia, and the Balkhausen business in Europe. The remainder of the Die-Cut business is located in China and its divestiture is expected to close in the fourth quarter ended July 31,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5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ownership structure;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2013. There has been no material change in this information since July 31,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Interim President and Chief Executive Officer and Chief Financial Officer, of the effectiveness of the design and operation of the Company’s disclosure controls and procedures pursuant to Rule 13a-15 of the Exchange Act. Based on that evaluation, the Company’s Interim President &amp; Chief Executive Officer and Chief Financial Officer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During the three months ended April 30, 2014, the Company purchased 892,814 shares of its Class A Nonvoting Common Stock under its share repurchase plan for $23.3 million. As of April 30, 2014, there remained 1,253,959 shares to purchase in connection with this plan.</w:t>
      </w:r>
    </w:p>
    <w:p>
      <w:pPr>
        <w:spacing w:after="0" w:line="14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April 30, 2014:</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Purchased As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w:t>
            </w: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 of</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 paid</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Part of Publicly</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Purchased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per share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 Plans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w:t>
            </w:r>
          </w:p>
        </w:tc>
      </w:tr>
      <w:tr>
        <w:trPr>
          <w:trHeight w:val="33"/>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 2014 - February 28,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184,726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1,962,047</w:t>
            </w:r>
          </w:p>
        </w:tc>
      </w:tr>
      <w:tr>
        <w:trPr>
          <w:trHeight w:val="23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March 1, 2014 - March 31, 2014</w:t>
            </w:r>
          </w:p>
        </w:tc>
        <w:tc>
          <w:tcPr>
            <w:tcW w:w="1500" w:type="dxa"/>
            <w:vAlign w:val="bottom"/>
          </w:tcPr>
          <w:p>
            <w:pPr>
              <w:jc w:val="right"/>
              <w:spacing w:after="0"/>
              <w:rPr>
                <w:sz w:val="20"/>
                <w:szCs w:val="20"/>
                <w:color w:val="auto"/>
              </w:rPr>
            </w:pPr>
            <w:r>
              <w:rPr>
                <w:rFonts w:ascii="Arial" w:cs="Arial" w:eastAsia="Arial" w:hAnsi="Arial"/>
                <w:sz w:val="16"/>
                <w:szCs w:val="16"/>
                <w:color w:val="auto"/>
              </w:rPr>
              <w:t>422,357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422,357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1,539,690</w:t>
            </w:r>
          </w:p>
        </w:tc>
      </w:tr>
      <w:tr>
        <w:trPr>
          <w:trHeight w:val="33"/>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April 1, 2014 - April 30,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285,731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285,731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1,253,959</w:t>
            </w:r>
          </w:p>
        </w:tc>
      </w:tr>
      <w:tr>
        <w:trPr>
          <w:trHeight w:val="244"/>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892,814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892,814</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1,253,959</w:t>
            </w: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and Release Agreement, dated as of February 20, 2014, entered into with Scott Hoffman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 xml:space="preserve">Directors' Deferred Compensation Plan, as amended and restated </w:t>
      </w:r>
      <w:r>
        <w:rPr>
          <w:rFonts w:ascii="Arial" w:cs="Arial" w:eastAsia="Arial" w:hAnsi="Arial"/>
          <w:sz w:val="16"/>
          <w:szCs w:val="16"/>
          <w:i w:val="1"/>
          <w:iCs w:val="1"/>
          <w:color w:val="auto"/>
        </w:rPr>
        <w:t>(reflects immaterial changes finalized in May 2014)</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Thomas J. Felmer</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Thomas J. Felmer</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June 4, 2014</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Interim President &amp; Chief Executive Officer and</w:t>
      </w:r>
    </w:p>
    <w:p>
      <w:pPr>
        <w:spacing w:after="0" w:line="3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 and Principal Financial</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Officer)</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121" w:right="339" w:bottom="1440" w:gutter="0" w:footer="0" w:header="0"/>
        </w:sectPr>
      </w:pPr>
    </w:p>
    <w:bookmarkStart w:id="37" w:name="page38"/>
    <w:bookmarkEnd w:id="37"/>
    <w:p>
      <w:pPr>
        <w:ind w:left="10240"/>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AND RELEASE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483" w:lineRule="auto"/>
        <w:rPr>
          <w:sz w:val="20"/>
          <w:szCs w:val="20"/>
          <w:color w:val="auto"/>
        </w:rPr>
      </w:pPr>
      <w:r>
        <w:rPr>
          <w:rFonts w:ascii="Arial" w:cs="Arial" w:eastAsia="Arial" w:hAnsi="Arial"/>
          <w:sz w:val="18"/>
          <w:szCs w:val="18"/>
          <w:color w:val="auto"/>
        </w:rPr>
        <w:t>Scott Hoffman (“Mr. Hoffman”) and Brady Corporation (the “Company”) hereby enter into this Severance and Release Agreement (“Agreement”) which is effective as of February 20, 2014 (“Effective Date”) to resolve all matters relating to Mr. Hoffman’s employment with and separation from the Company. Mr. Hoffman and the Company hereby agree as follows:</w:t>
      </w:r>
    </w:p>
    <w:p>
      <w:pPr>
        <w:spacing w:after="0" w:line="124" w:lineRule="exact"/>
        <w:rPr>
          <w:sz w:val="20"/>
          <w:szCs w:val="20"/>
          <w:color w:val="auto"/>
        </w:rPr>
      </w:pPr>
    </w:p>
    <w:p>
      <w:pPr>
        <w:ind w:left="500" w:hanging="447"/>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364" w:lineRule="exact"/>
        <w:rPr>
          <w:sz w:val="20"/>
          <w:szCs w:val="20"/>
          <w:color w:val="auto"/>
        </w:rPr>
      </w:pPr>
    </w:p>
    <w:p>
      <w:pPr>
        <w:jc w:val="both"/>
        <w:ind w:firstLine="324"/>
        <w:spacing w:after="0" w:line="483" w:lineRule="auto"/>
        <w:rPr>
          <w:sz w:val="20"/>
          <w:szCs w:val="20"/>
          <w:color w:val="auto"/>
        </w:rPr>
      </w:pPr>
      <w:r>
        <w:rPr>
          <w:rFonts w:ascii="Arial" w:cs="Arial" w:eastAsia="Arial" w:hAnsi="Arial"/>
          <w:sz w:val="18"/>
          <w:szCs w:val="18"/>
          <w:color w:val="auto"/>
        </w:rPr>
        <w:t>Mr. Hoffman’s employment as Vice President of Brady Corporation and President-Workplace Safety of the Company terminated effective February 20, 2014(CDT). By entry into this Agreement, Mr. Hoffman hereby provides notice to the Company of his resignation from all other officer and director positions of all Company entities.</w:t>
      </w:r>
    </w:p>
    <w:p>
      <w:pPr>
        <w:spacing w:after="0" w:line="290" w:lineRule="exact"/>
        <w:rPr>
          <w:sz w:val="20"/>
          <w:szCs w:val="20"/>
          <w:color w:val="auto"/>
        </w:rPr>
      </w:pPr>
    </w:p>
    <w:p>
      <w:pPr>
        <w:jc w:val="both"/>
        <w:spacing w:after="0" w:line="504" w:lineRule="auto"/>
        <w:rPr>
          <w:sz w:val="20"/>
          <w:szCs w:val="20"/>
          <w:color w:val="auto"/>
        </w:rPr>
      </w:pPr>
      <w:r>
        <w:rPr>
          <w:rFonts w:ascii="Arial" w:cs="Arial" w:eastAsia="Arial" w:hAnsi="Arial"/>
          <w:sz w:val="17"/>
          <w:szCs w:val="17"/>
          <w:color w:val="auto"/>
        </w:rPr>
        <w:t>From the Effective Date to September 30, 2014 (the “Termination Date”), Mr. Hoffman will remain an employee of the Company and receive his current base salary and fringe benefits. During that time, Mr. Hoffman agrees to be available to consult with respect to transition issues as requested by the Company, and to not render services or work for another entity or person. Mr. Hoffman’s employment with the Company will terminate at 11:59 p.m. on the Termination Date. The Termination Date shall be deemed to be the “Qualifying Event” for insurance continuation and benefit plan purposes under state and federal law. Notwithstanding the foregoing, February 20, 2014 will be Mr. Hoffman's "Separation from Service" date for purposes of the Brady Corporation Restoration Plan and the Brady Corporation Deferred Compensation Plan due to the fact that his level of services to the Company after such date will permanently decrease to no more than 20% of his average level of services over the immediately preceding 36-month period.</w:t>
      </w:r>
    </w:p>
    <w:p>
      <w:pPr>
        <w:spacing w:after="0" w:line="121" w:lineRule="exact"/>
        <w:rPr>
          <w:sz w:val="20"/>
          <w:szCs w:val="20"/>
          <w:color w:val="auto"/>
        </w:rPr>
      </w:pPr>
    </w:p>
    <w:p>
      <w:pPr>
        <w:ind w:left="460" w:hanging="407"/>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 Equity Agreements</w:t>
      </w:r>
    </w:p>
    <w:p>
      <w:pPr>
        <w:spacing w:after="0" w:line="364" w:lineRule="exact"/>
        <w:rPr>
          <w:sz w:val="20"/>
          <w:szCs w:val="20"/>
          <w:color w:val="auto"/>
        </w:rPr>
      </w:pPr>
    </w:p>
    <w:p>
      <w:pPr>
        <w:jc w:val="both"/>
        <w:ind w:firstLine="362"/>
        <w:spacing w:after="0" w:line="511" w:lineRule="auto"/>
        <w:rPr>
          <w:sz w:val="20"/>
          <w:szCs w:val="20"/>
          <w:color w:val="auto"/>
        </w:rPr>
      </w:pPr>
      <w:r>
        <w:rPr>
          <w:rFonts w:ascii="Arial" w:cs="Arial" w:eastAsia="Arial" w:hAnsi="Arial"/>
          <w:sz w:val="17"/>
          <w:szCs w:val="17"/>
          <w:color w:val="auto"/>
        </w:rPr>
        <w:t>All of Mr. Hoffman’s balances, including Company stock, within any Company plan will be paid out in accordance with the provisions of each plan and Mr. Hoffman’s valid elections under such plans. In addition, Mr. Hoffman shall have all of his preexisting rights with respect to stock options and restricted stock in accordance with the equity plans and granting agreements governing such equity. Following the Effective Date, Mr. Hoffman will be provided with a summary of outstanding grants and post-termination exercise periods under those equity agreements.</w:t>
      </w:r>
    </w:p>
    <w:p>
      <w:pPr>
        <w:sectPr>
          <w:pgSz w:w="11900" w:h="16838" w:orient="portrait"/>
          <w:cols w:equalWidth="0" w:num="1">
            <w:col w:w="11420"/>
          </w:cols>
          <w:pgMar w:left="240" w:top="621" w:right="239" w:bottom="1440" w:gutter="0" w:footer="0" w:header="0"/>
        </w:sectPr>
      </w:pPr>
    </w:p>
    <w:bookmarkStart w:id="38" w:name="page39"/>
    <w:bookmarkEnd w:id="38"/>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w:t>
      </w:r>
    </w:p>
    <w:p>
      <w:pPr>
        <w:spacing w:after="0" w:line="364" w:lineRule="exact"/>
        <w:rPr>
          <w:sz w:val="20"/>
          <w:szCs w:val="20"/>
          <w:color w:val="auto"/>
        </w:rPr>
      </w:pPr>
    </w:p>
    <w:p>
      <w:pPr>
        <w:jc w:val="both"/>
        <w:ind w:firstLine="324"/>
        <w:spacing w:after="0" w:line="476" w:lineRule="auto"/>
        <w:rPr>
          <w:sz w:val="20"/>
          <w:szCs w:val="20"/>
          <w:color w:val="auto"/>
        </w:rPr>
      </w:pPr>
      <w:r>
        <w:rPr>
          <w:rFonts w:ascii="Arial" w:cs="Arial" w:eastAsia="Arial" w:hAnsi="Arial"/>
          <w:sz w:val="18"/>
          <w:szCs w:val="18"/>
          <w:color w:val="auto"/>
        </w:rPr>
        <w:t>In addition to the foregoing, and assuming Mr. Hoffman accepts and does not revoke this Agreement, Mr. Hoffman will be provided a severance payment totaling eight (8) months of salary (“Severance Sum”), which is $200,000, less required withholdings, payable over the eight (8) months following the Termination Date in accordance with the Company’s normal payroll practices, with the first such payment to be made on the first pay date occurring after the Termination Date Each severance installment payable under this Section 3 shall constitute a separate “payment” within the meaning of Treasury Regulation Section 1.409A-2(b)(2). Mr. Hoffman will also be provided the following:</w:t>
      </w:r>
    </w:p>
    <w:p>
      <w:pPr>
        <w:spacing w:after="0" w:line="135" w:lineRule="exact"/>
        <w:rPr>
          <w:sz w:val="20"/>
          <w:szCs w:val="20"/>
          <w:color w:val="auto"/>
        </w:rPr>
      </w:pPr>
    </w:p>
    <w:p>
      <w:pPr>
        <w:ind w:firstLine="332"/>
        <w:spacing w:after="0" w:line="528" w:lineRule="auto"/>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option of electing healthcare COBRA coverage benefits in accordance with the healthcare plans and applicable law., with the first six (6) months of COBRA coverage after the Termination Date at active employee rates and the remaining period of COBRA coverage at regular COBRA rates;</w:t>
      </w:r>
    </w:p>
    <w:p>
      <w:pPr>
        <w:jc w:val="both"/>
        <w:ind w:firstLine="332"/>
        <w:spacing w:after="0" w:line="469"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Twelve months of outplacement services not to exceed $20,000.00, which Mr. Hoffman may elect to utilize at one or more outplacement firms, provided, however, the maximum sum to be paid by the Company for outplacement services is $20,000, and provided further, that the Company pre-approves the outplacement firms selected by Mr. Hoffman prior to Mr. Hoffman receiving such services;</w:t>
      </w:r>
    </w:p>
    <w:p>
      <w:pPr>
        <w:spacing w:after="0" w:line="2"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option to purchase his Company vehicle at the Termination Date for 80% of its assessed value;</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legal expenses not to exceed $10,000.00 incurred by Mr. Hoffman in connection with the review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 delivery of this Agreement;</w:t>
      </w:r>
    </w:p>
    <w:p>
      <w:pPr>
        <w:spacing w:after="0" w:line="198" w:lineRule="exact"/>
        <w:rPr>
          <w:sz w:val="20"/>
          <w:szCs w:val="20"/>
          <w:color w:val="auto"/>
        </w:rPr>
      </w:pPr>
    </w:p>
    <w:p>
      <w:pPr>
        <w:ind w:right="3340" w:firstLine="324"/>
        <w:spacing w:after="0" w:line="469" w:lineRule="auto"/>
        <w:rPr>
          <w:sz w:val="20"/>
          <w:szCs w:val="20"/>
          <w:color w:val="auto"/>
        </w:rPr>
      </w:pPr>
      <w:r>
        <w:rPr>
          <w:rFonts w:ascii="Arial" w:cs="Arial" w:eastAsia="Arial" w:hAnsi="Arial"/>
          <w:sz w:val="18"/>
          <w:szCs w:val="18"/>
          <w:color w:val="auto"/>
        </w:rPr>
        <w:t>(e)The option to retain his Company computer/cell phone/iPad fully wiped of all Company-related data and information;</w:t>
      </w:r>
    </w:p>
    <w:p>
      <w:pPr>
        <w:spacing w:after="0" w:line="1" w:lineRule="exact"/>
        <w:rPr>
          <w:sz w:val="20"/>
          <w:szCs w:val="20"/>
          <w:color w:val="auto"/>
        </w:rPr>
      </w:pPr>
    </w:p>
    <w:p>
      <w:pPr>
        <w:ind w:left="560" w:hanging="228"/>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four (4) weeks of unused vacation; and</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letter of recommendation on Mr. Hoffman’s behalf to be delivered to him on or before March 31, 2014.</w:t>
      </w:r>
    </w:p>
    <w:p>
      <w:pPr>
        <w:spacing w:after="0" w:line="3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p>
    <w:p>
      <w:pPr>
        <w:spacing w:after="0" w:line="364" w:lineRule="exact"/>
        <w:rPr>
          <w:sz w:val="20"/>
          <w:szCs w:val="20"/>
          <w:color w:val="auto"/>
        </w:rPr>
      </w:pPr>
    </w:p>
    <w:p>
      <w:pPr>
        <w:jc w:val="both"/>
        <w:ind w:firstLine="324"/>
        <w:spacing w:after="0" w:line="476" w:lineRule="auto"/>
        <w:rPr>
          <w:sz w:val="20"/>
          <w:szCs w:val="20"/>
          <w:color w:val="auto"/>
        </w:rPr>
      </w:pPr>
      <w:r>
        <w:rPr>
          <w:rFonts w:ascii="Arial" w:cs="Arial" w:eastAsia="Arial" w:hAnsi="Arial"/>
          <w:sz w:val="18"/>
          <w:szCs w:val="18"/>
          <w:color w:val="auto"/>
        </w:rPr>
        <w:t>Mr. Hoffman acknowledges that no amounts are due and owing Mr. Hoffman other than vested benefits to which he is otherwise entitled (“vested benefits”), and that the foregoing benefits are adequate consideration for Mr. Hoffman’s commitments in this Agreement. The parties agree that the foregoing constitute all of the payments and benefits to be provided to Mr. Hoffman under this Agreement, and that they are in full settlement of all payments and benefits, including but not limited to, claims for wages, vacation pay, sick pay, bonuses, commissions, relocation costs, severance payments, stock options, or any other compensation.</w:t>
      </w:r>
    </w:p>
    <w:p>
      <w:pPr>
        <w:sectPr>
          <w:pgSz w:w="11900" w:h="16838" w:orient="portrait"/>
          <w:cols w:equalWidth="0" w:num="1">
            <w:col w:w="11420"/>
          </w:cols>
          <w:pgMar w:left="240" w:top="675" w:right="239" w:bottom="1440" w:gutter="0" w:footer="0" w:header="0"/>
        </w:sectPr>
      </w:pPr>
    </w:p>
    <w:bookmarkStart w:id="39" w:name="page40"/>
    <w:bookmarkEnd w:id="39"/>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All Claims</w:t>
      </w:r>
    </w:p>
    <w:p>
      <w:pPr>
        <w:spacing w:after="0" w:line="364" w:lineRule="exact"/>
        <w:rPr>
          <w:sz w:val="20"/>
          <w:szCs w:val="20"/>
          <w:color w:val="auto"/>
        </w:rPr>
      </w:pPr>
    </w:p>
    <w:p>
      <w:pPr>
        <w:jc w:val="both"/>
        <w:ind w:firstLine="324"/>
        <w:spacing w:after="0" w:line="502" w:lineRule="auto"/>
        <w:rPr>
          <w:sz w:val="20"/>
          <w:szCs w:val="20"/>
          <w:color w:val="auto"/>
        </w:rPr>
      </w:pPr>
      <w:r>
        <w:rPr>
          <w:rFonts w:ascii="Arial" w:cs="Arial" w:eastAsia="Arial" w:hAnsi="Arial"/>
          <w:sz w:val="17"/>
          <w:szCs w:val="17"/>
          <w:color w:val="auto"/>
        </w:rPr>
        <w:t xml:space="preserve">In consideration of the payments and benefits described above, and to the fullest extent allowed by law, Mr. Hoffman, for himself, his spouse, heirs, successors and assigns, hereby releases and forever discharges the Company, its owners, parents, successors, affiliates, directors, officers, employees and all other representatives,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w:t>
      </w:r>
      <w:r>
        <w:rPr>
          <w:rFonts w:ascii="Arial" w:cs="Arial" w:eastAsia="Arial" w:hAnsi="Arial"/>
          <w:sz w:val="17"/>
          <w:szCs w:val="17"/>
          <w:u w:val="single" w:color="auto"/>
          <w:color w:val="auto"/>
        </w:rPr>
        <w:t>Wis</w:t>
      </w:r>
      <w:r>
        <w:rPr>
          <w:rFonts w:ascii="Arial" w:cs="Arial" w:eastAsia="Arial" w:hAnsi="Arial"/>
          <w:sz w:val="17"/>
          <w:szCs w:val="17"/>
          <w:color w:val="auto"/>
        </w:rPr>
        <w:t xml:space="preserve"> . </w:t>
      </w:r>
      <w:r>
        <w:rPr>
          <w:rFonts w:ascii="Arial" w:cs="Arial" w:eastAsia="Arial" w:hAnsi="Arial"/>
          <w:sz w:val="17"/>
          <w:szCs w:val="17"/>
          <w:u w:val="single" w:color="auto"/>
          <w:color w:val="auto"/>
        </w:rPr>
        <w:t>Stats</w:t>
      </w:r>
      <w:r>
        <w:rPr>
          <w:rFonts w:ascii="Arial" w:cs="Arial" w:eastAsia="Arial" w:hAnsi="Arial"/>
          <w:sz w:val="17"/>
          <w:szCs w:val="17"/>
          <w:color w:val="auto"/>
        </w:rPr>
        <w:t xml:space="preserve">.; Title VII of The Civil Rights Act of 1964, as amended, 42 U.S.C. § 2000e,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Age Discrimination in Employment Act, 29 U.S.C. § 621 </w:t>
      </w:r>
      <w:r>
        <w:rPr>
          <w:rFonts w:ascii="Arial" w:cs="Arial" w:eastAsia="Arial" w:hAnsi="Arial"/>
          <w:sz w:val="17"/>
          <w:szCs w:val="17"/>
          <w:u w:val="single" w:color="auto"/>
          <w:color w:val="auto"/>
        </w:rPr>
        <w:t>et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seq</w:t>
      </w:r>
      <w:r>
        <w:rPr>
          <w:rFonts w:ascii="Arial" w:cs="Arial" w:eastAsia="Arial" w:hAnsi="Arial"/>
          <w:sz w:val="17"/>
          <w:szCs w:val="17"/>
          <w:color w:val="auto"/>
        </w:rPr>
        <w:t>.; and the common law of Wisconsin. This release includes any and all matters in connection with or relating in any way to Mr. Hoffman’s employment with the Company and his departure from the Company, provided, however, that nothing herein shall release, diminish, or otherwise affect Mr. Hoffman’s vested benefits. Notwithstanding the foregoing, this release excludes any claims: (a) arising after the execution of this Agreement; (b) to enforce the terms of this Agreement; or (c) for rights to indemnification Mr. Hoffman may have pursuant to the Company’s Bylaws, Articles of Incorporation or applicable laws.</w:t>
      </w:r>
    </w:p>
    <w:p>
      <w:pPr>
        <w:spacing w:after="0" w:line="121" w:lineRule="exact"/>
        <w:rPr>
          <w:sz w:val="20"/>
          <w:szCs w:val="20"/>
          <w:color w:val="auto"/>
        </w:rPr>
      </w:pPr>
    </w:p>
    <w:p>
      <w:pPr>
        <w:ind w:left="420" w:hanging="367"/>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w:t>
      </w:r>
    </w:p>
    <w:p>
      <w:pPr>
        <w:spacing w:after="0" w:line="364" w:lineRule="exact"/>
        <w:rPr>
          <w:sz w:val="20"/>
          <w:szCs w:val="20"/>
          <w:color w:val="auto"/>
        </w:rPr>
      </w:pPr>
    </w:p>
    <w:p>
      <w:pPr>
        <w:ind w:firstLine="324"/>
        <w:spacing w:after="0" w:line="496" w:lineRule="auto"/>
        <w:rPr>
          <w:sz w:val="20"/>
          <w:szCs w:val="20"/>
          <w:color w:val="auto"/>
        </w:rPr>
      </w:pPr>
      <w:r>
        <w:rPr>
          <w:rFonts w:ascii="Arial" w:cs="Arial" w:eastAsia="Arial" w:hAnsi="Arial"/>
          <w:sz w:val="18"/>
          <w:szCs w:val="18"/>
          <w:color w:val="auto"/>
        </w:rPr>
        <w:t>Mr. Hoffman and the Company agree that this Agreement shall not constitute an admission by the Company that it has acted wrongfully with respect to Mr. Hoffman or that it has discriminated against him or against any other individual.</w:t>
      </w:r>
    </w:p>
    <w:p>
      <w:pPr>
        <w:spacing w:after="0" w:line="113"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Agreement</w:t>
      </w:r>
    </w:p>
    <w:p>
      <w:pPr>
        <w:spacing w:after="0" w:line="364" w:lineRule="exact"/>
        <w:rPr>
          <w:sz w:val="20"/>
          <w:szCs w:val="20"/>
          <w:color w:val="auto"/>
        </w:rPr>
      </w:pPr>
    </w:p>
    <w:p>
      <w:pPr>
        <w:jc w:val="both"/>
        <w:ind w:firstLine="324"/>
        <w:spacing w:after="0" w:line="478" w:lineRule="auto"/>
        <w:rPr>
          <w:sz w:val="20"/>
          <w:szCs w:val="20"/>
          <w:color w:val="auto"/>
        </w:rPr>
      </w:pPr>
      <w:r>
        <w:rPr>
          <w:rFonts w:ascii="Arial" w:cs="Arial" w:eastAsia="Arial" w:hAnsi="Arial"/>
          <w:sz w:val="18"/>
          <w:szCs w:val="18"/>
          <w:color w:val="auto"/>
        </w:rPr>
        <w:t>Except as permitted below, Mr. Hoffman hereby agrees to keep the terms of this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pacing w:after="0" w:line="130" w:lineRule="exact"/>
        <w:rPr>
          <w:sz w:val="20"/>
          <w:szCs w:val="20"/>
          <w:color w:val="auto"/>
        </w:rPr>
      </w:pPr>
    </w:p>
    <w:p>
      <w:pPr>
        <w:ind w:left="540" w:hanging="487"/>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364" w:lineRule="exact"/>
        <w:rPr>
          <w:sz w:val="20"/>
          <w:szCs w:val="20"/>
          <w:color w:val="auto"/>
        </w:rPr>
      </w:pPr>
    </w:p>
    <w:p>
      <w:pPr>
        <w:ind w:right="20" w:firstLine="324"/>
        <w:spacing w:after="0" w:line="496" w:lineRule="auto"/>
        <w:rPr>
          <w:sz w:val="20"/>
          <w:szCs w:val="20"/>
          <w:color w:val="auto"/>
        </w:rPr>
      </w:pPr>
      <w:r>
        <w:rPr>
          <w:rFonts w:ascii="Arial" w:cs="Arial" w:eastAsia="Arial" w:hAnsi="Arial"/>
          <w:sz w:val="18"/>
          <w:szCs w:val="18"/>
          <w:color w:val="auto"/>
        </w:rPr>
        <w:t>Mr. Hoffman agrees that at no time will he make disparaging remarks about the Company, its officers, directors, or employees, its products or practices including, but not limited to, its personnel practices.</w:t>
      </w:r>
    </w:p>
    <w:p>
      <w:pPr>
        <w:sectPr>
          <w:pgSz w:w="11900" w:h="16838" w:orient="portrait"/>
          <w:cols w:equalWidth="0" w:num="1">
            <w:col w:w="11420"/>
          </w:cols>
          <w:pgMar w:left="240" w:top="675" w:right="239" w:bottom="1440" w:gutter="0" w:footer="0" w:header="0"/>
        </w:sectPr>
      </w:pPr>
    </w:p>
    <w:bookmarkStart w:id="40" w:name="page41"/>
    <w:bookmarkEnd w:id="40"/>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364" w:lineRule="exact"/>
        <w:rPr>
          <w:sz w:val="20"/>
          <w:szCs w:val="20"/>
          <w:color w:val="auto"/>
        </w:rPr>
      </w:pPr>
    </w:p>
    <w:p>
      <w:pPr>
        <w:jc w:val="both"/>
        <w:ind w:firstLine="324"/>
        <w:spacing w:after="0" w:line="476" w:lineRule="auto"/>
        <w:rPr>
          <w:sz w:val="20"/>
          <w:szCs w:val="20"/>
          <w:color w:val="auto"/>
        </w:rPr>
      </w:pPr>
      <w:r>
        <w:rPr>
          <w:rFonts w:ascii="Arial" w:cs="Arial" w:eastAsia="Arial" w:hAnsi="Arial"/>
          <w:sz w:val="18"/>
          <w:szCs w:val="18"/>
          <w:color w:val="auto"/>
        </w:rPr>
        <w:t>Mr. Hoffman and the Company specifically agree that the payments under paragraph 3 above shall be deemed to fully satisfy any obligation the Company may have to provide salary payments to Mr. Hoffman under any Confidential Information or Non-Compete Agreement he may have signed. All Confidentiality, Non-Solicitation and Non-Compete restrictions and responsibilities to which Mr. Hoffman will be subject after execution of this Agreement are set forth in this Paragraph 9. In addition, and as further consideration for this Agreement, Mr. Hoffman agrees to, understands and acknowledges the following:</w:t>
      </w:r>
    </w:p>
    <w:p>
      <w:pPr>
        <w:spacing w:after="0" w:line="135" w:lineRule="exact"/>
        <w:rPr>
          <w:sz w:val="20"/>
          <w:szCs w:val="20"/>
          <w:color w:val="auto"/>
        </w:rPr>
      </w:pPr>
    </w:p>
    <w:p>
      <w:pPr>
        <w:jc w:val="both"/>
        <w:ind w:firstLine="332"/>
        <w:spacing w:after="0" w:line="497" w:lineRule="auto"/>
        <w:tabs>
          <w:tab w:leader="none" w:pos="582"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Mr. Hoffman’s employment with the Company, he was provided with Confidential Information relating to the Company, its business and clients, the disclosure or misuse of which would cause severe and irreparable harm to the Company. Mr. Hoffman agrees that all Confidential Information is and shall remain the sole and absolute property of the Company. Upon the Termination Date, Mr. Hoffman shall immediately return to the Company all documents and materials that contain or constitute Confidential Information, in any form whatsoever, including but not limited to, all copies, abstracts, electronic versions, and summaries thereof. Mr. Hoffman further agrees that, without the written approval of the Board of Directors of the Company, he will not disclose, use, copy or duplicate, or otherwise permit the use, disclosure, copying or duplication of any Confidential Information of the Company. Mr. Hoffman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3" w:lineRule="exact"/>
        <w:rPr>
          <w:rFonts w:ascii="Arial" w:cs="Arial" w:eastAsia="Arial" w:hAnsi="Arial"/>
          <w:sz w:val="17"/>
          <w:szCs w:val="17"/>
          <w:color w:val="auto"/>
        </w:rPr>
      </w:pPr>
    </w:p>
    <w:p>
      <w:pPr>
        <w:ind w:left="660" w:firstLine="78"/>
        <w:spacing w:after="0" w:line="497" w:lineRule="auto"/>
        <w:tabs>
          <w:tab w:leader="none" w:pos="994" w:val="left"/>
        </w:tabs>
        <w:numPr>
          <w:ilvl w:val="2"/>
          <w:numId w:val="18"/>
        </w:numPr>
        <w:rPr>
          <w:rFonts w:ascii="Arial" w:cs="Arial" w:eastAsia="Arial" w:hAnsi="Arial"/>
          <w:sz w:val="17"/>
          <w:szCs w:val="17"/>
          <w:color w:val="auto"/>
        </w:rPr>
      </w:pPr>
      <w:r>
        <w:rPr>
          <w:rFonts w:ascii="Arial" w:cs="Arial" w:eastAsia="Arial" w:hAnsi="Arial"/>
          <w:sz w:val="17"/>
          <w:szCs w:val="17"/>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ind w:left="660" w:hanging="4"/>
        <w:spacing w:after="0" w:line="469" w:lineRule="auto"/>
        <w:tabs>
          <w:tab w:leader="none" w:pos="9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 w:lineRule="exact"/>
        <w:rPr>
          <w:rFonts w:ascii="Arial" w:cs="Arial" w:eastAsia="Arial" w:hAnsi="Arial"/>
          <w:sz w:val="18"/>
          <w:szCs w:val="18"/>
          <w:color w:val="auto"/>
        </w:rPr>
      </w:pPr>
    </w:p>
    <w:p>
      <w:pPr>
        <w:jc w:val="both"/>
        <w:ind w:left="660" w:hanging="4"/>
        <w:spacing w:after="0" w:line="469" w:lineRule="auto"/>
        <w:tabs>
          <w:tab w:leader="none" w:pos="97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 w:lineRule="exact"/>
        <w:rPr>
          <w:rFonts w:ascii="Arial" w:cs="Arial" w:eastAsia="Arial" w:hAnsi="Arial"/>
          <w:sz w:val="18"/>
          <w:szCs w:val="18"/>
          <w:color w:val="auto"/>
        </w:rPr>
      </w:pPr>
    </w:p>
    <w:p>
      <w:pPr>
        <w:jc w:val="both"/>
        <w:ind w:left="660" w:hanging="4"/>
        <w:spacing w:after="0" w:line="483" w:lineRule="auto"/>
        <w:tabs>
          <w:tab w:leader="none" w:pos="9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ectPr>
          <w:pgSz w:w="11900" w:h="16838" w:orient="portrait"/>
          <w:cols w:equalWidth="0" w:num="1">
            <w:col w:w="11420"/>
          </w:cols>
          <w:pgMar w:left="240" w:top="675" w:right="239" w:bottom="1440" w:gutter="0" w:footer="0" w:header="0"/>
        </w:sectPr>
      </w:pPr>
    </w:p>
    <w:bookmarkStart w:id="41" w:name="page42"/>
    <w:bookmarkEnd w:id="41"/>
    <w:p>
      <w:pPr>
        <w:ind w:left="660" w:right="20" w:hanging="4"/>
        <w:spacing w:after="0" w:line="528" w:lineRule="auto"/>
        <w:tabs>
          <w:tab w:leader="none" w:pos="927" w:val="left"/>
        </w:tabs>
        <w:numPr>
          <w:ilvl w:val="1"/>
          <w:numId w:val="19"/>
        </w:numPr>
        <w:rPr>
          <w:rFonts w:ascii="Arial" w:cs="Arial" w:eastAsia="Arial" w:hAnsi="Arial"/>
          <w:sz w:val="16"/>
          <w:szCs w:val="16"/>
          <w:color w:val="auto"/>
        </w:rPr>
      </w:pPr>
      <w:r>
        <w:rPr>
          <w:rFonts w:ascii="Arial" w:cs="Arial" w:eastAsia="Arial" w:hAnsi="Arial"/>
          <w:sz w:val="16"/>
          <w:szCs w:val="16"/>
          <w:color w:val="auto"/>
        </w:rPr>
        <w:t>other confidential and proprietary information or documents relating to the Company’s products, business and marketing plans and techniques, strategic plans, sales and distribution networks and any other information or documents which the Company protects as being confidential.</w:t>
      </w:r>
    </w:p>
    <w:p>
      <w:pPr>
        <w:jc w:val="both"/>
        <w:ind w:firstLine="332"/>
        <w:spacing w:after="0" w:line="528" w:lineRule="auto"/>
        <w:tabs>
          <w:tab w:leader="none" w:pos="7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Hoffman further agrees that, without the written approval of the Board of Directors of the Company, he shall not engage in any of the conduct described in subsection (i)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 w:lineRule="exact"/>
        <w:rPr>
          <w:rFonts w:ascii="Arial" w:cs="Arial" w:eastAsia="Arial" w:hAnsi="Arial"/>
          <w:sz w:val="16"/>
          <w:szCs w:val="16"/>
          <w:color w:val="auto"/>
        </w:rPr>
      </w:pPr>
    </w:p>
    <w:p>
      <w:pPr>
        <w:ind w:left="1060" w:hanging="404"/>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a period of twelve (12) months following the Termination Date, Mr. Hoffman will not:</w:t>
      </w:r>
    </w:p>
    <w:p>
      <w:pPr>
        <w:spacing w:after="0" w:line="198" w:lineRule="exact"/>
        <w:rPr>
          <w:rFonts w:ascii="Arial" w:cs="Arial" w:eastAsia="Arial" w:hAnsi="Arial"/>
          <w:sz w:val="18"/>
          <w:szCs w:val="18"/>
          <w:color w:val="auto"/>
        </w:rPr>
      </w:pPr>
    </w:p>
    <w:p>
      <w:pPr>
        <w:ind w:left="1360" w:hanging="299"/>
        <w:spacing w:after="0"/>
        <w:tabs>
          <w:tab w:leader="none" w:pos="13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perform duties as or for a Competitor; or</w:t>
      </w:r>
    </w:p>
    <w:p>
      <w:pPr>
        <w:spacing w:after="0" w:line="198" w:lineRule="exact"/>
        <w:rPr>
          <w:rFonts w:ascii="Arial" w:cs="Arial" w:eastAsia="Arial" w:hAnsi="Arial"/>
          <w:sz w:val="18"/>
          <w:szCs w:val="18"/>
          <w:color w:val="auto"/>
        </w:rPr>
      </w:pPr>
    </w:p>
    <w:p>
      <w:pPr>
        <w:ind w:left="1360" w:hanging="299"/>
        <w:spacing w:after="0"/>
        <w:tabs>
          <w:tab w:leader="none" w:pos="13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participate in the inducement of or otherwise encourage Company employees, clients, or vendors to currently and/or prospectively breach,</w:t>
      </w:r>
    </w:p>
    <w:p>
      <w:pPr>
        <w:spacing w:after="0" w:line="221" w:lineRule="exact"/>
        <w:rPr>
          <w:sz w:val="20"/>
          <w:szCs w:val="20"/>
          <w:color w:val="auto"/>
        </w:rPr>
      </w:pPr>
    </w:p>
    <w:p>
      <w:pPr>
        <w:ind w:left="1060"/>
        <w:spacing w:after="0" w:line="469" w:lineRule="auto"/>
        <w:rPr>
          <w:sz w:val="20"/>
          <w:szCs w:val="20"/>
          <w:color w:val="auto"/>
        </w:rPr>
      </w:pPr>
      <w:r>
        <w:rPr>
          <w:rFonts w:ascii="Arial" w:cs="Arial" w:eastAsia="Arial" w:hAnsi="Arial"/>
          <w:sz w:val="18"/>
          <w:szCs w:val="18"/>
          <w:color w:val="auto"/>
        </w:rPr>
        <w:t>modify, or terminate any agreement or relationship they have or had with Company during any part of the twenty-four (24) month period preceding the Termination Date.</w:t>
      </w:r>
    </w:p>
    <w:p>
      <w:pPr>
        <w:spacing w:after="0" w:line="1"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 xml:space="preserve">For purposes of this Agreement, a Competitor shall mean </w:t>
      </w:r>
      <w:r>
        <w:rPr>
          <w:rFonts w:ascii="Arial" w:cs="Arial" w:eastAsia="Arial" w:hAnsi="Arial"/>
          <w:sz w:val="18"/>
          <w:szCs w:val="18"/>
          <w:color w:val="555555"/>
        </w:rPr>
        <w:t>Panduit, TE Connectivity, 3M, Identco, Masterlock, Zebra, Schreiner, Hellerman Tyton,</w:t>
      </w:r>
      <w:r>
        <w:rPr>
          <w:rFonts w:ascii="Arial" w:cs="Arial" w:eastAsia="Arial" w:hAnsi="Arial"/>
          <w:sz w:val="18"/>
          <w:szCs w:val="18"/>
          <w:color w:val="auto"/>
        </w:rPr>
        <w:t xml:space="preserve"> </w:t>
      </w:r>
      <w:r>
        <w:rPr>
          <w:rFonts w:ascii="Arial" w:cs="Arial" w:eastAsia="Arial" w:hAnsi="Arial"/>
          <w:sz w:val="18"/>
          <w:szCs w:val="18"/>
          <w:color w:val="555555"/>
        </w:rPr>
        <w:t xml:space="preserve">Worldmark, Xpressmyself.com and Accuform, and </w:t>
      </w:r>
      <w:r>
        <w:rPr>
          <w:rFonts w:ascii="Arial" w:cs="Arial" w:eastAsia="Arial" w:hAnsi="Arial"/>
          <w:sz w:val="18"/>
          <w:szCs w:val="18"/>
          <w:color w:val="000000"/>
        </w:rPr>
        <w:t>any corporation, person, firm or organization (or division or part thereof) engaged in or about to become</w:t>
      </w:r>
      <w:r>
        <w:rPr>
          <w:rFonts w:ascii="Arial" w:cs="Arial" w:eastAsia="Arial" w:hAnsi="Arial"/>
          <w:sz w:val="18"/>
          <w:szCs w:val="18"/>
          <w:color w:val="555555"/>
        </w:rPr>
        <w:t xml:space="preserve"> </w:t>
      </w:r>
      <w:r>
        <w:rPr>
          <w:rFonts w:ascii="Arial" w:cs="Arial" w:eastAsia="Arial" w:hAnsi="Arial"/>
          <w:sz w:val="18"/>
          <w:szCs w:val="18"/>
          <w:color w:val="000000"/>
        </w:rPr>
        <w:t xml:space="preserve">engaged in research and development work on, or the production and/or sale of </w:t>
      </w:r>
      <w:r>
        <w:rPr>
          <w:rFonts w:ascii="Arial" w:cs="Arial" w:eastAsia="Arial" w:hAnsi="Arial"/>
          <w:sz w:val="18"/>
          <w:szCs w:val="18"/>
          <w:color w:val="555555"/>
        </w:rPr>
        <w:t>high performance or industrial labeling, wire marking and/or safety</w:t>
      </w:r>
      <w:r>
        <w:rPr>
          <w:rFonts w:ascii="Arial" w:cs="Arial" w:eastAsia="Arial" w:hAnsi="Arial"/>
          <w:sz w:val="18"/>
          <w:szCs w:val="18"/>
          <w:color w:val="000000"/>
        </w:rPr>
        <w:t xml:space="preserve"> </w:t>
      </w:r>
      <w:r>
        <w:rPr>
          <w:rFonts w:ascii="Arial" w:cs="Arial" w:eastAsia="Arial" w:hAnsi="Arial"/>
          <w:sz w:val="18"/>
          <w:szCs w:val="18"/>
          <w:color w:val="555555"/>
        </w:rPr>
        <w:t>identification products</w:t>
      </w:r>
      <w:r>
        <w:rPr>
          <w:rFonts w:ascii="Arial" w:cs="Arial" w:eastAsia="Arial" w:hAnsi="Arial"/>
          <w:sz w:val="18"/>
          <w:szCs w:val="18"/>
          <w:color w:val="000000"/>
        </w:rPr>
        <w:t>.</w:t>
      </w:r>
    </w:p>
    <w:p>
      <w:pPr>
        <w:spacing w:after="0" w:line="3" w:lineRule="exact"/>
        <w:rPr>
          <w:sz w:val="20"/>
          <w:szCs w:val="20"/>
          <w:color w:val="auto"/>
        </w:rPr>
      </w:pPr>
    </w:p>
    <w:p>
      <w:pPr>
        <w:jc w:val="both"/>
        <w:ind w:firstLine="332"/>
        <w:spacing w:after="0" w:line="497"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Hoffman acknowledges and agrees that compliance with this paragraph 9 is necessary to protect the Company, and that a breach of any portion of this paragraph 9 will result in irreparable and continuing damage to the Company for which there will be no adequate remedy at law. In the event of a breach of this paragraph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paragraph 9, or to enjoin Mr. Hoffman from performing services in breach of paragraph 9(b) during the term of employment and for a period of twelve (12) months following the Termination Date. Mr. Hoffman hereby agrees to submit to the jurisdiction of any Court of competent jurisdiction in any disputes that arise under this Agreement.</w:t>
      </w:r>
    </w:p>
    <w:p>
      <w:pPr>
        <w:spacing w:after="0" w:line="2" w:lineRule="exact"/>
        <w:rPr>
          <w:rFonts w:ascii="Arial" w:cs="Arial" w:eastAsia="Arial" w:hAnsi="Arial"/>
          <w:sz w:val="17"/>
          <w:szCs w:val="17"/>
          <w:color w:val="auto"/>
        </w:rPr>
      </w:pPr>
    </w:p>
    <w:p>
      <w:pPr>
        <w:ind w:firstLine="332"/>
        <w:spacing w:after="0" w:line="467"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Hoffman further agrees that, in the event of a breach of this paragraph 9, the Company shall also be entitled to recover the value of any amounts previously paid or payable under this Agreement.</w:t>
      </w:r>
    </w:p>
    <w:p>
      <w:pPr>
        <w:jc w:val="both"/>
        <w:ind w:firstLine="332"/>
        <w:spacing w:after="0" w:line="510" w:lineRule="auto"/>
        <w:tabs>
          <w:tab w:leader="none" w:pos="73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MR. HOFFMAN HAS READ THIS PARAGRAPH 9 AND AGREES THAT THE CONSIDERATION PROVIDED BY THE COMPANY IS FAIR AND REASONABLE AND FURTHER AGREES THAT GIVEN THE IMPORTANCE TO THE COMPANY OF ITS CONFIDENTIAL AND PROPRIETARY INFORMATION, THE FOREGOING RESTRICTIONS ON HIS ACTIVITIES ARE LIKEWISE FAIR AND REASONABLE</w:t>
      </w:r>
      <w:r>
        <w:rPr>
          <w:rFonts w:ascii="Arial" w:cs="Arial" w:eastAsia="Arial" w:hAnsi="Arial"/>
          <w:sz w:val="18"/>
          <w:szCs w:val="18"/>
          <w:color w:val="auto"/>
        </w:rPr>
        <w:t>.</w:t>
      </w:r>
    </w:p>
    <w:p>
      <w:pPr>
        <w:sectPr>
          <w:pgSz w:w="11900" w:h="16838" w:orient="portrait"/>
          <w:cols w:equalWidth="0" w:num="1">
            <w:col w:w="11420"/>
          </w:cols>
          <w:pgMar w:left="240" w:top="679" w:right="239" w:bottom="1440" w:gutter="0" w:footer="0" w:header="0"/>
        </w:sectPr>
      </w:pPr>
    </w:p>
    <w:bookmarkStart w:id="42" w:name="page43"/>
    <w:bookmarkEnd w:id="42"/>
    <w:p>
      <w:pPr>
        <w:ind w:left="540" w:hanging="532"/>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364" w:lineRule="exact"/>
        <w:rPr>
          <w:sz w:val="20"/>
          <w:szCs w:val="20"/>
          <w:color w:val="auto"/>
        </w:rPr>
      </w:pPr>
    </w:p>
    <w:p>
      <w:pPr>
        <w:jc w:val="both"/>
        <w:ind w:firstLine="324"/>
        <w:spacing w:after="0" w:line="483" w:lineRule="auto"/>
        <w:rPr>
          <w:sz w:val="20"/>
          <w:szCs w:val="20"/>
          <w:color w:val="auto"/>
        </w:rPr>
      </w:pPr>
      <w:r>
        <w:rPr>
          <w:rFonts w:ascii="Arial" w:cs="Arial" w:eastAsia="Arial" w:hAnsi="Arial"/>
          <w:sz w:val="18"/>
          <w:szCs w:val="18"/>
          <w:color w:val="auto"/>
        </w:rPr>
        <w:t>If Mr. Hoffman should die while any amounts are still payable to him pursuant to this Agreement, all such amounts, unless otherwise provided herein, shall be paid in accordance with the terms of this Agreement to Mr. Hoffman’s devisee, legatee, or other designee, or if there be no such designee, to his estate.</w:t>
      </w:r>
    </w:p>
    <w:p>
      <w:pPr>
        <w:spacing w:after="0" w:line="124" w:lineRule="exact"/>
        <w:rPr>
          <w:sz w:val="20"/>
          <w:szCs w:val="20"/>
          <w:color w:val="auto"/>
        </w:rPr>
      </w:pPr>
    </w:p>
    <w:p>
      <w:pPr>
        <w:ind w:left="540" w:hanging="487"/>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p>
    <w:p>
      <w:pPr>
        <w:spacing w:after="0" w:line="364" w:lineRule="exact"/>
        <w:rPr>
          <w:sz w:val="20"/>
          <w:szCs w:val="20"/>
          <w:color w:val="auto"/>
        </w:rPr>
      </w:pPr>
    </w:p>
    <w:p>
      <w:pPr>
        <w:jc w:val="both"/>
        <w:ind w:firstLine="324"/>
        <w:spacing w:after="0" w:line="503" w:lineRule="auto"/>
        <w:rPr>
          <w:sz w:val="20"/>
          <w:szCs w:val="20"/>
          <w:color w:val="auto"/>
        </w:rPr>
      </w:pPr>
      <w:r>
        <w:rPr>
          <w:rFonts w:ascii="Arial" w:cs="Arial" w:eastAsia="Arial" w:hAnsi="Arial"/>
          <w:sz w:val="17"/>
          <w:szCs w:val="17"/>
          <w:color w:val="auto"/>
        </w:rPr>
        <w:t>The intent of the parties is that the payments and benefits under this Agreement comply with or be exempt from Section 409A of the Internal Revenue Code of 1986, as amended, and the regulations and guidance promulgated thereunder (collectively, “Section 409A”) and, accordingly, to the maximum extent permitted, this Agreement shall be interpreted to be in compliance therewith. If Mr. Hoffman or the Company believes, at any time, that any payment pursuant to this Agreement is subject to taxation under Section 409A of the Code, then (i) it shall advise the other and (ii) to the extent such correction is possible to avoid taxation under Section 409A without any material diminution in the value of the payments or benefits to Mr. Hoffman, the Company and Mr. Hoffman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under Section 409A.</w:t>
      </w:r>
    </w:p>
    <w:p>
      <w:pPr>
        <w:spacing w:after="0" w:line="126" w:lineRule="exact"/>
        <w:rPr>
          <w:sz w:val="20"/>
          <w:szCs w:val="20"/>
          <w:color w:val="auto"/>
        </w:rPr>
      </w:pPr>
    </w:p>
    <w:p>
      <w:pPr>
        <w:jc w:val="both"/>
        <w:ind w:firstLine="324"/>
        <w:spacing w:after="0" w:line="478" w:lineRule="auto"/>
        <w:rPr>
          <w:sz w:val="20"/>
          <w:szCs w:val="20"/>
          <w:color w:val="auto"/>
        </w:rPr>
      </w:pPr>
      <w:r>
        <w:rPr>
          <w:rFonts w:ascii="Arial" w:cs="Arial" w:eastAsia="Arial" w:hAnsi="Arial"/>
          <w:sz w:val="18"/>
          <w:szCs w:val="18"/>
          <w:color w:val="auto"/>
        </w:rPr>
        <w:t>Notwithstanding anything contained herein to the contrary, if at Mr. Hoffman’s separation from service, (a) he is a specified employee as defined in Section 409A and (b) 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30" w:lineRule="exact"/>
        <w:rPr>
          <w:sz w:val="20"/>
          <w:szCs w:val="20"/>
          <w:color w:val="auto"/>
        </w:rPr>
      </w:pPr>
    </w:p>
    <w:p>
      <w:pPr>
        <w:ind w:left="540" w:hanging="487"/>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364" w:lineRule="exact"/>
        <w:rPr>
          <w:sz w:val="20"/>
          <w:szCs w:val="20"/>
          <w:color w:val="auto"/>
        </w:rPr>
      </w:pPr>
    </w:p>
    <w:p>
      <w:pPr>
        <w:jc w:val="both"/>
        <w:ind w:firstLine="324"/>
        <w:spacing w:after="0" w:line="476" w:lineRule="auto"/>
        <w:rPr>
          <w:sz w:val="20"/>
          <w:szCs w:val="20"/>
          <w:color w:val="auto"/>
        </w:rPr>
      </w:pPr>
      <w:r>
        <w:rPr>
          <w:rFonts w:ascii="Arial" w:cs="Arial" w:eastAsia="Arial" w:hAnsi="Arial"/>
          <w:sz w:val="18"/>
          <w:szCs w:val="18"/>
          <w:color w:val="auto"/>
        </w:rPr>
        <w:t>This Severance and Release Agreement sets forth the entire agreement between the parties and fully supersedes any and all prior agreements or understandings between Mr. Hoffman and the Company. Mr. Hoffman acknowledges that he is hereby advised to seek legal counsel before signing this Agreement, that he has twenty-one (21) days to consider this Agreement, that upon his acceptance he has seven (7) days to revoke his acceptance, and that this Agreement will not become effective until that seven (7) day period has expired. Mr. Hoffman agrees that he has read, understands and voluntarily accepts its terms.</w:t>
      </w:r>
    </w:p>
    <w:p>
      <w:pPr>
        <w:sectPr>
          <w:pgSz w:w="11900" w:h="16838" w:orient="portrait"/>
          <w:cols w:equalWidth="0" w:num="1">
            <w:col w:w="11420"/>
          </w:cols>
          <w:pgMar w:left="240" w:top="67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Effective Date above listed.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March, 25, 2014</w:t>
            </w:r>
          </w:p>
        </w:tc>
        <w:tc>
          <w:tcPr>
            <w:tcW w:w="22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/s/ SCOTT HOFFMAN</w:t>
            </w:r>
          </w:p>
        </w:tc>
      </w:tr>
      <w:tr>
        <w:trPr>
          <w:trHeight w:val="27"/>
        </w:trPr>
        <w:tc>
          <w:tcPr>
            <w:tcW w:w="270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Date</w:t>
            </w:r>
          </w:p>
        </w:tc>
        <w:tc>
          <w:tcPr>
            <w:tcW w:w="22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Scott Hoffman</w:t>
            </w:r>
          </w:p>
        </w:tc>
      </w:tr>
      <w:tr>
        <w:trPr>
          <w:trHeight w:val="864"/>
        </w:trPr>
        <w:tc>
          <w:tcPr>
            <w:tcW w:w="2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Brady Corporation</w:t>
            </w: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April 1, 2014</w:t>
            </w:r>
          </w:p>
        </w:tc>
        <w:tc>
          <w:tcPr>
            <w:tcW w:w="6220" w:type="dxa"/>
            <w:vAlign w:val="bottom"/>
            <w:gridSpan w:val="2"/>
          </w:tcPr>
          <w:p>
            <w:pPr>
              <w:ind w:left="1900"/>
              <w:spacing w:after="0"/>
              <w:rPr>
                <w:sz w:val="20"/>
                <w:szCs w:val="20"/>
                <w:color w:val="auto"/>
              </w:rPr>
            </w:pPr>
            <w:r>
              <w:rPr>
                <w:rFonts w:ascii="Arial" w:cs="Arial" w:eastAsia="Arial" w:hAnsi="Arial"/>
                <w:sz w:val="18"/>
                <w:szCs w:val="18"/>
                <w:color w:val="auto"/>
              </w:rPr>
              <w:t>By: /s/ THOMAS J. FELMER</w:t>
            </w:r>
          </w:p>
        </w:tc>
      </w:tr>
      <w:tr>
        <w:trPr>
          <w:trHeight w:val="27"/>
        </w:trPr>
        <w:tc>
          <w:tcPr>
            <w:tcW w:w="270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Date</w:t>
            </w:r>
          </w:p>
        </w:tc>
        <w:tc>
          <w:tcPr>
            <w:tcW w:w="220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Its Authorized Representative</w:t>
            </w:r>
          </w:p>
        </w:tc>
      </w:tr>
    </w:tbl>
    <w:p>
      <w:pPr>
        <w:sectPr>
          <w:pgSz w:w="11900" w:h="16838" w:orient="portrait"/>
          <w:cols w:equalWidth="0" w:num="1">
            <w:col w:w="10219"/>
          </w:cols>
          <w:pgMar w:left="240" w:top="1080"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21,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1.1 For periods prior to calendar year 2005, Brady Corporation has maintained the Brady Corporation Directors’ Deferred Compensation Plan by means of a series of individual deferred compensation agreements with covered directors. This amended and restated document shall apply to those prior agreements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amended and restated, effective as of May 21, 2014, to revise and clarify certain Plan terms related to the transfer of amounts between investment funds.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225" w:lineRule="exact"/>
        <w:rPr>
          <w:sz w:val="20"/>
          <w:szCs w:val="20"/>
          <w:color w:val="auto"/>
        </w:rPr>
      </w:pPr>
    </w:p>
    <w:p>
      <w:pPr>
        <w:jc w:val="both"/>
        <w:ind w:right="2900" w:firstLine="648"/>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Beneficiary</w:t>
      </w:r>
      <w:r>
        <w:rPr>
          <w:rFonts w:ascii="Arial" w:cs="Arial" w:eastAsia="Arial" w:hAnsi="Arial"/>
          <w:sz w:val="17"/>
          <w:szCs w:val="17"/>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October 1 following the Payment Event. For distribution elections prior to February 17, 2011, the Distribution Date was the quarterly date specified by the Participant upon which distribution would be made or commenced following the Participant’s Separation from Service or the In-Service Payment Event Date, as the case may be. All distribution elections in effect on February 17, 2011 shall remain in effect unless the Participant consents to a Distribution Date that is the October 1 following the Participant's Payment Event; provided that no change in Distribution Date may change the calendar year of the distribution. If the distribution is payable other than in a single installment, subsequent installments shall be paid on anniversaries of the Distribution Date.</w:t>
      </w:r>
    </w:p>
    <w:p>
      <w:pPr>
        <w:sectPr>
          <w:pgSz w:w="11900" w:h="16838" w:orient="portrait"/>
          <w:cols w:equalWidth="0" w:num="1">
            <w:col w:w="11420"/>
          </w:cols>
          <w:pgMar w:left="240" w:top="580"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May 21, 2014. This document describes how this Plan has been administered for periods after 2004 and prior to May 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how it shall be administered for periods on and after May 21, 2014.</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In-Service Payment Event Date</w:t>
      </w:r>
      <w:r>
        <w:rPr>
          <w:rFonts w:ascii="Arial" w:cs="Arial" w:eastAsia="Arial" w:hAnsi="Arial"/>
          <w:sz w:val="18"/>
          <w:szCs w:val="18"/>
          <w:color w:val="auto"/>
        </w:rPr>
        <w:t>” means the date, if any, specified by the Participant as the reference date following which distribution of his Account shall begin. An In-Service Payment Event Date may be no earlier than January 1, 2007. For distribution elections following February 17, 2011, a Participant may not elect an In-Service Payment Event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of Brady Corporation currently eligible to make deferrals (an “Active Participant”) and any former director who previously participated in the Plan and is entitled to benefits.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Payment Event</w:t>
      </w:r>
      <w:r>
        <w:rPr>
          <w:rFonts w:ascii="Arial" w:cs="Arial" w:eastAsia="Arial" w:hAnsi="Arial"/>
          <w:sz w:val="18"/>
          <w:szCs w:val="18"/>
          <w:color w:val="auto"/>
        </w:rPr>
        <w:t>” means the date of a Participant’s Separation From Service. For distribution elections prior to February 17, 2011, a Participant could elect a Payment event that was the earlier of the date of a Participant's Separation From Service or the date the Participant specified as his In-Service Payment Event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Plan</w:t>
      </w:r>
      <w:r>
        <w:rPr>
          <w:rFonts w:ascii="Arial" w:cs="Arial" w:eastAsia="Arial" w:hAnsi="Arial"/>
          <w:sz w:val="16"/>
          <w:szCs w:val="16"/>
          <w:color w:val="auto"/>
        </w:rPr>
        <w:t>” means the Brady Corporation Directors’ Deferred Compensation Plan, as set forth herein and as it may be amended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 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Unforeseeable Emergency</w:t>
      </w:r>
      <w:r>
        <w:rPr>
          <w:rFonts w:ascii="Arial" w:cs="Arial" w:eastAsia="Arial" w:hAnsi="Arial"/>
          <w:sz w:val="17"/>
          <w:szCs w:val="17"/>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ectPr>
          <w:pgSz w:w="11900" w:h="16838" w:orient="portrait"/>
          <w:cols w:equalWidth="0" w:num="1">
            <w:col w:w="11420"/>
          </w:cols>
          <w:pgMar w:left="240" w:top="58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DEFERRALS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Deferral Elections</w:t>
      </w:r>
      <w:r>
        <w:rPr>
          <w:rFonts w:ascii="Arial" w:cs="Arial" w:eastAsia="Arial" w:hAnsi="Arial"/>
          <w:sz w:val="17"/>
          <w:szCs w:val="17"/>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The Corporation may permit a Participant to make one deferral election with respect to compensation payable in cash and a separate deferral election with respect to compensation payable in the form of Brady Corporation common stock.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to Account</w:t>
      </w:r>
      <w:r>
        <w:rPr>
          <w:rFonts w:ascii="Arial" w:cs="Arial" w:eastAsia="Arial" w:hAnsi="Arial"/>
          <w:sz w:val="18"/>
          <w:szCs w:val="18"/>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Valuation of Account.</w:t>
      </w:r>
    </w:p>
    <w:p>
      <w:pPr>
        <w:spacing w:after="0" w:line="252" w:lineRule="exact"/>
        <w:rPr>
          <w:sz w:val="20"/>
          <w:szCs w:val="20"/>
          <w:color w:val="auto"/>
        </w:rPr>
      </w:pPr>
    </w:p>
    <w:p>
      <w:pPr>
        <w:ind w:left="2160" w:hanging="855"/>
        <w:spacing w:after="0"/>
        <w:tabs>
          <w:tab w:leader="none" w:pos="2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Participant’s Account shall be credited or charged with deemed earnings or losses as if it were invested in accordance with</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paragraph (b) below.</w:t>
      </w:r>
    </w:p>
    <w:p>
      <w:pPr>
        <w:spacing w:after="0" w:line="49" w:lineRule="exact"/>
        <w:rPr>
          <w:rFonts w:ascii="Arial" w:cs="Arial" w:eastAsia="Arial" w:hAnsi="Arial"/>
          <w:sz w:val="16"/>
          <w:szCs w:val="16"/>
          <w:color w:val="auto"/>
        </w:rPr>
      </w:pPr>
    </w:p>
    <w:p>
      <w:pPr>
        <w:spacing w:after="0"/>
        <w:tabs>
          <w:tab w:leader="none" w:pos="0" w:val="left"/>
        </w:tabs>
        <w:numPr>
          <w:ilvl w:val="0"/>
          <w:numId w:val="25"/>
        </w:numPr>
        <w:rPr>
          <w:rFonts w:ascii="Arial" w:cs="Arial" w:eastAsia="Arial" w:hAnsi="Arial"/>
          <w:sz w:val="18"/>
          <w:szCs w:val="18"/>
          <w:color w:val="auto"/>
        </w:rPr>
      </w:pPr>
    </w:p>
    <w:p>
      <w:pPr>
        <w:spacing w:after="0" w:line="49" w:lineRule="exact"/>
        <w:rPr>
          <w:rFonts w:ascii="Arial" w:cs="Arial" w:eastAsia="Arial" w:hAnsi="Arial"/>
          <w:sz w:val="18"/>
          <w:szCs w:val="18"/>
          <w:color w:val="auto"/>
        </w:rPr>
      </w:pPr>
    </w:p>
    <w:p>
      <w:pPr>
        <w:jc w:val="both"/>
        <w:ind w:left="1300" w:firstLine="653"/>
        <w:spacing w:after="0" w:line="329" w:lineRule="auto"/>
        <w:tabs>
          <w:tab w:leader="none" w:pos="2766"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ectPr>
          <w:pgSz w:w="11900" w:h="16838" w:orient="portrait"/>
          <w:cols w:equalWidth="0" w:num="1">
            <w:col w:w="11420"/>
          </w:cols>
          <w:pgMar w:left="240" w:top="796" w:right="239" w:bottom="1440" w:gutter="0" w:footer="0" w:header="0"/>
        </w:sectPr>
      </w:pPr>
    </w:p>
    <w:bookmarkStart w:id="47" w:name="page48"/>
    <w:bookmarkEnd w:id="47"/>
    <w:p>
      <w:pPr>
        <w:jc w:val="both"/>
        <w:ind w:left="100" w:firstLine="653"/>
        <w:spacing w:after="0" w:line="319" w:lineRule="auto"/>
        <w:tabs>
          <w:tab w:leader="none" w:pos="1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the date credited to the Participant’s Account, deferrals shall be deemed to be invested in one or more of the investment funds designated by the Participant for such deemed investment, subject to the following rules for investments in the Brady Stock Fund: (A) deferrals of compensation payable in the form of Brady Corporation common stock shall automatically be credited to the Brady Stock Fund on the date that the stock would otherwise be issued to the Participant and (B) deferrals of cash compensation designated for investment in the Brady Stock Fund shall initially be credited to the General Investment Sub-account and transferred to the Brady Stock Sub-account on a quarterly basis.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183" w:lineRule="exact"/>
        <w:rPr>
          <w:rFonts w:ascii="Arial" w:cs="Arial" w:eastAsia="Arial" w:hAnsi="Arial"/>
          <w:sz w:val="17"/>
          <w:szCs w:val="17"/>
          <w:color w:val="auto"/>
        </w:rPr>
      </w:pPr>
    </w:p>
    <w:p>
      <w:pPr>
        <w:ind w:left="100" w:right="20" w:firstLine="653"/>
        <w:spacing w:after="0" w:line="324" w:lineRule="auto"/>
        <w:tabs>
          <w:tab w:leader="none" w:pos="16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170" w:lineRule="exact"/>
        <w:rPr>
          <w:rFonts w:ascii="Arial" w:cs="Arial" w:eastAsia="Arial" w:hAnsi="Arial"/>
          <w:sz w:val="18"/>
          <w:szCs w:val="18"/>
          <w:color w:val="auto"/>
        </w:rPr>
      </w:pPr>
    </w:p>
    <w:p>
      <w:pPr>
        <w:jc w:val="both"/>
        <w:ind w:left="100" w:firstLine="653"/>
        <w:spacing w:after="0" w:line="311" w:lineRule="auto"/>
        <w:tabs>
          <w:tab w:leader="none" w:pos="1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Fund Sub-account.</w:t>
      </w:r>
    </w:p>
    <w:p>
      <w:pPr>
        <w:spacing w:after="0" w:line="181" w:lineRule="exact"/>
        <w:rPr>
          <w:rFonts w:ascii="Arial" w:cs="Arial" w:eastAsia="Arial" w:hAnsi="Arial"/>
          <w:sz w:val="18"/>
          <w:szCs w:val="18"/>
          <w:color w:val="auto"/>
        </w:rPr>
      </w:pPr>
    </w:p>
    <w:p>
      <w:pPr>
        <w:jc w:val="both"/>
        <w:ind w:left="100" w:firstLine="653"/>
        <w:spacing w:after="0" w:line="319" w:lineRule="auto"/>
        <w:tabs>
          <w:tab w:leader="none" w:pos="160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83" w:lineRule="exact"/>
        <w:rPr>
          <w:rFonts w:ascii="Arial" w:cs="Arial" w:eastAsia="Arial" w:hAnsi="Arial"/>
          <w:sz w:val="17"/>
          <w:szCs w:val="17"/>
          <w:color w:val="auto"/>
        </w:rPr>
      </w:pPr>
    </w:p>
    <w:p>
      <w:pPr>
        <w:jc w:val="both"/>
        <w:ind w:left="100" w:firstLine="653"/>
        <w:spacing w:after="0" w:line="297" w:lineRule="auto"/>
        <w:tabs>
          <w:tab w:leader="none" w:pos="1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1" w:lineRule="exact"/>
        <w:rPr>
          <w:rFonts w:ascii="Arial" w:cs="Arial" w:eastAsia="Arial" w:hAnsi="Arial"/>
          <w:sz w:val="18"/>
          <w:szCs w:val="18"/>
          <w:color w:val="auto"/>
        </w:rPr>
      </w:pPr>
    </w:p>
    <w:p>
      <w:pPr>
        <w:jc w:val="both"/>
        <w:ind w:left="100" w:firstLine="653"/>
        <w:spacing w:after="0" w:line="311" w:lineRule="auto"/>
        <w:tabs>
          <w:tab w:leader="none" w:pos="1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81" w:lineRule="exact"/>
        <w:rPr>
          <w:rFonts w:ascii="Arial" w:cs="Arial" w:eastAsia="Arial" w:hAnsi="Arial"/>
          <w:sz w:val="18"/>
          <w:szCs w:val="18"/>
          <w:color w:val="auto"/>
        </w:rPr>
      </w:pPr>
    </w:p>
    <w:p>
      <w:pPr>
        <w:ind w:left="100" w:firstLine="653"/>
        <w:spacing w:after="0" w:line="324" w:lineRule="auto"/>
        <w:tabs>
          <w:tab w:leader="none" w:pos="17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Administrator. The Administrator may prescribe uniform percentages for such elections and designations.</w:t>
      </w:r>
    </w:p>
    <w:p>
      <w:pPr>
        <w:spacing w:after="0" w:line="170" w:lineRule="exact"/>
        <w:rPr>
          <w:rFonts w:ascii="Arial" w:cs="Arial" w:eastAsia="Arial" w:hAnsi="Arial"/>
          <w:sz w:val="18"/>
          <w:szCs w:val="18"/>
          <w:color w:val="auto"/>
        </w:rPr>
      </w:pPr>
    </w:p>
    <w:p>
      <w:pPr>
        <w:jc w:val="both"/>
        <w:ind w:left="100" w:firstLine="653"/>
        <w:spacing w:after="0" w:line="302" w:lineRule="auto"/>
        <w:tabs>
          <w:tab w:leader="none" w:pos="1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ectPr>
          <w:pgSz w:w="11900" w:h="16838" w:orient="portrait"/>
          <w:cols w:equalWidth="0" w:num="1">
            <w:col w:w="10220"/>
          </w:cols>
          <w:pgMar w:left="1440" w:top="611" w:right="239" w:bottom="1440" w:gutter="0" w:footer="0" w:header="0"/>
        </w:sectPr>
      </w:pPr>
    </w:p>
    <w:bookmarkStart w:id="48" w:name="page49"/>
    <w:bookmarkEnd w:id="48"/>
    <w:p>
      <w:pPr>
        <w:jc w:val="both"/>
        <w:ind w:left="1300" w:firstLine="653"/>
        <w:spacing w:after="0" w:line="340" w:lineRule="auto"/>
        <w:tabs>
          <w:tab w:leader="none" w:pos="2806"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subparagraph (ix) above, (a) from May 1, 2006, and prior to May 21, 2014, a Participant could not shift any amounts from his Brady Stock Sub-account to his General Investment Sub-account or vice-versa and (b) from and after May 21, 2014, (i) a Participant may shift amounts from his General Investment Sub-account to his Brady Stock Sub-account and (ii) beginning with the period six months and one day after a Participant’s Separation From Service, such Participant may shift amounts from his Brady Stock Sub-account to his General Investment Sub-account. The preceding sentence shall not apply to a Participant who has had a Separation from Service prior to May 1, 2006. A Participant shall, on or after February 16, 2006 and prior to May 1, 2006, be entitled to reallocate up to 50% of the balance of the portion of his Account attributable to pre-2004 deferrals from investments in the Brady Stock Fund to the other investment funds available hereunder; and, thereafter, the portion of such account attributable to pre-2004 deferrals held in the Brady Stock Fund must remain in the Brady Stock Fund but the director may continue to make new investment choices from among available investment funds with respect to remaining portions of that account. The preceding sentence shall not apply to a Participant who has a Separation from Service before reallocation under such sentence has taken place.</w:t>
      </w:r>
    </w:p>
    <w:p>
      <w:pPr>
        <w:spacing w:after="0" w:line="171" w:lineRule="exact"/>
        <w:rPr>
          <w:rFonts w:ascii="Arial" w:cs="Arial" w:eastAsia="Arial" w:hAnsi="Arial"/>
          <w:sz w:val="16"/>
          <w:szCs w:val="16"/>
          <w:color w:val="auto"/>
        </w:rPr>
      </w:pPr>
    </w:p>
    <w:p>
      <w:pPr>
        <w:jc w:val="both"/>
        <w:ind w:left="660" w:right="20" w:firstLine="645"/>
        <w:spacing w:after="0" w:line="264" w:lineRule="auto"/>
        <w:tabs>
          <w:tab w:leader="none" w:pos="21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shall provide annual reports to each Participant showing (a) the value of the Account as of the most recent December 31</w:t>
      </w:r>
      <w:r>
        <w:rPr>
          <w:rFonts w:ascii="Arial" w:cs="Arial" w:eastAsia="Arial" w:hAnsi="Arial"/>
          <w:sz w:val="25"/>
          <w:szCs w:val="25"/>
          <w:color w:val="auto"/>
          <w:vertAlign w:val="superscript"/>
        </w:rPr>
        <w:t>st</w:t>
      </w:r>
      <w:r>
        <w:rPr>
          <w:rFonts w:ascii="Arial" w:cs="Arial" w:eastAsia="Arial" w:hAnsi="Arial"/>
          <w:sz w:val="18"/>
          <w:szCs w:val="18"/>
          <w:color w:val="auto"/>
        </w:rPr>
        <w:t>, (b) the amount of deferral made by the Participant for the Plan Year ending on such date and (c) the amount of any investment gain or loss and the costs of administration credited or debited to the Participant’s Account.</w:t>
      </w:r>
    </w:p>
    <w:p>
      <w:pPr>
        <w:spacing w:after="0" w:line="214" w:lineRule="exact"/>
        <w:rPr>
          <w:rFonts w:ascii="Arial" w:cs="Arial" w:eastAsia="Arial" w:hAnsi="Arial"/>
          <w:sz w:val="18"/>
          <w:szCs w:val="18"/>
          <w:color w:val="auto"/>
        </w:rPr>
      </w:pPr>
    </w:p>
    <w:p>
      <w:pPr>
        <w:jc w:val="both"/>
        <w:ind w:left="660" w:firstLine="645"/>
        <w:spacing w:after="0" w:line="322" w:lineRule="auto"/>
        <w:tabs>
          <w:tab w:leader="none" w:pos="21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7"/>
          <w:szCs w:val="17"/>
          <w:u w:val="single" w:color="auto"/>
          <w:color w:val="auto"/>
        </w:rPr>
        <w:t>shall not</w:t>
      </w:r>
      <w:r>
        <w:rPr>
          <w:rFonts w:ascii="Arial" w:cs="Arial" w:eastAsia="Arial" w:hAnsi="Arial"/>
          <w:sz w:val="17"/>
          <w:szCs w:val="17"/>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Full Vesting</w:t>
      </w:r>
      <w:r>
        <w:rPr>
          <w:rFonts w:ascii="Arial" w:cs="Arial" w:eastAsia="Arial" w:hAnsi="Arial"/>
          <w:sz w:val="16"/>
          <w:szCs w:val="16"/>
          <w:color w:val="auto"/>
        </w:rPr>
        <w:t>. A Participant shall be fully vested and nonforfeitable at all times in his or her Account hereunder.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MANNER AND TIMING OF DISTRIBUTION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208" w:lineRule="exact"/>
        <w:rPr>
          <w:sz w:val="20"/>
          <w:szCs w:val="20"/>
          <w:color w:val="auto"/>
        </w:rPr>
      </w:pPr>
    </w:p>
    <w:p>
      <w:pPr>
        <w:jc w:val="both"/>
        <w:ind w:left="1300" w:firstLine="653"/>
        <w:spacing w:after="0" w:line="306" w:lineRule="auto"/>
        <w:tabs>
          <w:tab w:leader="none" w:pos="276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Single Sum</w:t>
      </w:r>
      <w:r>
        <w:rPr>
          <w:rFonts w:ascii="Arial" w:cs="Arial" w:eastAsia="Arial" w:hAnsi="Arial"/>
          <w:sz w:val="18"/>
          <w:szCs w:val="18"/>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186" w:lineRule="exact"/>
        <w:rPr>
          <w:rFonts w:ascii="Arial" w:cs="Arial" w:eastAsia="Arial" w:hAnsi="Arial"/>
          <w:sz w:val="18"/>
          <w:szCs w:val="18"/>
          <w:color w:val="auto"/>
        </w:rPr>
      </w:pPr>
    </w:p>
    <w:p>
      <w:pPr>
        <w:jc w:val="both"/>
        <w:ind w:left="1300" w:firstLine="653"/>
        <w:spacing w:after="0" w:line="349" w:lineRule="auto"/>
        <w:tabs>
          <w:tab w:leader="none" w:pos="281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Installments</w:t>
      </w:r>
      <w:r>
        <w:rPr>
          <w:rFonts w:ascii="Arial" w:cs="Arial" w:eastAsia="Arial" w:hAnsi="Arial"/>
          <w:sz w:val="16"/>
          <w:szCs w:val="16"/>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ectPr>
          <w:pgSz w:w="11900" w:h="16838" w:orient="portrait"/>
          <w:cols w:equalWidth="0" w:num="1">
            <w:col w:w="11420"/>
          </w:cols>
          <w:pgMar w:left="240" w:top="611" w:right="239" w:bottom="1440" w:gutter="0" w:footer="0" w:header="0"/>
        </w:sectPr>
      </w:pPr>
    </w:p>
    <w:bookmarkStart w:id="49" w:name="page50"/>
    <w:bookmarkEnd w:id="49"/>
    <w:p>
      <w:pPr>
        <w:jc w:val="both"/>
        <w:ind w:left="1960" w:firstLine="601"/>
        <w:spacing w:after="0" w:line="255" w:lineRule="auto"/>
        <w:tabs>
          <w:tab w:leader="none" w:pos="303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w:t>
      </w:r>
    </w:p>
    <w:p>
      <w:pPr>
        <w:spacing w:after="0" w:line="193" w:lineRule="exact"/>
        <w:rPr>
          <w:rFonts w:ascii="Arial" w:cs="Arial" w:eastAsia="Arial" w:hAnsi="Arial"/>
          <w:sz w:val="18"/>
          <w:szCs w:val="18"/>
          <w:color w:val="auto"/>
        </w:rPr>
      </w:pPr>
    </w:p>
    <w:p>
      <w:pPr>
        <w:jc w:val="both"/>
        <w:ind w:left="1960" w:firstLine="601"/>
        <w:spacing w:after="0" w:line="273" w:lineRule="auto"/>
        <w:tabs>
          <w:tab w:leader="none" w:pos="3015"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Percentage or Fixed Dollar Method</w:t>
      </w:r>
      <w:r>
        <w:rPr>
          <w:rFonts w:ascii="Arial" w:cs="Arial" w:eastAsia="Arial" w:hAnsi="Arial"/>
          <w:sz w:val="17"/>
          <w:szCs w:val="17"/>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205" w:lineRule="exact"/>
        <w:rPr>
          <w:rFonts w:ascii="Arial" w:cs="Arial" w:eastAsia="Arial" w:hAnsi="Arial"/>
          <w:sz w:val="17"/>
          <w:szCs w:val="17"/>
          <w:color w:val="auto"/>
        </w:rPr>
      </w:pPr>
    </w:p>
    <w:p>
      <w:pPr>
        <w:jc w:val="both"/>
        <w:ind w:left="1300" w:firstLine="653"/>
        <w:spacing w:after="0" w:line="306" w:lineRule="auto"/>
        <w:tabs>
          <w:tab w:leader="none" w:pos="286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 Cash or In Stock</w:t>
      </w:r>
      <w:r>
        <w:rPr>
          <w:rFonts w:ascii="Arial" w:cs="Arial" w:eastAsia="Arial" w:hAnsi="Arial"/>
          <w:sz w:val="18"/>
          <w:szCs w:val="18"/>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159" w:lineRule="exact"/>
        <w:rPr>
          <w:rFonts w:ascii="Arial" w:cs="Arial" w:eastAsia="Arial" w:hAnsi="Arial"/>
          <w:sz w:val="18"/>
          <w:szCs w:val="18"/>
          <w:color w:val="auto"/>
        </w:rPr>
      </w:pPr>
    </w:p>
    <w:p>
      <w:pPr>
        <w:jc w:val="both"/>
        <w:ind w:left="1960" w:firstLine="601"/>
        <w:spacing w:after="0" w:line="257" w:lineRule="auto"/>
        <w:tabs>
          <w:tab w:leader="none" w:pos="30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188" w:lineRule="exact"/>
        <w:rPr>
          <w:rFonts w:ascii="Arial" w:cs="Arial" w:eastAsia="Arial" w:hAnsi="Arial"/>
          <w:sz w:val="18"/>
          <w:szCs w:val="18"/>
          <w:color w:val="auto"/>
        </w:rPr>
      </w:pPr>
    </w:p>
    <w:p>
      <w:pPr>
        <w:jc w:val="both"/>
        <w:ind w:left="1960" w:firstLine="601"/>
        <w:spacing w:after="0" w:line="254" w:lineRule="auto"/>
        <w:tabs>
          <w:tab w:leader="none" w:pos="29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 Participant at the beginning of a Plan Year shall, prior to his date of participation, complete a payment election form specifying the form of payment applicable to such Participant’s Account under the Plan. An individual who first becomes a Participant other than on the first day of a Plan Year shall, no later than 30 days after the effective date of participation, complete a payment election form specifying the form of payment applicable to such Participant’s Account; provided, however, that if such Participant is already a participant in any other nonqualified plan or plans sponsored by the Corporation of the account balance type, the most recent payment election with respect to any one of those plans shall be the form of payment election deemed elected under this Plan regardless of whether the individual elects a different form of payment during that initial 30 day period.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by completing and filing a new payment election form with the Corporation, and the payment election form on file with the Corporation as of the date of the Participant’s Payment Event shall be controlling. Notwithstanding the foregoing, a payment election form changing the Participant’s form of payment shall not be effective if the Participant has a Payment Event within twelve months after the date on which the election change is filed with the Corporation.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 (5) years after the initially scheduled Distribution Date. For purposes of compliance with Code Section 409A, a series of installment payments is designated as a single payment rather than a right to a series of separate payments; therefore, a Participant who has elected (or</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is deemed to have elected) any option under Section 6.1(a)(i) or (ii) 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Hardship</w:t>
      </w:r>
      <w:r>
        <w:rPr>
          <w:rFonts w:ascii="Arial" w:cs="Arial" w:eastAsia="Arial" w:hAnsi="Arial"/>
          <w:sz w:val="17"/>
          <w:szCs w:val="17"/>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Delayed Distribution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5" w:lineRule="auto"/>
        <w:tabs>
          <w:tab w:leader="none" w:pos="17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189" w:lineRule="exact"/>
        <w:rPr>
          <w:rFonts w:ascii="Arial" w:cs="Arial" w:eastAsia="Arial" w:hAnsi="Arial"/>
          <w:sz w:val="18"/>
          <w:szCs w:val="18"/>
          <w:color w:val="auto"/>
        </w:rPr>
      </w:pPr>
    </w:p>
    <w:p>
      <w:pPr>
        <w:jc w:val="both"/>
        <w:ind w:left="660" w:firstLine="645"/>
        <w:spacing w:after="0" w:line="259" w:lineRule="auto"/>
        <w:tabs>
          <w:tab w:leader="none" w:pos="17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86" w:lineRule="exact"/>
        <w:rPr>
          <w:rFonts w:ascii="Arial" w:cs="Arial" w:eastAsia="Arial" w:hAnsi="Arial"/>
          <w:sz w:val="18"/>
          <w:szCs w:val="18"/>
          <w:color w:val="auto"/>
        </w:rPr>
      </w:pPr>
    </w:p>
    <w:p>
      <w:pPr>
        <w:ind w:left="660" w:firstLine="645"/>
        <w:spacing w:after="0" w:line="277" w:lineRule="auto"/>
        <w:tabs>
          <w:tab w:leader="none" w:pos="17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648"/>
        <w:spacing w:after="0" w:line="254"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Administrator</w:t>
      </w:r>
      <w:r>
        <w:rPr>
          <w:rFonts w:ascii="Arial" w:cs="Arial" w:eastAsia="Arial" w:hAnsi="Arial"/>
          <w:sz w:val="18"/>
          <w:szCs w:val="18"/>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review and shall not be overturned unless proven to be arbitrary and capricious based upon the evidence considered by the Administrator at the time of such determination.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Administrator Actions</w:t>
      </w:r>
      <w:r>
        <w:rPr>
          <w:rFonts w:ascii="Arial" w:cs="Arial" w:eastAsia="Arial" w:hAnsi="Arial"/>
          <w:sz w:val="18"/>
          <w:szCs w:val="18"/>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Minor or Incompetent Payees</w:t>
      </w:r>
      <w:r>
        <w:rPr>
          <w:rFonts w:ascii="Arial" w:cs="Arial" w:eastAsia="Arial" w:hAnsi="Arial"/>
          <w:sz w:val="16"/>
          <w:szCs w:val="16"/>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Claims Procedure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5" w:lineRule="auto"/>
        <w:tabs>
          <w:tab w:leader="none" w:pos="17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ectPr>
          <w:pgSz w:w="11900" w:h="16838" w:orient="portrait"/>
          <w:cols w:equalWidth="0" w:num="1">
            <w:col w:w="11420"/>
          </w:cols>
          <w:pgMar w:left="240" w:top="584" w:right="239" w:bottom="1440" w:gutter="0" w:footer="0" w:header="0"/>
        </w:sectPr>
      </w:pPr>
    </w:p>
    <w:bookmarkStart w:id="52" w:name="page53"/>
    <w:bookmarkEnd w:id="52"/>
    <w:p>
      <w:pPr>
        <w:ind w:left="2300" w:hanging="347"/>
        <w:spacing w:after="0"/>
        <w:tabs>
          <w:tab w:leader="none" w:pos="2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3" w:lineRule="exact"/>
        <w:rPr>
          <w:rFonts w:ascii="Arial" w:cs="Arial" w:eastAsia="Arial" w:hAnsi="Arial"/>
          <w:sz w:val="18"/>
          <w:szCs w:val="18"/>
          <w:color w:val="auto"/>
        </w:rPr>
      </w:pPr>
    </w:p>
    <w:p>
      <w:pPr>
        <w:ind w:left="2360" w:hanging="407"/>
        <w:spacing w:after="0"/>
        <w:tabs>
          <w:tab w:leader="none" w:pos="2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9" w:lineRule="exact"/>
        <w:rPr>
          <w:rFonts w:ascii="Arial" w:cs="Arial" w:eastAsia="Arial" w:hAnsi="Arial"/>
          <w:sz w:val="18"/>
          <w:szCs w:val="18"/>
          <w:color w:val="auto"/>
        </w:rPr>
      </w:pPr>
    </w:p>
    <w:p>
      <w:pPr>
        <w:ind w:left="1300" w:right="20" w:firstLine="653"/>
        <w:spacing w:after="0" w:line="257" w:lineRule="auto"/>
        <w:tabs>
          <w:tab w:leader="none" w:pos="2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 w:lineRule="exact"/>
        <w:rPr>
          <w:rFonts w:ascii="Arial" w:cs="Arial" w:eastAsia="Arial" w:hAnsi="Arial"/>
          <w:sz w:val="18"/>
          <w:szCs w:val="18"/>
          <w:color w:val="auto"/>
        </w:rPr>
      </w:pPr>
    </w:p>
    <w:p>
      <w:pPr>
        <w:ind w:left="1300" w:firstLine="653"/>
        <w:spacing w:after="0" w:line="324" w:lineRule="auto"/>
        <w:tabs>
          <w:tab w:leader="none" w:pos="28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143" w:lineRule="exact"/>
        <w:rPr>
          <w:rFonts w:ascii="Arial" w:cs="Arial" w:eastAsia="Arial" w:hAnsi="Arial"/>
          <w:sz w:val="18"/>
          <w:szCs w:val="18"/>
          <w:color w:val="auto"/>
        </w:rPr>
      </w:pPr>
    </w:p>
    <w:p>
      <w:pPr>
        <w:jc w:val="both"/>
        <w:ind w:left="660" w:firstLine="645"/>
        <w:spacing w:after="0" w:line="269" w:lineRule="auto"/>
        <w:tabs>
          <w:tab w:leader="none" w:pos="176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179" w:lineRule="exact"/>
        <w:rPr>
          <w:rFonts w:ascii="Arial" w:cs="Arial" w:eastAsia="Arial" w:hAnsi="Arial"/>
          <w:sz w:val="17"/>
          <w:szCs w:val="17"/>
          <w:color w:val="auto"/>
        </w:rPr>
      </w:pPr>
    </w:p>
    <w:p>
      <w:pPr>
        <w:jc w:val="both"/>
        <w:ind w:left="660" w:firstLine="645"/>
        <w:spacing w:after="0" w:line="312" w:lineRule="auto"/>
        <w:tabs>
          <w:tab w:leader="none" w:pos="17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No person who is covered under the Plan may vote or decide upon any matter relating solely to himself or vote in any case in which his individual right to any benefit under the Plan is particularly involved. Decisions shall be made by remaining members of the Corporation’s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ectPr>
          <w:pgSz w:w="11900" w:h="16838" w:orient="portrait"/>
          <w:cols w:equalWidth="0" w:num="1">
            <w:col w:w="11420"/>
          </w:cols>
          <w:pgMar w:left="240" w:top="584" w:right="239" w:bottom="1440" w:gutter="0" w:footer="0" w:header="0"/>
        </w:sectPr>
      </w:pPr>
    </w:p>
    <w:bookmarkStart w:id="53" w:name="page54"/>
    <w:bookmarkEnd w:id="53"/>
    <w:p>
      <w:pPr>
        <w:jc w:val="both"/>
        <w:ind w:firstLine="648"/>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Relationship to Other Programs</w:t>
      </w:r>
      <w:r>
        <w:rPr>
          <w:rFonts w:ascii="Arial" w:cs="Arial" w:eastAsia="Arial" w:hAnsi="Arial"/>
          <w:sz w:val="18"/>
          <w:szCs w:val="18"/>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Unsecured Claim; Grantor Trust</w:t>
      </w:r>
      <w:r>
        <w:rPr>
          <w:rFonts w:ascii="Arial" w:cs="Arial" w:eastAsia="Arial" w:hAnsi="Arial"/>
          <w:sz w:val="16"/>
          <w:szCs w:val="16"/>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Milwaukee, WI 53201-0571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Special rules for 2005-2007</w:t>
      </w:r>
      <w:r>
        <w:rPr>
          <w:rFonts w:ascii="Arial" w:cs="Arial" w:eastAsia="Arial" w:hAnsi="Arial"/>
          <w:sz w:val="16"/>
          <w:szCs w:val="16"/>
          <w:color w:val="auto"/>
        </w:rPr>
        <w:t>. Notwithstanding the usual rules required regarding the deferral elections and distribution elections:</w:t>
      </w:r>
    </w:p>
    <w:p>
      <w:pPr>
        <w:spacing w:after="0" w:line="225" w:lineRule="exact"/>
        <w:rPr>
          <w:sz w:val="20"/>
          <w:szCs w:val="20"/>
          <w:color w:val="auto"/>
        </w:rPr>
      </w:pPr>
    </w:p>
    <w:p>
      <w:pPr>
        <w:jc w:val="both"/>
        <w:ind w:left="660" w:firstLine="645"/>
        <w:spacing w:after="0" w:line="264" w:lineRule="auto"/>
        <w:tabs>
          <w:tab w:leader="none" w:pos="17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ectPr>
          <w:pgSz w:w="11900" w:h="16838" w:orient="portrait"/>
          <w:cols w:equalWidth="0" w:num="1">
            <w:col w:w="11420"/>
          </w:cols>
          <w:pgMar w:left="240" w:top="584" w:right="239" w:bottom="1440" w:gutter="0" w:footer="0" w:header="0"/>
        </w:sectPr>
      </w:pPr>
    </w:p>
    <w:bookmarkStart w:id="54" w:name="page55"/>
    <w:bookmarkEnd w:id="54"/>
    <w:p>
      <w:pPr>
        <w:jc w:val="both"/>
        <w:ind w:left="660" w:firstLine="645"/>
        <w:spacing w:after="0" w:line="253" w:lineRule="auto"/>
        <w:tabs>
          <w:tab w:leader="none" w:pos="17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or before December 31, 2007,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 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Corporation has caused its duly authorized officer to execute this Plan document on its behalf as of the 21st day of May, 2014, to replace any prior version of this Plan previously adopted by the Corporation.</w:t>
      </w: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Brady Corporation</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/s/ HELENA NELLIGAN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Attest: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&amp; Chief Executive Officer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2014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&amp; Chief Executive Officer and Chief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2"/>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6"/>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6"/>
    </w:lvl>
  </w:abstractNum>
  <w:abstractNum w:abstractNumId="14">
    <w:nsid w:val="836C40E"/>
    <w:multiLevelType w:val="hybridMultilevel"/>
    <w:lvl w:ilvl="0">
      <w:lvlJc w:val="left"/>
      <w:lvlText w:val="%1."/>
      <w:numFmt w:val="decimal"/>
      <w:start w:val="7"/>
    </w:lvl>
  </w:abstractNum>
  <w:abstractNum w:abstractNumId="15">
    <w:nsid w:val="2901D82"/>
    <w:multiLevelType w:val="hybridMultilevel"/>
    <w:lvl w:ilvl="0">
      <w:lvlJc w:val="left"/>
      <w:lvlText w:val="%1."/>
      <w:numFmt w:val="decimal"/>
      <w:start w:val="8"/>
    </w:lvl>
  </w:abstractNum>
  <w:abstractNum w:abstractNumId="16">
    <w:nsid w:val="3A95F874"/>
    <w:multiLevelType w:val="hybridMultilevel"/>
    <w:lvl w:ilvl="0">
      <w:lvlJc w:val="left"/>
      <w:lvlText w:val="%1."/>
      <w:numFmt w:val="decimal"/>
      <w:start w:val="9"/>
    </w:lvl>
  </w:abstractNum>
  <w:abstractNum w:abstractNumId="17">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
    <w:nsid w:val="1E7FF521"/>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9">
    <w:nsid w:val="7C3DBD3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0">
    <w:nsid w:val="737B8DDC"/>
    <w:multiLevelType w:val="hybridMultilevel"/>
    <w:lvl w:ilvl="0">
      <w:lvlJc w:val="left"/>
      <w:lvlText w:val="(%1)"/>
      <w:numFmt w:val="lowerLetter"/>
      <w:start w:val="3"/>
    </w:lvl>
  </w:abstractNum>
  <w:abstractNum w:abstractNumId="21">
    <w:nsid w:val="6CEAF087"/>
    <w:multiLevelType w:val="hybridMultilevel"/>
    <w:lvl w:ilvl="0">
      <w:lvlJc w:val="left"/>
      <w:lvlText w:val="%1."/>
      <w:numFmt w:val="decimal"/>
      <w:start w:val="10"/>
    </w:lvl>
  </w:abstractNum>
  <w:abstractNum w:abstractNumId="22">
    <w:nsid w:val="22221A70"/>
    <w:multiLevelType w:val="hybridMultilevel"/>
    <w:lvl w:ilvl="0">
      <w:lvlJc w:val="left"/>
      <w:lvlText w:val="%1."/>
      <w:numFmt w:val="decimal"/>
      <w:start w:val="11"/>
    </w:lvl>
  </w:abstractNum>
  <w:abstractNum w:abstractNumId="23">
    <w:nsid w:val="4516DDE9"/>
    <w:multiLevelType w:val="hybridMultilevel"/>
    <w:lvl w:ilvl="0">
      <w:lvlJc w:val="left"/>
      <w:lvlText w:val="%1."/>
      <w:numFmt w:val="decimal"/>
      <w:start w:val="12"/>
    </w:lvl>
  </w:abstractNum>
  <w:abstractNum w:abstractNumId="24">
    <w:nsid w:val="3006C83E"/>
    <w:multiLevelType w:val="hybridMultilevel"/>
    <w:lvl w:ilvl="0">
      <w:lvlJc w:val="left"/>
      <w:lvlText w:val="(%1)"/>
      <w:numFmt w:val="lowerLetter"/>
      <w:start w:val="1"/>
    </w:lvl>
    <w:lvl w:ilvl="1">
      <w:lvlJc w:val="left"/>
      <w:lvlText w:val="(%2)"/>
      <w:numFmt w:val="lowerLetter"/>
      <w:start w:val="9"/>
    </w:lvl>
  </w:abstractNum>
  <w:abstractNum w:abstractNumId="25">
    <w:nsid w:val="614FD4A1"/>
    <w:multiLevelType w:val="hybridMultilevel"/>
    <w:lvl w:ilvl="0">
      <w:lvlJc w:val="left"/>
      <w:lvlText w:val="(%1)"/>
      <w:numFmt w:val="lowerRoman"/>
      <w:start w:val="2"/>
    </w:lvl>
  </w:abstractNum>
  <w:abstractNum w:abstractNumId="26">
    <w:nsid w:val="419AC241"/>
    <w:multiLevelType w:val="hybridMultilevel"/>
    <w:lvl w:ilvl="0">
      <w:lvlJc w:val="left"/>
      <w:lvlText w:val="%1"/>
      <w:numFmt w:val="lowerLetter"/>
      <w:start w:val="1"/>
    </w:lvl>
    <w:lvl w:ilvl="1">
      <w:lvlJc w:val="left"/>
      <w:lvlText w:val="(%2)"/>
      <w:numFmt w:val="lowerLetter"/>
      <w:start w:val="24"/>
    </w:lvl>
  </w:abstractNum>
  <w:abstractNum w:abstractNumId="27">
    <w:nsid w:val="5577F8E1"/>
    <w:multiLevelType w:val="hybridMultilevel"/>
    <w:lvl w:ilvl="0">
      <w:lvlJc w:val="left"/>
      <w:lvlText w:val="(%1)"/>
      <w:numFmt w:val="lowerLetter"/>
      <w:start w:val="3"/>
    </w:lvl>
    <w:lvl w:ilvl="1">
      <w:lvlJc w:val="left"/>
      <w:lvlText w:val="%2"/>
      <w:numFmt w:val="lowerLetter"/>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Roman"/>
      <w:start w:val="1"/>
    </w:lvl>
    <w:lvl w:ilvl="1">
      <w:lvlJc w:val="left"/>
      <w:lvlText w:val="(%2)"/>
      <w:numFmt w:val="upperLetter"/>
      <w:start w:val="1"/>
    </w:lvl>
  </w:abstractNum>
  <w:abstractNum w:abstractNumId="30">
    <w:nsid w:val="3804823E"/>
    <w:multiLevelType w:val="hybridMultilevel"/>
    <w:lvl w:ilvl="0">
      <w:lvlJc w:val="left"/>
      <w:lvlText w:val="(%1)"/>
      <w:numFmt w:val="lowerRoman"/>
      <w:start w:val="3"/>
    </w:lvl>
    <w:lvl w:ilvl="1">
      <w:lvlJc w:val="left"/>
      <w:lvlText w:val="(%2)"/>
      <w:numFmt w:val="upp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lvl w:ilvl="1">
      <w:lvlJc w:val="left"/>
      <w:lvlText w:val="(%2)"/>
      <w:numFmt w:val="lowerRoman"/>
      <w:start w:val="1"/>
    </w:lvl>
  </w:abstractNum>
  <w:abstractNum w:abstractNumId="34">
    <w:nsid w:val="2463B9EA"/>
    <w:multiLevelType w:val="hybridMultilevel"/>
    <w:lvl w:ilvl="0">
      <w:lvlJc w:val="left"/>
      <w:lvlText w:val="(%1)"/>
      <w:numFmt w:val="lowerLetter"/>
      <w:start w:val="2"/>
    </w:lvl>
    <w:lvl w:ilvl="1">
      <w:lvlJc w:val="left"/>
      <w:lvlText w:val="%2"/>
      <w:numFmt w:val="lowerRoman"/>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decimal"/>
      <w:start w:val="5"/>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2019-12-05T20:18:15Z</dcterms:created>
  <dcterms:modified xsi:type="dcterms:W3CDTF">2019-12-05T20:18:15Z</dcterms:modified>
</cp:coreProperties>
</file>