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Pearce Aaron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&amp; Treasurer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97,417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46.88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95,859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which vested upon achievement of certain financial performance goals over a three-year period. Each restricted stock unit was settled solely by delivery of one share of Class A Common Stock.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Effective December 31, 2021, Brady Corporation eliminated the BRC stock fund as an investment alternative available under Brady Corporation's 401(k) plan. As a result, the 2,441.228 shares of BRC Class A Common Stock the reporting person previously reported as beneficially owned under the plan were liquidated.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to cover taxes on 3,317 restricted stock units that vested on August 31, 2022.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09/01/2022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8000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2022-09-01T16:14:48Z</dcterms:created>
  <dcterms:modified xsi:type="dcterms:W3CDTF">2022-09-01T16:14:48Z</dcterms:modified>
</cp:coreProperties>
</file>