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Washington, D.C. 20549</w:t>
      </w:r>
    </w:p>
    <w:p>
      <w:pPr>
        <w:spacing w:after="0" w:line="331" w:lineRule="exact"/>
        <w:rPr>
          <w:sz w:val="24"/>
          <w:szCs w:val="24"/>
          <w:color w:val="auto"/>
        </w:rPr>
      </w:pPr>
    </w:p>
    <w:p>
      <w:pPr>
        <w:jc w:val="center"/>
        <w:ind w:right="-324"/>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4"/>
          <w:szCs w:val="24"/>
          <w:color w:val="auto"/>
        </w:rPr>
      </w:pPr>
    </w:p>
    <w:p>
      <w:pPr>
        <w:spacing w:after="0" w:line="25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4205"/>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71" w:lineRule="exact"/>
        <w:rPr>
          <w:sz w:val="24"/>
          <w:szCs w:val="24"/>
          <w:color w:val="auto"/>
        </w:rPr>
      </w:pPr>
    </w:p>
    <w:p>
      <w:pPr>
        <w:ind w:left="5545"/>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685" w:hanging="685"/>
        <w:spacing w:after="0"/>
        <w:tabs>
          <w:tab w:leader="none" w:pos="685"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13" w:lineRule="exact"/>
        <w:rPr>
          <w:sz w:val="24"/>
          <w:szCs w:val="24"/>
          <w:color w:val="auto"/>
        </w:rPr>
      </w:pPr>
    </w:p>
    <w:p>
      <w:pPr>
        <w:ind w:left="3725"/>
        <w:spacing w:after="0"/>
        <w:tabs>
          <w:tab w:leader="none" w:pos="6945"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Commission file number 1-14959 Brady Corporation</w:t>
      </w:r>
    </w:p>
    <w:p>
      <w:pPr>
        <w:spacing w:after="0" w:line="200" w:lineRule="exact"/>
        <w:rPr>
          <w:sz w:val="24"/>
          <w:szCs w:val="24"/>
          <w:color w:val="auto"/>
        </w:rPr>
      </w:pPr>
    </w:p>
    <w:p>
      <w:pPr>
        <w:spacing w:after="0" w:line="259" w:lineRule="exact"/>
        <w:rPr>
          <w:sz w:val="24"/>
          <w:szCs w:val="24"/>
          <w:color w:val="auto"/>
        </w:rPr>
      </w:pPr>
    </w:p>
    <w:p>
      <w:pPr>
        <w:ind w:left="685" w:hanging="685"/>
        <w:spacing w:after="0"/>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MATCHED 401(k) PLAN</w:t>
      </w:r>
    </w:p>
    <w:p>
      <w:pPr>
        <w:spacing w:after="0" w:line="354" w:lineRule="exact"/>
        <w:rPr>
          <w:sz w:val="24"/>
          <w:szCs w:val="24"/>
          <w:color w:val="auto"/>
        </w:rPr>
      </w:pPr>
    </w:p>
    <w:p>
      <w:pPr>
        <w:ind w:left="685" w:hanging="685"/>
        <w:spacing w:after="0"/>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9" w:lineRule="exact"/>
        <w:rPr>
          <w:sz w:val="24"/>
          <w:szCs w:val="24"/>
          <w:color w:val="auto"/>
        </w:rPr>
      </w:pPr>
    </w:p>
    <w:p>
      <w:pPr>
        <w:jc w:val="center"/>
        <w:ind w:right="-324"/>
        <w:spacing w:after="0"/>
        <w:rPr>
          <w:sz w:val="20"/>
          <w:szCs w:val="20"/>
          <w:color w:val="auto"/>
        </w:rPr>
      </w:pPr>
      <w:r>
        <w:rPr>
          <w:rFonts w:ascii="Arial" w:cs="Arial" w:eastAsia="Arial" w:hAnsi="Arial"/>
          <w:sz w:val="22"/>
          <w:szCs w:val="22"/>
          <w:b w:val="1"/>
          <w:bCs w:val="1"/>
          <w:color w:val="auto"/>
        </w:rPr>
        <w:t>BRADY CORPORATION</w:t>
      </w:r>
    </w:p>
    <w:p>
      <w:pPr>
        <w:spacing w:after="0" w:line="1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6555 WEST GOOD HOPE ROAD</w:t>
      </w:r>
    </w:p>
    <w:p>
      <w:pPr>
        <w:spacing w:after="0" w:line="7"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ind w:right="-324"/>
        <w:spacing w:after="0"/>
        <w:rPr>
          <w:sz w:val="20"/>
          <w:szCs w:val="20"/>
          <w:color w:val="auto"/>
        </w:rPr>
      </w:pPr>
      <w:r>
        <w:rPr>
          <w:rFonts w:ascii="Arial" w:cs="Arial" w:eastAsia="Arial" w:hAnsi="Arial"/>
          <w:sz w:val="18"/>
          <w:szCs w:val="18"/>
          <w:b w:val="1"/>
          <w:bCs w:val="1"/>
          <w:color w:val="auto"/>
        </w:rPr>
        <w:t>MILWAUKEE WI 53202-0571</w:t>
      </w:r>
    </w:p>
    <w:p>
      <w:pPr>
        <w:sectPr>
          <w:pgSz w:w="11900" w:h="16838" w:orient="portrait"/>
          <w:cols w:equalWidth="0" w:num="1">
            <w:col w:w="11045"/>
          </w:cols>
          <w:pgMar w:left="275" w:top="733"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Financial Statements as of and for the Years Ended December 31, 2015 and 2014, Supplemental Schedule as of December 31, 2015, and Report of Independent Registered Public Accounting Firm</w:t>
      </w:r>
    </w:p>
    <w:p>
      <w:pPr>
        <w:sectPr>
          <w:pgSz w:w="11900" w:h="16838" w:orient="portrait"/>
          <w:cols w:equalWidth="0" w:num="1">
            <w:col w:w="10580"/>
          </w:cols>
          <w:pgMar w:left="240" w:top="584" w:right="107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980" w:type="dxa"/>
            <w:vAlign w:val="bottom"/>
          </w:tcPr>
          <w:p>
            <w:pPr>
              <w:jc w:val="right"/>
              <w:ind w:right="533"/>
              <w:spacing w:after="0"/>
              <w:rPr>
                <w:sz w:val="20"/>
                <w:szCs w:val="20"/>
                <w:color w:val="auto"/>
              </w:rPr>
            </w:pPr>
            <w:r>
              <w:rPr>
                <w:rFonts w:ascii="Arial" w:cs="Arial" w:eastAsia="Arial" w:hAnsi="Arial"/>
                <w:sz w:val="14"/>
                <w:szCs w:val="14"/>
                <w:b w:val="1"/>
                <w:bCs w:val="1"/>
                <w:color w:val="auto"/>
              </w:rPr>
              <w:t>PAGE</w:t>
            </w:r>
          </w:p>
        </w:tc>
      </w:tr>
      <w:tr>
        <w:trPr>
          <w:trHeight w:val="256"/>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98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Statements of Net Assets Available for Benefits</w:t>
            </w:r>
          </w:p>
        </w:tc>
        <w:tc>
          <w:tcPr>
            <w:tcW w:w="29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Statements of Changes in Net Assets Available for Benefits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Notes to Financial Statements</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324"/>
        </w:trPr>
        <w:tc>
          <w:tcPr>
            <w:tcW w:w="8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SCHEDULE</w:t>
            </w:r>
          </w:p>
        </w:tc>
        <w:tc>
          <w:tcPr>
            <w:tcW w:w="2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8160" w:type="dxa"/>
            <w:vAlign w:val="bottom"/>
          </w:tcPr>
          <w:p>
            <w:pPr>
              <w:ind w:left="260"/>
              <w:spacing w:after="0"/>
              <w:rPr>
                <w:sz w:val="20"/>
                <w:szCs w:val="20"/>
                <w:color w:val="auto"/>
              </w:rPr>
            </w:pPr>
            <w:r>
              <w:rPr>
                <w:rFonts w:ascii="Arial" w:cs="Arial" w:eastAsia="Arial" w:hAnsi="Arial"/>
                <w:sz w:val="18"/>
                <w:szCs w:val="18"/>
                <w:color w:val="auto"/>
              </w:rPr>
              <w:t>Schedule H, Line 4i - Schedule of Assets (Held at End of Year)</w:t>
            </w:r>
          </w:p>
        </w:tc>
        <w:tc>
          <w:tcPr>
            <w:tcW w:w="298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81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97"/>
        </w:trPr>
        <w:tc>
          <w:tcPr>
            <w:tcW w:w="8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23.1 - Consent of CliftonLarsonAllenLLP</w:t>
      </w:r>
    </w:p>
    <w:p>
      <w:pPr>
        <w:sectPr>
          <w:pgSz w:w="11900" w:h="16838" w:orient="portrait"/>
          <w:cols w:equalWidth="0" w:num="1">
            <w:col w:w="11140"/>
          </w:cols>
          <w:pgMar w:left="240" w:top="580" w:right="51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2">
            <w:col w:w="560" w:space="600"/>
            <w:col w:w="9980"/>
          </w:cols>
          <w:pgMar w:left="240" w:top="580" w:right="519" w:bottom="1440" w:gutter="0" w:footer="0" w:header="0"/>
          <w:type w:val="continuous"/>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Retirement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Brady Matched 401(k) Plan (the Plan) as of December 31, 2015 and 2014, and the related statement of changes in net assets available for benefits for the years ended December 31, 2015 and 2014.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Brady Matched 401(k) Plan as of December 31, 2015 and 2014, and the changes in net assets available for benefits for the years ended December 31, 2015 and 2014 in conformity with accounting principles generally accepted in the United States of America.</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supplemental schedule of assets (held at end of year)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center"/>
        <w:ind w:right="-95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December 31, 2015 and 2014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Investments - at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206,421,900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211,368,752</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39,247</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Company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1,181,911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1,104,631</w:t>
            </w:r>
          </w:p>
        </w:tc>
      </w:tr>
      <w:tr>
        <w:trPr>
          <w:trHeight w:val="243"/>
        </w:trPr>
        <w:tc>
          <w:tcPr>
            <w:tcW w:w="6780" w:type="dxa"/>
            <w:vAlign w:val="bottom"/>
          </w:tcPr>
          <w:p>
            <w:pPr>
              <w:ind w:left="72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2,859,328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2,740,778</w:t>
            </w:r>
          </w:p>
        </w:tc>
      </w:tr>
      <w:tr>
        <w:trPr>
          <w:trHeight w:val="27"/>
        </w:trPr>
        <w:tc>
          <w:tcPr>
            <w:tcW w:w="6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receivables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4,041,239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3,845,409</w:t>
            </w:r>
          </w:p>
        </w:tc>
      </w:tr>
      <w:tr>
        <w:trPr>
          <w:trHeight w:val="237"/>
        </w:trPr>
        <w:tc>
          <w:tcPr>
            <w:tcW w:w="6780" w:type="dxa"/>
            <w:vAlign w:val="bottom"/>
          </w:tcPr>
          <w:p>
            <w:pPr>
              <w:ind w:left="114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210,525,032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215,253,408</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LIABILITIES — </w:t>
            </w:r>
            <w:r>
              <w:rPr>
                <w:rFonts w:ascii="Arial" w:cs="Arial" w:eastAsia="Arial" w:hAnsi="Arial"/>
                <w:sz w:val="18"/>
                <w:szCs w:val="18"/>
                <w:color w:val="auto"/>
              </w:rPr>
              <w:t>excess contributions payable</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 AT FAIR VALUE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210,518,645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215,252,711</w:t>
            </w:r>
          </w:p>
        </w:tc>
      </w:tr>
      <w:tr>
        <w:trPr>
          <w:trHeight w:val="27"/>
        </w:trPr>
        <w:tc>
          <w:tcPr>
            <w:tcW w:w="6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from fair value to contract value for fully benefit-responsive investment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(259,033)</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210,325,661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214,993,678</w:t>
            </w:r>
          </w:p>
        </w:tc>
      </w:tr>
      <w:tr>
        <w:trPr>
          <w:trHeight w:val="27"/>
        </w:trPr>
        <w:tc>
          <w:tcPr>
            <w:tcW w:w="6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240" w:top="580" w:right="119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ADDITIONS TO NET ASSETS ATTRIBUTED TO</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Contributions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Participant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8,704,945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8,615,402</w:t>
            </w: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Company</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4,202,453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4,236,689</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Rollover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477,614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996,542</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13,385,012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13,848,633</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(loss) income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360" w:type="dxa"/>
            <w:vAlign w:val="bottom"/>
          </w:tcPr>
          <w:p>
            <w:pPr>
              <w:ind w:left="720"/>
              <w:spacing w:after="0"/>
              <w:rPr>
                <w:sz w:val="20"/>
                <w:szCs w:val="20"/>
                <w:color w:val="auto"/>
              </w:rPr>
            </w:pPr>
            <w:r>
              <w:rPr>
                <w:rFonts w:ascii="Arial" w:cs="Arial" w:eastAsia="Arial" w:hAnsi="Arial"/>
                <w:sz w:val="18"/>
                <w:szCs w:val="18"/>
                <w:color w:val="auto"/>
              </w:rPr>
              <w:t>Net (depreciation) appreciation in fair value of investments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(9,838,254)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746,995</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and dividends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9,257,845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9,351,870</w:t>
            </w:r>
          </w:p>
        </w:tc>
      </w:tr>
      <w:tr>
        <w:trPr>
          <w:trHeight w:val="237"/>
        </w:trPr>
        <w:tc>
          <w:tcPr>
            <w:tcW w:w="7360" w:type="dxa"/>
            <w:vAlign w:val="bottom"/>
          </w:tcPr>
          <w:p>
            <w:pPr>
              <w:ind w:left="1140"/>
              <w:spacing w:after="0"/>
              <w:rPr>
                <w:sz w:val="20"/>
                <w:szCs w:val="20"/>
                <w:color w:val="auto"/>
              </w:rPr>
            </w:pPr>
            <w:r>
              <w:rPr>
                <w:rFonts w:ascii="Arial" w:cs="Arial" w:eastAsia="Arial" w:hAnsi="Arial"/>
                <w:sz w:val="18"/>
                <w:szCs w:val="18"/>
                <w:color w:val="auto"/>
              </w:rPr>
              <w:t>Net investment (loss) income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(580,409)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10,098,865</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 from notes receivable from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90,881</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Transfers of assets from affiliated plan</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9,454,860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additions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22,351,225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24,038,379</w:t>
            </w:r>
          </w:p>
        </w:tc>
      </w:tr>
      <w:tr>
        <w:trPr>
          <w:trHeight w:val="223"/>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DEDUCTIONS FROM NET ASSETS ATTRIBUTED TO</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7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 to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26,614,829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17,778,931</w:t>
            </w:r>
          </w:p>
        </w:tc>
      </w:tr>
      <w:tr>
        <w:trPr>
          <w:trHeight w:val="243"/>
        </w:trPr>
        <w:tc>
          <w:tcPr>
            <w:tcW w:w="7360" w:type="dxa"/>
            <w:vAlign w:val="bottom"/>
          </w:tcPr>
          <w:p>
            <w:pPr>
              <w:ind w:left="380"/>
              <w:spacing w:after="0"/>
              <w:rPr>
                <w:sz w:val="20"/>
                <w:szCs w:val="20"/>
                <w:color w:val="auto"/>
              </w:rPr>
            </w:pPr>
            <w:r>
              <w:rPr>
                <w:rFonts w:ascii="Arial" w:cs="Arial" w:eastAsia="Arial" w:hAnsi="Arial"/>
                <w:sz w:val="18"/>
                <w:szCs w:val="18"/>
                <w:color w:val="auto"/>
              </w:rPr>
              <w:t>Administrative expenses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404,413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422,094</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27,019,242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18,201,025</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(4,668,017)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5,837,354</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ASSETS AVAILABLE FOR BENEFITS,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214,993,678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209,156,324</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NET ASSETS AVAILABLE FOR BENEFITS, END OF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210,325,661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214,993,678</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580" w:right="6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PLAN</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non-resident aliens, co-op students, on-call employees or interns. An employee may become a participant in the Plan on the employee’s initial date of employment. The Plan is subject to the provisions of the Employee Retirement Income Security Act of 1974 (ERISA).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Each year, participants may contribute up to 50% of their annual eligible compensation subject to the Internal Revenue Code (IRC) limitations. These voluntary contributions can be withdrawn in whole or part in the event of qualifying emergencies (as defined by the Plan), subject to certain restrictions. The Company is required to contribute a 100% matching contribution of the first 3% and 50% of the next 2% that a participant contributes, subject to compensation limits of $265,000 for calendar year 2015, adjusted for inflation. Participants self-direct all participant and Company contributions. The Plan offers a Roth 401(k) option where contributions are made on an after-tax basis. Upon distribution, Roth contributions are tax-free.</w:t>
      </w:r>
    </w:p>
    <w:p>
      <w:pPr>
        <w:spacing w:after="0" w:line="2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Effective September 1, 2014, the Plan began allowing the conversion of existing 401(k) retirement plan assets to Roth 401(k) accounts. Previously, conversions could be done only by participants who were also eligible to take a distribution from the plan, which in most cases were done by those age 59 1/2 or older.</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acquired Precision Dynamics Corporation in December 2012, and at that time, the decision was made that the Precision Dynamics Cash Option 401(k) Plan would not be merged into the Plan. The Precision Dynamics Cash Option 401(k) Plan was frozen in 2013 and these employees became eligible, via Board Resolution, to participate in the Plan effective January 1, 2014. The participant accounts rolled into the Plan on August 3, 2015. Brady received approval from the IRS to terminate the Precision Dynamics Cash Option 401(k) Plan on August 11, 2015 and the official termination date was November 13,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Individual accounts are maintained for each Plan participant. Each participant’s account is credited with the participant’s contribution, the Company’s matching contribution and Plan earnings, and charged with withdrawals and an allocation of Plan losses and administrative expenses as defined by the Plan. The benefit to which a participant is entitled is the benefit that can be provided from the participant’s vested account.</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Effective January 1, 2014, for any newly eligible participant, the Plan will automatically withhold 5% of the employee’s eligible compensation, unless an on line election is completed by the participant to opt out within ninety days of their hire date. The withheld funds will be deposited into an account under the employee’s name in the Plan and funded in the Roth 401(k) option in absence of a designation by the participant.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Investment options include various mutual funds, a common collective trust fund and Brady Corporation Class A Non-Voting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1—DESCRIPTION OF THE PLAN </w:t>
      </w:r>
      <w:r>
        <w:rPr>
          <w:rFonts w:ascii="Arial" w:cs="Arial" w:eastAsia="Arial" w:hAnsi="Arial"/>
          <w:sz w:val="18"/>
          <w:szCs w:val="18"/>
          <w:color w:val="auto"/>
        </w:rPr>
        <w:t>(continued)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Vesting</w:t>
      </w:r>
    </w:p>
    <w:p>
      <w:pPr>
        <w:spacing w:after="0" w:line="7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Plan provides for full vesting of participants’ contributions from the date they are made. Company contributions will become vested after a two-year period of continuous service. The participants’ share of the Company contribution becomes fully vested, in any event, upon normal retirement at age 65, termination due to permanent or total disability or death, or a plan termination.</w:t>
      </w:r>
    </w:p>
    <w:p>
      <w:pPr>
        <w:spacing w:after="0" w:line="12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or in-kind in shares of Brady Corporation Class A Non-Voting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installments over a specified period. For termination of service for other reasons, a participant may receive the value of the vested interest in his or her account as a lump-sum distribution.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2015 and 2014, forfeited non-vested accounts totaled $52,064 and $131,503, respectively. Total forfeitures used to reduce Company contributions were $339,118 and $155,087 in 2015 and 2014, respectively.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Participants may borrow up to 50% of their vested account balance. Individual loan amounts must be at least $1,000; however, aggregate loan amounts may not exceed $50,000. The interest rate for the loans is the prime rate. Loan terms may range from one to five years, or longer if for the purchase of a primary residence. The loans are secured by the balance in the participant’s account. As of December 31, 2015, the interest rates on outstanding loans range from 3.25% to 9.00%.</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580" w:right="4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accompanying financial statements have been prepared under the accrual basis in accordance with accounting principles generally accepted in the United States of America.</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Investment contracts held by a defined-contribution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 as well as the adjustment of the fully benefit-responsive investment contract from fair value to contract value. The Statements of Changes in Net Assets Available for Benefits are prepared on a contract value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 of net assets available for benefits and changes therein. Actual results could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utilizes various investment instruments, including various mutual funds, a common collective trust fund, a money market fund, and common stock.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See Note 4 for discussion of fair value measurements.</w:t>
      </w:r>
    </w:p>
    <w:p>
      <w:pPr>
        <w:spacing w:after="0" w:line="11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 (depreciation) includes the Plan’s gains and losses on investments bought and sold as well as held during the year.</w:t>
      </w:r>
    </w:p>
    <w:p>
      <w:pPr>
        <w:spacing w:after="0" w:line="7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are paid by the Plan. This includes administrative, investment management, audit, legal and other miscellaneous fees of the Plan.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Benefit payments to participants are recorded upon distribution. There was $57,313 and $113,144 allocated to accounts of persons who have elected to withdraw from the Plan, but had not yet been paid as of December 31,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2—SUMMARY OF SIGNIFICANT ACCOUNTING POLICIES </w:t>
      </w:r>
      <w:r>
        <w:rPr>
          <w:rFonts w:ascii="Arial" w:cs="Arial" w:eastAsia="Arial" w:hAnsi="Arial"/>
          <w:sz w:val="18"/>
          <w:szCs w:val="18"/>
          <w:color w:val="auto"/>
        </w:rPr>
        <w:t>(continued)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Receivable from Participants</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Notes receivable from participants are measured at their unpaid principal balance plus any accrued but unpaid interest. Related fees are recorded as administrative expenses and expensed as incurred. Delinquent participant loans are reclassified as distributions based upon the terms of the Plan document.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were excess contributions of $6,387 and $697 for the years ended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May 2015, the Financial Accounting Standards Board (“FASB”) issued Accounting Standards Update (“ASU”) No. 2015-07, "Disclosures for Investments in Certain Entities That Calculate Net Asset Value per Share (or its Equivalent)," which removes the requirement to categorize within the fair value hierarchy investments for which fair value is measured using the net asset value per share practical expedient. It also removes the requirement to make certain disclosures for all investments that are eligible to be measured at fair value using the net asset value per share practical expedient. This ASU is effective for fiscal years beginning after December 15, 2015. Plan management is reviewing the ASU to determine the impact to the Plan.</w:t>
      </w:r>
    </w:p>
    <w:p>
      <w:pPr>
        <w:spacing w:after="0" w:line="1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July 2015, the FASB issued ASU No. 2015-12, "Plan Accounting: Defined Benefit Pension Plans (Topic 960), Defined Contribution Pension Plans (Topic 962), Health and Welfare Benefit Plans (Topic 965): (Part I) Fully Benefit-Responsive Investment Contracts, (Part II) Plan Investment Disclosures, (Part III) Measurement Date Practical Expedient," which designates contract value as the only required measure for fully benefit responsive investment contracts, simplifies and makes more effective investment disclosure requirements, and provides a practical expedient when a plan’s fiscal year-end does not coincide with month-end. This ASU is effective for fiscal years beginning after December 31, 2015. Plan management is reviewing the ASU to determine the impact to the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Subsequent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 has evaluated subsequent events through June 16, 2016, the date the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80"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individual investments held which exceeded 5% of the net assets available for benefits at December 31, 2015 and 2014,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Growth Fund of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32,824,646</w:t>
            </w: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33,888,805</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PNC Stable Value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25,720,446</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16,770,183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Vanguard Total Stock Market Index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20,447,399</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 Rowe Price Retirement 2030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16,704,094</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15,511,670</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 Rowe Price Retirement 2040</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14,525,219</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12,886,540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Vanguard Total Bond Market Index Fund</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13,397,815</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13,970,948</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Fidelity Diversified International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12,995,729</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13,124,999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T. Rowe Price Retirement 2020</w:t>
            </w: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12,144,658</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12,113,290</w:t>
            </w:r>
          </w:p>
        </w:tc>
        <w:tc>
          <w:tcPr>
            <w:tcW w:w="340" w:type="dxa"/>
            <w:vAlign w:val="bottom"/>
          </w:tcPr>
          <w:p>
            <w:pPr>
              <w:spacing w:after="0"/>
              <w:rPr>
                <w:sz w:val="21"/>
                <w:szCs w:val="21"/>
                <w:color w:val="auto"/>
              </w:rPr>
            </w:pPr>
          </w:p>
        </w:tc>
      </w:tr>
      <w:tr>
        <w:trPr>
          <w:trHeight w:val="27"/>
        </w:trPr>
        <w:tc>
          <w:tcPr>
            <w:tcW w:w="68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LSV Value Equity Fund</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12,052,655</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13,855,402</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378"/>
        </w:trPr>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6420" w:type="dxa"/>
            <w:vAlign w:val="bottom"/>
          </w:tcPr>
          <w:p>
            <w:pPr>
              <w:ind w:left="300"/>
              <w:spacing w:after="0"/>
              <w:rPr>
                <w:sz w:val="20"/>
                <w:szCs w:val="20"/>
                <w:color w:val="auto"/>
              </w:rPr>
            </w:pPr>
            <w:r>
              <w:rPr>
                <w:rFonts w:ascii="Arial" w:cs="Arial" w:eastAsia="Arial" w:hAnsi="Arial"/>
                <w:sz w:val="18"/>
                <w:szCs w:val="18"/>
                <w:color w:val="auto"/>
              </w:rPr>
              <w:t>Party-in-interest in the Plan.</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5" w:lineRule="exact"/>
        <w:rPr>
          <w:sz w:val="20"/>
          <w:szCs w:val="20"/>
          <w:color w:val="auto"/>
        </w:rPr>
      </w:pPr>
    </w:p>
    <w:p>
      <w:pPr>
        <w:ind w:left="660" w:hanging="625"/>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198" w:lineRule="exact"/>
        <w:rPr>
          <w:rFonts w:ascii="Arial" w:cs="Arial" w:eastAsia="Arial" w:hAnsi="Arial"/>
          <w:sz w:val="18"/>
          <w:szCs w:val="18"/>
          <w:color w:val="auto"/>
        </w:rPr>
      </w:pPr>
    </w:p>
    <w:p>
      <w:pPr>
        <w:ind w:left="580" w:hanging="545"/>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5% of the Plan's net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years ended December 31, 2015 and 2014, the Plan’s investments (including gains and losses on investments bought and sold, as well as held during the year) (depreciated) appreciated in value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2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(9,281,883)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1,062,363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Brady Corporation common stock</w:t>
            </w:r>
          </w:p>
        </w:tc>
        <w:tc>
          <w:tcPr>
            <w:tcW w:w="2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(556,371)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(315,368)</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(depreciation) appreciation in fair value of investments</w:t>
            </w:r>
          </w:p>
        </w:tc>
        <w:tc>
          <w:tcPr>
            <w:tcW w:w="2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(9,838,254)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746,995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Arial" w:cs="Arial" w:eastAsia="Arial" w:hAnsi="Arial"/>
                <w:sz w:val="18"/>
                <w:szCs w:val="18"/>
                <w:color w:val="auto"/>
              </w:rPr>
              <w:t>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1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MEASUREMENT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principles generally accepted in the United States of America (GAAP) establishes a hierarchal disclosure framework which prioritizes and ranks the level of observable inputs used in measuring fair value.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GAAP defines fair value as the price that would be received upon the sale of an asset or paid to transfer a liability in an orderly transaction between market participants at the measurement date (exit price). The Plan primarily applies the market approach for recurring fair value measurements and attempts to utilize the best available information. Accordingly, the Plan also utilizes valuation techniques that maximize the use of observable inputs and minimize the use of unobservable inputs. The Plan is able to classify fair value balances based on the observability of those inputs. The hierarchy gives the highest priority to unadjusted quoted prices in active markets for identical assets or liabilities (Level 1) and the lowest priority to unobservable inputs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Plan's assets measured at fair market value are classified in one of the following categories:</w:t>
      </w:r>
    </w:p>
    <w:p>
      <w:pPr>
        <w:spacing w:after="0" w:line="225" w:lineRule="exact"/>
        <w:rPr>
          <w:sz w:val="20"/>
          <w:szCs w:val="20"/>
          <w:color w:val="auto"/>
        </w:rPr>
      </w:pPr>
    </w:p>
    <w:p>
      <w:pPr>
        <w:ind w:left="1540" w:hanging="904"/>
        <w:spacing w:after="0" w:line="277" w:lineRule="auto"/>
        <w:tabs>
          <w:tab w:leader="none" w:pos="1520" w:val="left"/>
        </w:tabs>
        <w:rPr>
          <w:sz w:val="20"/>
          <w:szCs w:val="20"/>
          <w:color w:val="auto"/>
        </w:rPr>
      </w:pPr>
      <w:r>
        <w:rPr>
          <w:rFonts w:ascii="Arial" w:cs="Arial" w:eastAsia="Arial" w:hAnsi="Arial"/>
          <w:sz w:val="18"/>
          <w:szCs w:val="18"/>
          <w:color w:val="auto"/>
        </w:rPr>
        <w:t>Level 1 -</w:t>
        <w:tab/>
        <w:t>Inputs to the valuation methodology are unadjusted quoted prices for identical assets or liabilities in active markets that the Plan has the ability to access.</w:t>
      </w:r>
    </w:p>
    <w:p>
      <w:pPr>
        <w:spacing w:after="0" w:line="170"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to the valuation methodology include:</w:t>
      </w:r>
    </w:p>
    <w:p>
      <w:pPr>
        <w:spacing w:after="0" w:line="36" w:lineRule="exact"/>
        <w:rPr>
          <w:sz w:val="20"/>
          <w:szCs w:val="20"/>
          <w:color w:val="auto"/>
        </w:rPr>
      </w:pPr>
    </w:p>
    <w:p>
      <w:pPr>
        <w:ind w:left="2020" w:hanging="229"/>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49" w:lineRule="exact"/>
        <w:rPr>
          <w:rFonts w:ascii="Arial" w:cs="Arial" w:eastAsia="Arial" w:hAnsi="Arial"/>
          <w:sz w:val="18"/>
          <w:szCs w:val="18"/>
          <w:color w:val="auto"/>
        </w:rPr>
      </w:pPr>
    </w:p>
    <w:p>
      <w:pPr>
        <w:ind w:left="2000" w:hanging="223"/>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49" w:lineRule="exact"/>
        <w:rPr>
          <w:rFonts w:ascii="Arial" w:cs="Arial" w:eastAsia="Arial" w:hAnsi="Arial"/>
          <w:sz w:val="18"/>
          <w:szCs w:val="18"/>
          <w:color w:val="auto"/>
        </w:rPr>
      </w:pPr>
    </w:p>
    <w:p>
      <w:pPr>
        <w:ind w:left="2020" w:hanging="229"/>
        <w:spacing w:after="0"/>
        <w:tabs>
          <w:tab w:leader="none" w:pos="2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3" w:lineRule="exact"/>
        <w:rPr>
          <w:sz w:val="20"/>
          <w:szCs w:val="20"/>
          <w:color w:val="auto"/>
        </w:rPr>
      </w:pPr>
    </w:p>
    <w:p>
      <w:pPr>
        <w:ind w:left="1540" w:firstLine="648"/>
        <w:spacing w:after="0" w:line="276"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71" w:lineRule="exact"/>
        <w:rPr>
          <w:sz w:val="20"/>
          <w:szCs w:val="20"/>
          <w:color w:val="auto"/>
        </w:rPr>
      </w:pPr>
    </w:p>
    <w:p>
      <w:pPr>
        <w:ind w:left="620"/>
        <w:spacing w:after="0"/>
        <w:tabs>
          <w:tab w:leader="none" w:pos="15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asset or liability's fair value measurement level within the fair value hierarchy is based on the lowest level of any inputs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4—FAIR VALUE MEASUREMENT </w:t>
      </w:r>
      <w:r>
        <w:rPr>
          <w:rFonts w:ascii="Arial" w:cs="Arial" w:eastAsia="Arial" w:hAnsi="Arial"/>
          <w:sz w:val="18"/>
          <w:szCs w:val="18"/>
          <w:color w:val="auto"/>
        </w:rPr>
        <w:t>(continued)</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have been no changes in the methodologies used at December 31, 2015 and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Brady common stock is valued at the closing price reported on the active market on which the individual securities are traded.</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Shares of mutual funds are valued at the daily closing price as reported by the fund. Mutual funds held by the Plan are open-end mutual funds that are registered with the Securities and Exchange Commission. These funds are required to publish their daily net asset value (NAV) and to transact at that price. The mutual funds held by the Plan are deemed to be actively traded.</w:t>
      </w:r>
    </w:p>
    <w:p>
      <w:pPr>
        <w:spacing w:after="0" w:line="12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common collective trust fund is valued at the net asset value of the fund based on the fair value of the underlying investments and then adjusted by the issuer to contract value. The objectives of the common collective trust fund are to maximize current income, while maintaining principal and to provide for withdrawals for certain participant-initiated transactions under a plan without penalty or adjustments. The collective trust fund does not have a finite life, unfunded commitments relating to these types of investments, or significant restrictions on redemptions.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money market funds are valued at a stable $1.00 net asset value which approximates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Growth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42,062,039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42,062,039</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Blended fund</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20,447,399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20,447,399</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20,580,397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20,580,397</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20,159,913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20,159,913</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56,132,983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56,132,983</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15,460,943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15,460,943</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Other fund</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2,395,162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2,395,162</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3,269,634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3,269,634</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25,913,430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25,913,430</w:t>
            </w:r>
          </w:p>
        </w:tc>
      </w:tr>
      <w:tr>
        <w:trPr>
          <w:trHeight w:val="27"/>
        </w:trPr>
        <w:tc>
          <w:tcPr>
            <w:tcW w:w="4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180,508,470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25,913,430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206,421,900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level, within the fair value hierarchy, the Plan’s assets at fair value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Growth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43,689,242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43,689,242</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Blended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21,445,069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21,445,069</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Value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23,032,126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23,032,126</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22,058,424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22,058,424</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Target date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51,734,901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51,734,901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Bond funds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15,725,157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15,725,157</w:t>
            </w:r>
          </w:p>
        </w:tc>
      </w:tr>
      <w:tr>
        <w:trPr>
          <w:trHeight w:val="243"/>
        </w:trPr>
        <w:tc>
          <w:tcPr>
            <w:tcW w:w="4640" w:type="dxa"/>
            <w:vAlign w:val="bottom"/>
          </w:tcPr>
          <w:p>
            <w:pPr>
              <w:ind w:left="380"/>
              <w:spacing w:after="0"/>
              <w:rPr>
                <w:sz w:val="20"/>
                <w:szCs w:val="20"/>
                <w:color w:val="auto"/>
              </w:rPr>
            </w:pPr>
            <w:r>
              <w:rPr>
                <w:rFonts w:ascii="Arial" w:cs="Arial" w:eastAsia="Arial" w:hAnsi="Arial"/>
                <w:sz w:val="18"/>
                <w:szCs w:val="18"/>
                <w:color w:val="auto"/>
              </w:rPr>
              <w:t>Other funds</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3,032,247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3,032,247</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9,814,609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9,814,609</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Brady common stock</w:t>
            </w:r>
          </w:p>
        </w:tc>
        <w:tc>
          <w:tcPr>
            <w:tcW w:w="3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3,807,761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3,807,761</w:t>
            </w:r>
          </w:p>
        </w:tc>
      </w:tr>
      <w:tr>
        <w:trPr>
          <w:trHeight w:val="27"/>
        </w:trPr>
        <w:tc>
          <w:tcPr>
            <w:tcW w:w="4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collective trust fund</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17,029,216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17,029,216</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184,524,927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26,843,825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211,368,752</w:t>
            </w:r>
          </w:p>
        </w:tc>
      </w:tr>
      <w:tr>
        <w:trPr>
          <w:trHeight w:val="27"/>
        </w:trPr>
        <w:tc>
          <w:tcPr>
            <w:tcW w:w="4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5—PLAN TERMINATION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fully vested in unvested Company matching contributions in their accounts. Distribution of such account balances shall be made by the Trustee to the participants within a reasonable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6—FEDERAL INCOME TAX STATUS</w:t>
      </w:r>
    </w:p>
    <w:p>
      <w:pPr>
        <w:spacing w:after="0" w:line="9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Plan uses a prototype plan document sponsored by PNC Bank (PNC or the Trustee). PNC received an opinion letter from the Internal Revenue Service (IRS), dated March 31, 2008,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3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7—EXEMPT PARTY-IN-INTEREST TRANSACTIONS</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Plan invests in Company common stock. In addition, certain plan investments represent a common collective trust fund managed by the Trustee. These transactions are considered party-in-interest transactions. These transactions are not, however, considered prohibited transactions under ERISA regulations. Fees paid by the Plan for investment management services were included as a reduction of the return earned on each fund.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2015 and 2014, the Plan held 142,276 and 139,274 shares, respectively, of common stock of Brady Corporation, with a cost basis of</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$3,542,028 and $3,534,008, respectively. During the years ended December 31, 2015 and 2014, the Plan recorded dividend income from the common stock of Brady Corporation of $110,522 and $96,852,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AND FOR THE YEARS ENDED DECEMBER 31, 2015 AND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8—RECONCILIATION TO FORM 5500</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fully benefit-responsive investment contract in the accompanying financial statements is reported at contract value; however, it is recorded at fair value in the Plan’s Form 5500. Benefit payable amounts represent the value of distributions requested but not paid until the following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210,325,661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214,993,678</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w:t>
            </w: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192,984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259,033</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payable</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(113,144)</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210,461,332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215,139,567</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increase in net assets available for benefits per the financial statements to the Form 5500 for the year ended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net assets available for benefits per financial statements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(4,668,017)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5,837,354</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3"/>
              </w:rPr>
              <w:t>Adjustment from contract value to fair value for fully benefit-responsive investment contract at end</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of year</w:t>
            </w:r>
          </w:p>
        </w:tc>
        <w:tc>
          <w:tcPr>
            <w:tcW w:w="4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192,984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259,033</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 at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(259,033)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(337,947)</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Benefits payable at end of year</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(113,144)</w:t>
            </w:r>
          </w:p>
        </w:tc>
      </w:tr>
      <w:tr>
        <w:trPr>
          <w:trHeight w:val="27"/>
        </w:trPr>
        <w:tc>
          <w:tcPr>
            <w:tcW w:w="7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payable at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Amounts reported per Form 5500</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(4,678,235)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5,645,296</w:t>
            </w:r>
          </w:p>
        </w:tc>
      </w:tr>
      <w:tr>
        <w:trPr>
          <w:trHeight w:val="27"/>
        </w:trPr>
        <w:tc>
          <w:tcPr>
            <w:tcW w:w="7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1440" w:right="1440"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BRADY MATCHED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2015</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EIN #: 39-0178960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 003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Identity of Issuer, Lessor, or Similar Party</w:t>
            </w:r>
          </w:p>
        </w:tc>
        <w:tc>
          <w:tcPr>
            <w:tcW w:w="1900" w:type="dxa"/>
            <w:vAlign w:val="bottom"/>
            <w:gridSpan w:val="3"/>
            <w:vMerge w:val="restart"/>
          </w:tcPr>
          <w:p>
            <w:pPr>
              <w:jc w:val="right"/>
              <w:ind w:right="940"/>
              <w:spacing w:after="0"/>
              <w:rPr>
                <w:sz w:val="20"/>
                <w:szCs w:val="20"/>
                <w:color w:val="auto"/>
              </w:rPr>
            </w:pPr>
            <w:r>
              <w:rPr>
                <w:rFonts w:ascii="Arial" w:cs="Arial" w:eastAsia="Arial" w:hAnsi="Arial"/>
                <w:sz w:val="14"/>
                <w:szCs w:val="14"/>
                <w:b w:val="1"/>
                <w:bCs w:val="1"/>
                <w:color w:val="auto"/>
              </w:rPr>
              <w:t>Cost**</w:t>
            </w:r>
          </w:p>
        </w:tc>
        <w:tc>
          <w:tcPr>
            <w:tcW w:w="1200" w:type="dxa"/>
            <w:vAlign w:val="bottom"/>
          </w:tcPr>
          <w:p>
            <w:pPr>
              <w:jc w:val="right"/>
              <w:ind w:right="411"/>
              <w:spacing w:after="0"/>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58"/>
        </w:trPr>
        <w:tc>
          <w:tcPr>
            <w:tcW w:w="6880" w:type="dxa"/>
            <w:vAlign w:val="bottom"/>
            <w:gridSpan w:val="3"/>
            <w:vMerge w:val="continue"/>
          </w:tcPr>
          <w:p>
            <w:pPr>
              <w:spacing w:after="0"/>
              <w:rPr>
                <w:sz w:val="13"/>
                <w:szCs w:val="13"/>
                <w:color w:val="auto"/>
              </w:rPr>
            </w:pPr>
          </w:p>
        </w:tc>
        <w:tc>
          <w:tcPr>
            <w:tcW w:w="1900" w:type="dxa"/>
            <w:vAlign w:val="bottom"/>
            <w:gridSpan w:val="3"/>
            <w:vMerge w:val="continue"/>
          </w:tcPr>
          <w:p>
            <w:pPr>
              <w:spacing w:after="0"/>
              <w:rPr>
                <w:sz w:val="13"/>
                <w:szCs w:val="13"/>
                <w:color w:val="auto"/>
              </w:rPr>
            </w:pPr>
          </w:p>
        </w:tc>
        <w:tc>
          <w:tcPr>
            <w:tcW w:w="1200" w:type="dxa"/>
            <w:vAlign w:val="bottom"/>
          </w:tcPr>
          <w:p>
            <w:pPr>
              <w:jc w:val="right"/>
              <w:ind w:right="491"/>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MUTUAL FUNDS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Growth Fund of America</w:t>
            </w:r>
          </w:p>
        </w:tc>
        <w:tc>
          <w:tcPr>
            <w:tcW w:w="1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32,824,646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Fidelity Diversified International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12,995,729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American Century Small Cap Value</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8,527,742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LSV Value Equity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12,052,655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2010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5,355,450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 Rowe Price Retirement 2020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12,144,658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2030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16,704,094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 Rowe Price Retirement 2040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14,525,219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2050</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6,589,526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 Rowe Price Retirement 2060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T. Rowe Price Retirement Balanced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787,940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Oppenheimer Developing Markets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6,272,952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Wasatch Frontier Emerging Small Countries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891,232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Voya Smallcap Opportunities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9,237,393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PIMCO CommoditiesPLUS Strategy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Vanguard Total Stock Market Index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20,447,399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Vanguard Total Bond Market Index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13,397,815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MFS Emerging Markets Debt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2,063,128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177,238,836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COMMON COLLECTIVE TRUST FUND</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PNC Stable Value Fund*</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25,913,430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8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COMMON STOCK</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Brady Corporation Class A Non-voting*</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3,269,634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8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NOTES RECEIVABLE from PARTICIPANTS, at various interest rates and due</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through May 05, 2045*</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2,859,328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(HELD AT END OF YEAR)</w:t>
            </w:r>
          </w:p>
        </w:tc>
        <w:tc>
          <w:tcPr>
            <w:tcW w:w="19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209,281,228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700" w:hanging="665"/>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Party-in-interest in the Plan.</w:t>
      </w:r>
    </w:p>
    <w:p>
      <w:pPr>
        <w:spacing w:after="0" w:line="63" w:lineRule="exact"/>
        <w:rPr>
          <w:sz w:val="20"/>
          <w:szCs w:val="20"/>
          <w:color w:val="auto"/>
        </w:rPr>
      </w:pPr>
    </w:p>
    <w:p>
      <w:pPr>
        <w:ind w:left="700" w:hanging="66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are participant directed and as such cost information is not required.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1440" w:gutter="0" w:footer="0" w:header="0"/>
          <w:type w:val="continuous"/>
        </w:sectPr>
      </w:pPr>
    </w:p>
    <w:bookmarkStart w:id="17" w:name="page18"/>
    <w:bookmarkEnd w:id="17"/>
    <w:p>
      <w:pPr>
        <w:jc w:val="center"/>
        <w:ind w:right="-4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BRADY MATCHED 401(k) PLAN</w:t>
      </w:r>
    </w:p>
    <w:p>
      <w:pPr>
        <w:spacing w:after="0" w:line="387" w:lineRule="exact"/>
        <w:rPr>
          <w:sz w:val="20"/>
          <w:szCs w:val="20"/>
          <w:color w:val="auto"/>
        </w:rPr>
      </w:pPr>
    </w:p>
    <w:p>
      <w:pPr>
        <w:ind w:left="40"/>
        <w:spacing w:after="0"/>
        <w:tabs>
          <w:tab w:leader="none" w:pos="7320" w:val="left"/>
        </w:tabs>
        <w:rPr>
          <w:sz w:val="20"/>
          <w:szCs w:val="20"/>
          <w:color w:val="auto"/>
        </w:rPr>
      </w:pPr>
      <w:r>
        <w:rPr>
          <w:rFonts w:ascii="Arial" w:cs="Arial" w:eastAsia="Arial" w:hAnsi="Arial"/>
          <w:sz w:val="18"/>
          <w:szCs w:val="18"/>
          <w:color w:val="auto"/>
        </w:rPr>
        <w:t>Date: June 16, 2016</w:t>
      </w:r>
      <w:r>
        <w:rPr>
          <w:sz w:val="20"/>
          <w:szCs w:val="20"/>
          <w:color w:val="auto"/>
        </w:rPr>
        <w:tab/>
      </w:r>
      <w:r>
        <w:rPr>
          <w:rFonts w:ascii="Arial" w:cs="Arial" w:eastAsia="Arial" w:hAnsi="Arial"/>
          <w:sz w:val="17"/>
          <w:szCs w:val="17"/>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Aaron Pearce</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Plan Administrative Committee Member</w:t>
      </w:r>
    </w:p>
    <w:p>
      <w:pPr>
        <w:sectPr>
          <w:pgSz w:w="11900" w:h="16838" w:orient="portrait"/>
          <w:cols w:equalWidth="0" w:num="1">
            <w:col w:w="11000"/>
          </w:cols>
          <w:pgMar w:left="240" w:top="584" w:right="6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16, 2016 appearing in this Annual Report on Form 11-K of Brady Matched 401(k) Plan for the year ended December 31,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CliftonLarsonAllen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2019-12-05T16:54:39Z</dcterms:created>
  <dcterms:modified xsi:type="dcterms:W3CDTF">2019-12-05T16:54:39Z</dcterms:modified>
</cp:coreProperties>
</file>