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4"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7"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4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01" w:lineRule="exact"/>
        <w:rPr>
          <w:sz w:val="24"/>
          <w:szCs w:val="24"/>
          <w:color w:val="auto"/>
        </w:rPr>
      </w:pPr>
    </w:p>
    <w:p>
      <w:pPr>
        <w:ind w:left="2620"/>
        <w:spacing w:after="0"/>
        <w:rPr>
          <w:sz w:val="20"/>
          <w:szCs w:val="20"/>
          <w:color w:val="auto"/>
        </w:rPr>
      </w:pPr>
      <w:r>
        <w:rPr>
          <w:rFonts w:ascii="Arial" w:cs="Arial" w:eastAsia="Arial" w:hAnsi="Arial"/>
          <w:sz w:val="21"/>
          <w:szCs w:val="21"/>
          <w:b w:val="1"/>
          <w:bCs w:val="1"/>
          <w:color w:val="auto"/>
        </w:rPr>
        <w:t>Date of Report (Date of earliest event reported): February 14,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164465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4"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BRADY CORPORATION</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56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1-14959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39-0971239</w:t>
      </w:r>
    </w:p>
    <w:p>
      <w:pPr>
        <w:spacing w:after="0" w:line="46" w:lineRule="exact"/>
        <w:rPr>
          <w:sz w:val="24"/>
          <w:szCs w:val="24"/>
          <w:color w:val="auto"/>
        </w:rPr>
      </w:pPr>
    </w:p>
    <w:p>
      <w:pPr>
        <w:sectPr>
          <w:pgSz w:w="11900" w:h="16838" w:orient="portrait"/>
          <w:cols w:equalWidth="0" w:num="3">
            <w:col w:w="4820" w:space="720"/>
            <w:col w:w="292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ind w:left="4660"/>
        <w:spacing w:after="0"/>
        <w:rPr>
          <w:sz w:val="20"/>
          <w:szCs w:val="20"/>
          <w:color w:val="auto"/>
        </w:rPr>
      </w:pPr>
      <w:r>
        <w:rPr>
          <w:rFonts w:ascii="Arial" w:cs="Arial" w:eastAsia="Arial" w:hAnsi="Arial"/>
          <w:sz w:val="18"/>
          <w:szCs w:val="18"/>
          <w:b w:val="1"/>
          <w:bCs w:val="1"/>
          <w:color w:val="auto"/>
        </w:rPr>
        <w:t>6555 West Good Hope Road</w:t>
      </w:r>
    </w:p>
    <w:p>
      <w:pPr>
        <w:spacing w:after="0" w:line="21"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Milwaukee, Wisconsin 53223</w:t>
      </w:r>
    </w:p>
    <w:p>
      <w:pPr>
        <w:spacing w:after="0" w:line="12" w:lineRule="exact"/>
        <w:rPr>
          <w:sz w:val="24"/>
          <w:szCs w:val="24"/>
          <w:color w:val="auto"/>
        </w:rPr>
      </w:pPr>
    </w:p>
    <w:p>
      <w:pPr>
        <w:jc w:val="center"/>
        <w:ind w:right="-67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21" w:lineRule="exact"/>
        <w:rPr>
          <w:sz w:val="24"/>
          <w:szCs w:val="24"/>
          <w:color w:val="auto"/>
        </w:rPr>
      </w:pPr>
    </w:p>
    <w:p>
      <w:pPr>
        <w:jc w:val="center"/>
        <w:ind w:right="-679"/>
        <w:spacing w:after="0"/>
        <w:rPr>
          <w:sz w:val="20"/>
          <w:szCs w:val="20"/>
          <w:color w:val="auto"/>
        </w:rPr>
      </w:pPr>
      <w:r>
        <w:rPr>
          <w:rFonts w:ascii="Arial" w:cs="Arial" w:eastAsia="Arial" w:hAnsi="Arial"/>
          <w:sz w:val="15"/>
          <w:szCs w:val="15"/>
          <w:b w:val="1"/>
          <w:bCs w:val="1"/>
          <w:color w:val="auto"/>
        </w:rPr>
        <w:t>Registrant’s telephone number, including area code: (414) 358-6600</w:t>
      </w:r>
    </w:p>
    <w:p>
      <w:pPr>
        <w:spacing w:after="0" w:line="194"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p>
      <w:pPr>
        <w:spacing w:after="0" w:line="370"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4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On February 16, 2012, Brady Corporation (the “Corporation”) issued a press release announcing its fiscal 2012 second quarter financial results. A copy of the press release is being furnished to the Securities and Exchange Commission as Exhibit 99.1 attached hereto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Item 2.06 MATERIAL IMPAIRMENTS</w:t>
      </w:r>
    </w:p>
    <w:p>
      <w:pPr>
        <w:spacing w:after="0" w:line="14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February 14, 2012, the Corporation concluded that under generally accepted accounting principles a material charge of approximately $116 million for impairment of goodwill related to the Corporation’s North/South Asia reporting unit will be recorded in the Corporation’s second fiscal quarter ended January 31, 2012. Management, in consultation with the Audit Committee of the Board of Directors of the Corporation, concluded that this charge is appropriate due to a recent decline in operating results and financial forecasts within this reporting unit. Operating results and financial forecasts in the North/South Asia reporting unit have been impacted by reduced sales volumes to one of the Company’s major mobile handset customers due to shifts in end market shares and compressed gross profit margins caused primarily by increased competition in the mobile handset industry. The impact of the reduced sales volume has been offset by additional opportunities within the mobile handset market, but at a reduced gross margin percentage. Management believes that these events are not temporary and that gross margins in the mobile handset market are not likely to improve materially in the near term.</w:t>
      </w:r>
    </w:p>
    <w:p>
      <w:pPr>
        <w:spacing w:after="0" w:line="91" w:lineRule="exact"/>
        <w:rPr>
          <w:sz w:val="20"/>
          <w:szCs w:val="20"/>
          <w:color w:val="auto"/>
        </w:rPr>
      </w:pPr>
    </w:p>
    <w:p>
      <w:pPr>
        <w:ind w:right="120" w:firstLine="456"/>
        <w:spacing w:after="0" w:line="407" w:lineRule="auto"/>
        <w:rPr>
          <w:sz w:val="20"/>
          <w:szCs w:val="20"/>
          <w:color w:val="auto"/>
        </w:rPr>
      </w:pPr>
      <w:r>
        <w:rPr>
          <w:rFonts w:ascii="Arial" w:cs="Arial" w:eastAsia="Arial" w:hAnsi="Arial"/>
          <w:sz w:val="18"/>
          <w:szCs w:val="18"/>
          <w:color w:val="auto"/>
        </w:rPr>
        <w:t>This non-cash impairment charge does not impact the Company’s future cash flow, liquidity, or compliance with debt covenants in its various agreements. Item 5.03 AMENDMENTS TO ARTICLES OF INCORPORATION OR BYLAWS; CHANGE IN FISCAL YEAR</w:t>
      </w:r>
    </w:p>
    <w:p>
      <w:pPr>
        <w:ind w:right="20" w:firstLine="456"/>
        <w:spacing w:after="0" w:line="256" w:lineRule="auto"/>
        <w:rPr>
          <w:sz w:val="20"/>
          <w:szCs w:val="20"/>
          <w:color w:val="auto"/>
        </w:rPr>
      </w:pPr>
      <w:r>
        <w:rPr>
          <w:rFonts w:ascii="Arial" w:cs="Arial" w:eastAsia="Arial" w:hAnsi="Arial"/>
          <w:sz w:val="18"/>
          <w:szCs w:val="18"/>
          <w:color w:val="auto"/>
        </w:rPr>
        <w:t>On February 15, 2012, the Corporation’s Board of Directors approved an amendment to the Corporation’s Bylaws. Section 3.02 of Article III of the Bylaws was amended to extend the mandatory retirement age for Directors from 70 to 72. The Bylaws, as amended, became effective immediately upon approval by the Board of Directors. The foregoing description of the Bylaws, as amended, is qualified in its entirety by reference to the full text of the Bylaws, a copy of which is filed herewith as Exhibit 3.2 and is incorporated herein by reference.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Item 7.01 REGULATION FD DISCLOSURE</w:t>
      </w:r>
    </w:p>
    <w:p>
      <w:pPr>
        <w:spacing w:after="0" w:line="14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February 16, 2012, the Corporation hosted a conference call related to its fiscal 2012 second quarter financial results. A copy of the slides referenced in the conference call, which is also posted on the Corporation’s website, is being furnished to the Securities and Exchange Commission as Exhibit 99.2 attached hereto and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filed as Exhibits to this report.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10400" w:type="dxa"/>
            <w:vAlign w:val="bottom"/>
          </w:tcPr>
          <w:p>
            <w:pPr>
              <w:spacing w:after="0"/>
              <w:rPr>
                <w:sz w:val="14"/>
                <w:szCs w:val="14"/>
                <w:color w:val="auto"/>
              </w:rPr>
            </w:pPr>
          </w:p>
        </w:tc>
      </w:tr>
      <w:tr>
        <w:trPr>
          <w:trHeight w:val="16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10400" w:type="dxa"/>
            <w:vAlign w:val="bottom"/>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0" w:type="dxa"/>
            <w:vAlign w:val="bottom"/>
            <w:tcBorders>
              <w:bottom w:val="single" w:sz="8" w:color="auto"/>
            </w:tcBorders>
          </w:tcPr>
          <w:p>
            <w:pPr>
              <w:spacing w:after="0" w:line="20" w:lineRule="exact"/>
              <w:rPr>
                <w:sz w:val="1"/>
                <w:szCs w:val="1"/>
                <w:color w:val="auto"/>
              </w:rPr>
            </w:pPr>
          </w:p>
        </w:tc>
      </w:tr>
      <w:tr>
        <w:trPr>
          <w:trHeight w:val="289"/>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Bylaws of Brady Corporation, as amended February 15, 2012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Press Release of Brady Corporation, dated February 16, 2012, relating to second quarter fiscal 2012 financial results.</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8"/>
              </w:rPr>
              <w:t>Informational slides provided by Brady Corporation, dated February 16, 2012, relating to second quarter fiscal 2012 financial results.</w:t>
            </w:r>
          </w:p>
        </w:tc>
      </w:tr>
    </w:tbl>
    <w:p>
      <w:pPr>
        <w:sectPr>
          <w:pgSz w:w="11900" w:h="16838" w:orient="portrait"/>
          <w:cols w:equalWidth="0" w:num="1">
            <w:col w:w="11420"/>
          </w:cols>
          <w:pgMar w:left="240" w:top="2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4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BRADY CORPORATION</w:t>
            </w:r>
          </w:p>
        </w:tc>
      </w:tr>
      <w:tr>
        <w:trPr>
          <w:trHeight w:val="393"/>
        </w:trPr>
        <w:tc>
          <w:tcPr>
            <w:tcW w:w="6080" w:type="dxa"/>
            <w:vAlign w:val="bottom"/>
          </w:tcPr>
          <w:p>
            <w:pPr>
              <w:spacing w:after="0"/>
              <w:rPr>
                <w:sz w:val="20"/>
                <w:szCs w:val="20"/>
                <w:color w:val="auto"/>
              </w:rPr>
            </w:pPr>
            <w:r>
              <w:rPr>
                <w:rFonts w:ascii="Arial" w:cs="Arial" w:eastAsia="Arial" w:hAnsi="Arial"/>
                <w:sz w:val="18"/>
                <w:szCs w:val="18"/>
                <w:color w:val="auto"/>
              </w:rPr>
              <w:t>Date: February 16, 2012</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Thomas J. Felmer</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Thomas J. Felmer</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Senior Vice President &amp; Chief Financial Officer</w:t>
            </w:r>
          </w:p>
        </w:tc>
      </w:tr>
    </w:tbl>
    <w:p>
      <w:pPr>
        <w:sectPr>
          <w:pgSz w:w="11900" w:h="16838" w:orient="portrait"/>
          <w:cols w:equalWidth="0" w:num="1">
            <w:col w:w="11420"/>
          </w:cols>
          <w:pgMar w:left="240" w:top="280"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0" w:type="dxa"/>
            <w:vAlign w:val="bottom"/>
          </w:tcPr>
          <w:p>
            <w:pPr>
              <w:ind w:left="3640"/>
              <w:spacing w:after="0"/>
              <w:rPr>
                <w:sz w:val="20"/>
                <w:szCs w:val="20"/>
                <w:color w:val="auto"/>
              </w:rPr>
            </w:pPr>
            <w:r>
              <w:rPr>
                <w:rFonts w:ascii="Arial" w:cs="Arial" w:eastAsia="Arial" w:hAnsi="Arial"/>
                <w:sz w:val="18"/>
                <w:szCs w:val="18"/>
                <w:color w:val="auto"/>
              </w:rPr>
              <w:t>EXHIBIT INDEX</w:t>
            </w:r>
          </w:p>
        </w:tc>
      </w:tr>
      <w:tr>
        <w:trPr>
          <w:trHeight w:val="286"/>
        </w:trPr>
        <w:tc>
          <w:tcPr>
            <w:tcW w:w="6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780" w:type="dxa"/>
            <w:vAlign w:val="bottom"/>
          </w:tcPr>
          <w:p>
            <w:pPr>
              <w:spacing w:after="0"/>
              <w:rPr>
                <w:sz w:val="24"/>
                <w:szCs w:val="24"/>
                <w:color w:val="auto"/>
              </w:rPr>
            </w:pPr>
          </w:p>
        </w:tc>
        <w:tc>
          <w:tcPr>
            <w:tcW w:w="10000" w:type="dxa"/>
            <w:vAlign w:val="bottom"/>
          </w:tcPr>
          <w:p>
            <w:pPr>
              <w:spacing w:after="0"/>
              <w:rPr>
                <w:sz w:val="24"/>
                <w:szCs w:val="24"/>
                <w:color w:val="auto"/>
              </w:rPr>
            </w:pPr>
          </w:p>
        </w:tc>
      </w:tr>
      <w:tr>
        <w:trPr>
          <w:trHeight w:val="16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780" w:type="dxa"/>
            <w:vAlign w:val="bottom"/>
          </w:tcPr>
          <w:p>
            <w:pPr>
              <w:spacing w:after="0"/>
              <w:rPr>
                <w:sz w:val="14"/>
                <w:szCs w:val="14"/>
                <w:color w:val="auto"/>
              </w:rPr>
            </w:pPr>
          </w:p>
        </w:tc>
        <w:tc>
          <w:tcPr>
            <w:tcW w:w="1000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0" w:type="dxa"/>
            <w:vAlign w:val="bottom"/>
            <w:tcBorders>
              <w:bottom w:val="single" w:sz="8" w:color="auto"/>
            </w:tcBorders>
          </w:tcPr>
          <w:p>
            <w:pPr>
              <w:spacing w:after="0" w:line="20" w:lineRule="exact"/>
              <w:rPr>
                <w:sz w:val="1"/>
                <w:szCs w:val="1"/>
                <w:color w:val="auto"/>
              </w:rPr>
            </w:pPr>
          </w:p>
        </w:tc>
      </w:tr>
      <w:tr>
        <w:trPr>
          <w:trHeight w:val="289"/>
        </w:trPr>
        <w:tc>
          <w:tcPr>
            <w:tcW w:w="640" w:type="dxa"/>
            <w:vAlign w:val="bottom"/>
          </w:tcPr>
          <w:p>
            <w:pPr>
              <w:spacing w:after="0"/>
              <w:rPr>
                <w:sz w:val="20"/>
                <w:szCs w:val="20"/>
                <w:color w:val="auto"/>
              </w:rPr>
            </w:pPr>
            <w:r>
              <w:rPr>
                <w:rFonts w:ascii="Arial" w:cs="Arial" w:eastAsia="Arial" w:hAnsi="Arial"/>
                <w:sz w:val="18"/>
                <w:szCs w:val="18"/>
                <w:color w:val="auto"/>
              </w:rPr>
              <w:t>3.02</w:t>
            </w:r>
          </w:p>
        </w:tc>
        <w:tc>
          <w:tcPr>
            <w:tcW w:w="7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Bylaws of Brady Corporation, as amended February 15, 2012</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Press Release of Brady Corporation, dated February 16, 2012, relating to second quarter fiscal 2012 financial results.</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99.2</w:t>
            </w:r>
          </w:p>
        </w:tc>
        <w:tc>
          <w:tcPr>
            <w:tcW w:w="7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4"/>
              </w:rPr>
              <w:t>Informational slides provided by Brady Corporation, dated February 16, 2012, relating to second quarter fiscal 2012 financial results.</w:t>
            </w:r>
          </w:p>
        </w:tc>
      </w:tr>
    </w:tbl>
    <w:p>
      <w:pPr>
        <w:sectPr>
          <w:pgSz w:w="11900" w:h="16838" w:orient="portrait"/>
          <w:cols w:equalWidth="0" w:num="1">
            <w:col w:w="11420"/>
          </w:cols>
          <w:pgMar w:left="240" w:top="2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3.02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BY-LAWS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14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BRADY CORPORATION</w:t>
      </w:r>
    </w:p>
    <w:p>
      <w:pPr>
        <w:spacing w:after="0" w:line="1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(formerly W. H. Brady Co.)</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As Amended February 15, 2012</w:t>
      </w:r>
    </w:p>
    <w:p>
      <w:pPr>
        <w:sectPr>
          <w:pgSz w:w="11900" w:h="16838" w:orient="portrait"/>
          <w:cols w:equalWidth="0" w:num="1">
            <w:col w:w="11420"/>
          </w:cols>
          <w:pgMar w:left="240" w:top="12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 OFFICES</w:t>
      </w:r>
    </w:p>
    <w:p>
      <w:pPr>
        <w:spacing w:after="0" w:line="15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1.01 Principal and Business Offices. </w:t>
      </w:r>
      <w:r>
        <w:rPr>
          <w:rFonts w:ascii="Arial" w:cs="Arial" w:eastAsia="Arial" w:hAnsi="Arial"/>
          <w:sz w:val="18"/>
          <w:szCs w:val="18"/>
          <w:color w:val="auto"/>
        </w:rPr>
        <w:t>The corporation may have such principal and other business offices either within or without the State of Wisconsin as</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may designate or as the business of the corporation may require from time to time.</w:t>
      </w:r>
    </w:p>
    <w:p>
      <w:pPr>
        <w:spacing w:after="0" w:line="10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1.02 Registered Office. </w:t>
      </w:r>
      <w:r>
        <w:rPr>
          <w:rFonts w:ascii="Arial" w:cs="Arial" w:eastAsia="Arial" w:hAnsi="Arial"/>
          <w:sz w:val="16"/>
          <w:szCs w:val="16"/>
          <w:color w:val="auto"/>
        </w:rPr>
        <w:t>The registered office of the corporation required by the Wisconsin Business Corporation Law to be maintained in the State of</w:t>
      </w:r>
      <w:r>
        <w:rPr>
          <w:rFonts w:ascii="Arial" w:cs="Arial" w:eastAsia="Arial" w:hAnsi="Arial"/>
          <w:sz w:val="16"/>
          <w:szCs w:val="16"/>
          <w:i w:val="1"/>
          <w:iCs w:val="1"/>
          <w:color w:val="auto"/>
        </w:rPr>
        <w:t xml:space="preserve"> </w:t>
      </w:r>
      <w:r>
        <w:rPr>
          <w:rFonts w:ascii="Arial" w:cs="Arial" w:eastAsia="Arial" w:hAnsi="Arial"/>
          <w:sz w:val="16"/>
          <w:szCs w:val="16"/>
          <w:color w:val="auto"/>
        </w:rPr>
        <w:t>Wisconsin may be, but need not be, identical with the principal office in the State of Wisconsin and the address of the registered office may be changed from time to time by any officer or by the registered agent. The business office of the registered agent of the corporation shall be identical to such registered office.</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SHAREHOLDERS</w:t>
      </w:r>
    </w:p>
    <w:p>
      <w:pPr>
        <w:spacing w:after="0" w:line="15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2.01 Annual Meeting. </w:t>
      </w:r>
      <w:r>
        <w:rPr>
          <w:rFonts w:ascii="Arial" w:cs="Arial" w:eastAsia="Arial" w:hAnsi="Arial"/>
          <w:sz w:val="16"/>
          <w:szCs w:val="16"/>
          <w:color w:val="auto"/>
        </w:rPr>
        <w:t>The annual meeting of the shareholders shall be held on the third Wednesday of November each year at 9:00 a.m., or at such other</w:t>
      </w:r>
      <w:r>
        <w:rPr>
          <w:rFonts w:ascii="Arial" w:cs="Arial" w:eastAsia="Arial" w:hAnsi="Arial"/>
          <w:sz w:val="16"/>
          <w:szCs w:val="16"/>
          <w:i w:val="1"/>
          <w:iCs w:val="1"/>
          <w:color w:val="auto"/>
        </w:rPr>
        <w:t xml:space="preserve"> </w:t>
      </w:r>
      <w:r>
        <w:rPr>
          <w:rFonts w:ascii="Arial" w:cs="Arial" w:eastAsia="Arial" w:hAnsi="Arial"/>
          <w:sz w:val="16"/>
          <w:szCs w:val="16"/>
          <w:color w:val="auto"/>
        </w:rPr>
        <w:t>time and date within 30 days before or after said date as may be fixed by or under the authority of the Board of Directors, for the purpose of electing directors and for the transaction of such other business as may come before the meeting. If the day fixed for the annual meeting shall be a legal holiday in the State of Wisconsin, such meeting shall be held on the next succeeding business day. If the election of directors shall not be held on the day designated herein, or fixed as herein provided, for any annual meeting of the shareholders, or at any adjournment thereof, the Board of Directors shall cause the election to be held at a special meeting of the shareholders as soon thereafter as conveniently may be.</w:t>
      </w:r>
    </w:p>
    <w:p>
      <w:pPr>
        <w:spacing w:after="0" w:line="9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2.02 Special Meeting. </w:t>
      </w:r>
      <w:r>
        <w:rPr>
          <w:rFonts w:ascii="Arial" w:cs="Arial" w:eastAsia="Arial" w:hAnsi="Arial"/>
          <w:sz w:val="18"/>
          <w:szCs w:val="18"/>
          <w:color w:val="auto"/>
        </w:rPr>
        <w:t>Special meetings of the shareholders for any purpose or purposes unless otherwise prescribed by statute, may be called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of the Board or the President or the Board of Directors or by the person designated in the written request of the holders of not less than one-tenth of all shares of the corporation entitled to vote at the meeting. The purpose or purposes of any special meeting shall be described in the notice required by Section 2.04 of these By-Laws.</w:t>
      </w:r>
    </w:p>
    <w:p>
      <w:pPr>
        <w:spacing w:after="0" w:line="11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i w:val="1"/>
          <w:iCs w:val="1"/>
          <w:color w:val="auto"/>
        </w:rPr>
        <w:t xml:space="preserve">2.03 Place of Meeting. </w:t>
      </w:r>
      <w:r>
        <w:rPr>
          <w:rFonts w:ascii="Arial" w:cs="Arial" w:eastAsia="Arial" w:hAnsi="Arial"/>
          <w:sz w:val="16"/>
          <w:szCs w:val="16"/>
          <w:color w:val="auto"/>
        </w:rPr>
        <w:t>The Board of Directors may designate any place, either within or without the State of Wisconsin, as the place of meeting for any</w:t>
      </w:r>
      <w:r>
        <w:rPr>
          <w:rFonts w:ascii="Arial" w:cs="Arial" w:eastAsia="Arial" w:hAnsi="Arial"/>
          <w:sz w:val="16"/>
          <w:szCs w:val="16"/>
          <w:i w:val="1"/>
          <w:iCs w:val="1"/>
          <w:color w:val="auto"/>
        </w:rPr>
        <w:t xml:space="preserve"> </w:t>
      </w:r>
      <w:r>
        <w:rPr>
          <w:rFonts w:ascii="Arial" w:cs="Arial" w:eastAsia="Arial" w:hAnsi="Arial"/>
          <w:sz w:val="16"/>
          <w:szCs w:val="16"/>
          <w:color w:val="auto"/>
        </w:rPr>
        <w:t>annual meeting or for any special meeting called by the Board of Directors. A waiver of notice signed by all shareholders entitled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 w:name="page7"/>
    <w:bookmarkEnd w:id="6"/>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vote at a meeting may designate any place, whether within or without the State of Wisconsin, as the place for the holding of such meeting. If no designation is made, or if a special meeting be otherwise called, the place of meeting shall be the principal business office of the corporation in the State of Wisconsin, but any meeting may be adjourned to reconvene at any place designated by vote or a majority of the shares represented thereat.</w:t>
      </w:r>
    </w:p>
    <w:p>
      <w:pPr>
        <w:spacing w:after="0" w:line="8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2.04 Notice of Meeting. </w:t>
      </w:r>
      <w:r>
        <w:rPr>
          <w:rFonts w:ascii="Arial" w:cs="Arial" w:eastAsia="Arial" w:hAnsi="Arial"/>
          <w:sz w:val="16"/>
          <w:szCs w:val="16"/>
          <w:color w:val="auto"/>
        </w:rPr>
        <w:t>Written notice stating the place, day and hour of the meeting and, in case of a special meeting, the purpose or purposes for which</w:t>
      </w:r>
      <w:r>
        <w:rPr>
          <w:rFonts w:ascii="Arial" w:cs="Arial" w:eastAsia="Arial" w:hAnsi="Arial"/>
          <w:sz w:val="16"/>
          <w:szCs w:val="16"/>
          <w:i w:val="1"/>
          <w:iCs w:val="1"/>
          <w:color w:val="auto"/>
        </w:rPr>
        <w:t xml:space="preserve"> </w:t>
      </w:r>
      <w:r>
        <w:rPr>
          <w:rFonts w:ascii="Arial" w:cs="Arial" w:eastAsia="Arial" w:hAnsi="Arial"/>
          <w:sz w:val="16"/>
          <w:szCs w:val="16"/>
          <w:color w:val="auto"/>
        </w:rPr>
        <w:t>the meeting is called, shall be delivered not less than 10 days (unless a longer period is required by law or the articles of incorporation) nor more than 50 days before the date of the meeting, either personally or by mail, by or at the direction of the Chairman of the Board or the President, the Secretary, or persons calling the meeting, to each shareholder of record entitled to vote at such meeting. If mailed, such notice shall be deemed to be delivered when deposited in the United States mail, addressed to the shareholder at his address as it appears on the stock record books of the corporation, with postage thereon prepaid.</w:t>
      </w:r>
    </w:p>
    <w:p>
      <w:pPr>
        <w:spacing w:after="0" w:line="8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i w:val="1"/>
          <w:iCs w:val="1"/>
          <w:color w:val="auto"/>
        </w:rPr>
        <w:t xml:space="preserve">2.05 Closing of Transfer Books or Fixing of Record Date. </w:t>
      </w:r>
      <w:r>
        <w:rPr>
          <w:rFonts w:ascii="Arial" w:cs="Arial" w:eastAsia="Arial" w:hAnsi="Arial"/>
          <w:sz w:val="16"/>
          <w:szCs w:val="16"/>
          <w:color w:val="auto"/>
        </w:rPr>
        <w:t>For the purpose of determining shareholders entitled to notice of or to vote at any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or any adjournment thereof, or shareholders entitled to receive payment of any dividend, or in order to make a determination of shareholders for any other proper purpose, the Board of Directors may provide that the stock transfer books shall be closed for a stated period, but not to exceed 50 days. If the stock transfer books shall be closed for the purpose of determining shareholders entitled to notice of or to vote at a meeting of shareholders, such books shall be closed for at least ten days immediately preceding such meeting. In lieu of closing the stock transfer books, the Board of Directors may fix in advance a date as the record date for any such determination of shareholders, such date in any case to be not more than 50 days and, in case of a meeting of shareholders, not less than ten days prior to the date on which the particular action, requiring such determination of shareholders is to be taken. If the stock transfer books are not closed and no record date is fixed for the determination of shareholders entitled to notice of or to vote at a meeting of shareholders, or shareholders entitled to receive payment of a dividend, the close of business on the date on which notice of the meeting is mailed or on the date on which the resolution of the Board of Directors declaring such dividend is adopted, as the case may be, shall be the record date for such determination of shareholders. When a determination of shareholders entitled to vote at any meeting of shareholders has been made as provided in this section, such determination shall be applied to any adjournment thereof except where the determination has been made through the closing of the stock transfer books and the stated period of closing has expired.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 w:name="page8"/>
    <w:bookmarkEnd w:id="7"/>
    <w:p>
      <w:pPr>
        <w:jc w:val="both"/>
        <w:ind w:firstLine="456"/>
        <w:spacing w:after="0" w:line="25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2.06 Voting Records. </w:t>
      </w:r>
      <w:r>
        <w:rPr>
          <w:rFonts w:ascii="Arial" w:cs="Arial" w:eastAsia="Arial" w:hAnsi="Arial"/>
          <w:sz w:val="18"/>
          <w:szCs w:val="18"/>
          <w:color w:val="auto"/>
        </w:rPr>
        <w:t>The officer or agent having charge of the stock transfer books for shares of the corporation shall, before each meeting of shareholders,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make a complete record of the shareholders entitled to vote at such meeting, or any adjournment thereof, with the address of and the number of shares held by each. Such record shall be produced and kept open at the time and place of the meeting and shall be subject to the inspection of any shareholder during the whole time of the meeting for the purposes of the meeting. The original stock transfer books shall be prima facie evidence as to who are the shareholders entitled to examine such record or transfer books or to vote at any meeting of shareholders. Failure to comply with the requirements of this section shall not affect the validity of any action taken at such meeting.</w:t>
      </w:r>
    </w:p>
    <w:p>
      <w:pPr>
        <w:spacing w:after="0" w:line="11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2.07 Quorum. </w:t>
      </w:r>
      <w:r>
        <w:rPr>
          <w:rFonts w:ascii="Arial" w:cs="Arial" w:eastAsia="Arial" w:hAnsi="Arial"/>
          <w:sz w:val="16"/>
          <w:szCs w:val="16"/>
          <w:color w:val="auto"/>
        </w:rPr>
        <w:t>Except as otherwise provided in the articles of incorporation, a majority of the shares entitled to vote, represented in person or by proxy,</w:t>
      </w:r>
      <w:r>
        <w:rPr>
          <w:rFonts w:ascii="Arial" w:cs="Arial" w:eastAsia="Arial" w:hAnsi="Arial"/>
          <w:sz w:val="16"/>
          <w:szCs w:val="16"/>
          <w:i w:val="1"/>
          <w:iCs w:val="1"/>
          <w:color w:val="auto"/>
        </w:rPr>
        <w:t xml:space="preserve"> </w:t>
      </w:r>
      <w:r>
        <w:rPr>
          <w:rFonts w:ascii="Arial" w:cs="Arial" w:eastAsia="Arial" w:hAnsi="Arial"/>
          <w:sz w:val="16"/>
          <w:szCs w:val="16"/>
          <w:color w:val="auto"/>
        </w:rPr>
        <w:t>shall constitute a quorum at a meeting of shareholders. If a quorum is present, the affirmative vote of the majority of the shares represented at the meeting and entitled to vote on the subject matter shall be the act of the shareholders unless the vote of a greater number or voting by classes is required by the Wisconsin Business Corporation Law or the articles of incorporation. If less than a quorum is represented at a meeting, a majority of the shares so represented may adjourn the meeting from time to time without further notice. At such adjourned meeting at which a quorum shall be present or represented, any business may be transacted which might have been transacted at the meeting as originally noticed. The shareholders present at a duly organized meeting may continue to transact business until adjournment, notwithstanding the withdrawal of enough shareholders to leave less than a quorum.</w:t>
      </w:r>
    </w:p>
    <w:p>
      <w:pPr>
        <w:spacing w:after="0" w:line="91"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i w:val="1"/>
          <w:iCs w:val="1"/>
          <w:color w:val="auto"/>
        </w:rPr>
        <w:t xml:space="preserve">2.08 Conduct of Meetings. </w:t>
      </w:r>
      <w:r>
        <w:rPr>
          <w:rFonts w:ascii="Arial" w:cs="Arial" w:eastAsia="Arial" w:hAnsi="Arial"/>
          <w:sz w:val="15"/>
          <w:szCs w:val="15"/>
          <w:color w:val="auto"/>
        </w:rPr>
        <w:t>The President and in his absence a Vice-President in the order provided under Article IV and in their absence any person chosen</w:t>
      </w:r>
      <w:r>
        <w:rPr>
          <w:rFonts w:ascii="Arial" w:cs="Arial" w:eastAsia="Arial" w:hAnsi="Arial"/>
          <w:sz w:val="15"/>
          <w:szCs w:val="15"/>
          <w:i w:val="1"/>
          <w:iCs w:val="1"/>
          <w:color w:val="auto"/>
        </w:rPr>
        <w:t xml:space="preserve"> </w:t>
      </w:r>
      <w:r>
        <w:rPr>
          <w:rFonts w:ascii="Arial" w:cs="Arial" w:eastAsia="Arial" w:hAnsi="Arial"/>
          <w:sz w:val="15"/>
          <w:szCs w:val="15"/>
          <w:color w:val="auto"/>
        </w:rPr>
        <w:t>by the shareholders present, shall call the meeting of the shareholders to order and shall act as chairman of the meeting, and the Secretary shall act as secretary of all meetings of the shareholders, but, in the absence of the secretary, the presiding officer may appoint any other person to act as secretary of the meeting.</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07" w:right="239" w:bottom="1440" w:gutter="0" w:footer="0" w:header="0"/>
        </w:sectPr>
      </w:pPr>
    </w:p>
    <w:bookmarkStart w:id="8" w:name="page9"/>
    <w:bookmarkEnd w:id="8"/>
    <w:p>
      <w:pPr>
        <w:jc w:val="both"/>
        <w:ind w:firstLine="456"/>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2.09 Proxies. </w:t>
      </w:r>
      <w:r>
        <w:rPr>
          <w:rFonts w:ascii="Arial" w:cs="Arial" w:eastAsia="Arial" w:hAnsi="Arial"/>
          <w:sz w:val="16"/>
          <w:szCs w:val="16"/>
          <w:color w:val="auto"/>
        </w:rPr>
        <w:t>At all meetings of shareholders, a shareholder entitled to vote may vote in person or by proxy appointed in writing by the shareholder or by</w:t>
      </w:r>
      <w:r>
        <w:rPr>
          <w:rFonts w:ascii="Arial" w:cs="Arial" w:eastAsia="Arial" w:hAnsi="Arial"/>
          <w:sz w:val="16"/>
          <w:szCs w:val="16"/>
          <w:i w:val="1"/>
          <w:iCs w:val="1"/>
          <w:color w:val="auto"/>
        </w:rPr>
        <w:t xml:space="preserve"> </w:t>
      </w:r>
      <w:r>
        <w:rPr>
          <w:rFonts w:ascii="Arial" w:cs="Arial" w:eastAsia="Arial" w:hAnsi="Arial"/>
          <w:sz w:val="16"/>
          <w:szCs w:val="16"/>
          <w:color w:val="auto"/>
        </w:rPr>
        <w:t>his duly authorized attorney in fact. Such proxy shall be filed with the Secretary before or at the time of the meeting. Unless otherwise provided in the proxy, a proxy may be revoked at any time before it is voted, either by written notice filed with the Secretary or the acting secretary of the meeting or by oral notice given by the shareholder to the presiding officer during the meeting. The presence of a shareholder who has filed his proxy shall not of itself constitute a revocation. No proxy shall be valid after 11 months from the date of its execution, unless otherwise provided in the proxy. The Board of Directors shall have the power and authority to make rules as to the validity and sufficiency of proxies.</w:t>
      </w:r>
    </w:p>
    <w:p>
      <w:pPr>
        <w:spacing w:after="0" w:line="93"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i w:val="1"/>
          <w:iCs w:val="1"/>
          <w:color w:val="auto"/>
        </w:rPr>
        <w:t xml:space="preserve">2.10 Voting of Shares. </w:t>
      </w:r>
      <w:r>
        <w:rPr>
          <w:rFonts w:ascii="Arial" w:cs="Arial" w:eastAsia="Arial" w:hAnsi="Arial"/>
          <w:sz w:val="16"/>
          <w:szCs w:val="16"/>
          <w:color w:val="auto"/>
        </w:rPr>
        <w:t>Each outstanding share shall be entitled to one vote upon each matter submitted to a vote at a meeting of shareholders, except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extent that the voting rights of the shares of any class or classes are enlarged, limited or denied by the articles of incorporation.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2.11 Voting of Shares by Certain Holders</w:t>
      </w:r>
      <w:r>
        <w:rPr>
          <w:rFonts w:ascii="Arial" w:cs="Arial" w:eastAsia="Arial" w:hAnsi="Arial"/>
          <w:sz w:val="18"/>
          <w:szCs w:val="18"/>
          <w:color w:val="auto"/>
        </w:rPr>
        <w:t>.</w:t>
      </w:r>
    </w:p>
    <w:p>
      <w:pPr>
        <w:spacing w:after="0" w:line="144" w:lineRule="exact"/>
        <w:rPr>
          <w:sz w:val="20"/>
          <w:szCs w:val="20"/>
          <w:color w:val="auto"/>
        </w:rPr>
      </w:pPr>
    </w:p>
    <w:p>
      <w:pPr>
        <w:jc w:val="both"/>
        <w:ind w:firstLine="921"/>
        <w:spacing w:after="0" w:line="298" w:lineRule="auto"/>
        <w:tabs>
          <w:tab w:leader="none" w:pos="1165"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Other Corporations. </w:t>
      </w:r>
      <w:r>
        <w:rPr>
          <w:rFonts w:ascii="Arial" w:cs="Arial" w:eastAsia="Arial" w:hAnsi="Arial"/>
          <w:sz w:val="16"/>
          <w:szCs w:val="16"/>
          <w:color w:val="auto"/>
        </w:rPr>
        <w:t>Shares standing in the name of another corporation may be voted either in person or by proxy, by the president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or any other officer appointed by such president. A proxy executed by any principal officer of such other corporation or assistant thereto shall be conclusive evidence of the signer’s authority to act, in the absence of express notice to this corporation, given in writing to the Secretary of this corporation, of the designation of some other person by the board of directors or the by-laws of such other corporation.</w:t>
      </w:r>
    </w:p>
    <w:p>
      <w:pPr>
        <w:spacing w:after="0" w:line="85" w:lineRule="exact"/>
        <w:rPr>
          <w:rFonts w:ascii="Arial" w:cs="Arial" w:eastAsia="Arial" w:hAnsi="Arial"/>
          <w:sz w:val="16"/>
          <w:szCs w:val="16"/>
          <w:color w:val="auto"/>
        </w:rPr>
      </w:pPr>
    </w:p>
    <w:p>
      <w:pPr>
        <w:jc w:val="both"/>
        <w:ind w:firstLine="921"/>
        <w:spacing w:after="0" w:line="254" w:lineRule="auto"/>
        <w:tabs>
          <w:tab w:leader="none" w:pos="1183"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Legal Representatives and Fiduciaries. </w:t>
      </w:r>
      <w:r>
        <w:rPr>
          <w:rFonts w:ascii="Arial" w:cs="Arial" w:eastAsia="Arial" w:hAnsi="Arial"/>
          <w:sz w:val="18"/>
          <w:szCs w:val="18"/>
          <w:color w:val="auto"/>
        </w:rPr>
        <w:t>Shares held by a personal representative, an administrator, executor, guardian, conservator, trustee in</w:t>
      </w:r>
      <w:r>
        <w:rPr>
          <w:rFonts w:ascii="Arial" w:cs="Arial" w:eastAsia="Arial" w:hAnsi="Arial"/>
          <w:sz w:val="18"/>
          <w:szCs w:val="18"/>
          <w:i w:val="1"/>
          <w:iCs w:val="1"/>
          <w:color w:val="auto"/>
        </w:rPr>
        <w:t xml:space="preserve"> </w:t>
      </w:r>
      <w:r>
        <w:rPr>
          <w:rFonts w:ascii="Arial" w:cs="Arial" w:eastAsia="Arial" w:hAnsi="Arial"/>
          <w:sz w:val="18"/>
          <w:szCs w:val="18"/>
          <w:color w:val="auto"/>
        </w:rPr>
        <w:t>bankruptcy, receiver, or assignee for creditors may be voted by him, either in person or by proxy, without a transfer of such shares into his name, provided that there is filed with the Secretary before or at the time of meeting proper evidence of his incumbency and the number of shares held. Shares standing in the name of a fiduciary may be voted by him, either in person or by proxy. A proxy executed by a fiduciary, shall be conclusive evidence of the signer’s authority to act, in the absence of express notice, given in writing to the Secretary, that such manner of voting is prohibited or otherwise directed by the document creating the fiduciary relationship.</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07" w:right="239" w:bottom="1440" w:gutter="0" w:footer="0" w:header="0"/>
        </w:sectPr>
      </w:pPr>
    </w:p>
    <w:bookmarkStart w:id="9" w:name="page10"/>
    <w:bookmarkEnd w:id="9"/>
    <w:p>
      <w:pPr>
        <w:ind w:left="-20" w:firstLine="921"/>
        <w:spacing w:after="0" w:line="268" w:lineRule="auto"/>
        <w:tabs>
          <w:tab w:leader="none" w:pos="116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Pledgees. A </w:t>
      </w:r>
      <w:r>
        <w:rPr>
          <w:rFonts w:ascii="Arial" w:cs="Arial" w:eastAsia="Arial" w:hAnsi="Arial"/>
          <w:sz w:val="18"/>
          <w:szCs w:val="18"/>
          <w:color w:val="auto"/>
        </w:rPr>
        <w:t>shareholder whose shares are pledged shall be entitled to vote such shares in person or by proxy until the shares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into the name of the pledgee, and thereafter the pledgee shall be entitled to vote the shares so transferred.</w:t>
      </w:r>
    </w:p>
    <w:p>
      <w:pPr>
        <w:spacing w:after="0" w:line="104" w:lineRule="exact"/>
        <w:rPr>
          <w:rFonts w:ascii="Arial" w:cs="Arial" w:eastAsia="Arial" w:hAnsi="Arial"/>
          <w:sz w:val="18"/>
          <w:szCs w:val="18"/>
          <w:i w:val="1"/>
          <w:iCs w:val="1"/>
          <w:color w:val="auto"/>
        </w:rPr>
      </w:pPr>
    </w:p>
    <w:p>
      <w:pPr>
        <w:jc w:val="both"/>
        <w:ind w:left="-20" w:firstLine="921"/>
        <w:spacing w:after="0" w:line="298" w:lineRule="auto"/>
        <w:tabs>
          <w:tab w:leader="none" w:pos="1141"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Treasury Stock and Subsidiaries. </w:t>
      </w:r>
      <w:r>
        <w:rPr>
          <w:rFonts w:ascii="Arial" w:cs="Arial" w:eastAsia="Arial" w:hAnsi="Arial"/>
          <w:sz w:val="16"/>
          <w:szCs w:val="16"/>
          <w:color w:val="auto"/>
        </w:rPr>
        <w:t>Neither treasury shares, nor shares held by another corporation if a majority of the shares entitled to vote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election of directors of such other corporation is held by this corporation, shall be voted at any meeting or counted in determining the total number of outstanding shares entitled to vote, but shares of its own issue held by this corporation in a fiduciary capacity, or held by such other corporation in a fiduciary capacity, may be voted and shall be counted in determining the total number of outstanding shares entitled to vote.</w:t>
      </w:r>
    </w:p>
    <w:p>
      <w:pPr>
        <w:spacing w:after="0" w:line="85" w:lineRule="exact"/>
        <w:rPr>
          <w:rFonts w:ascii="Arial" w:cs="Arial" w:eastAsia="Arial" w:hAnsi="Arial"/>
          <w:sz w:val="16"/>
          <w:szCs w:val="16"/>
          <w:color w:val="auto"/>
        </w:rPr>
      </w:pPr>
    </w:p>
    <w:p>
      <w:pPr>
        <w:ind w:left="-20" w:firstLine="921"/>
        <w:spacing w:after="0" w:line="332" w:lineRule="auto"/>
        <w:tabs>
          <w:tab w:leader="none" w:pos="1145"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Minors. </w:t>
      </w:r>
      <w:r>
        <w:rPr>
          <w:rFonts w:ascii="Arial" w:cs="Arial" w:eastAsia="Arial" w:hAnsi="Arial"/>
          <w:sz w:val="16"/>
          <w:szCs w:val="16"/>
          <w:color w:val="auto"/>
        </w:rPr>
        <w:t>Shares held by a minor may be voted by such minor in person or by proxy and no such vote shall be subject to disaffirmance or</w:t>
      </w:r>
      <w:r>
        <w:rPr>
          <w:rFonts w:ascii="Arial" w:cs="Arial" w:eastAsia="Arial" w:hAnsi="Arial"/>
          <w:sz w:val="16"/>
          <w:szCs w:val="16"/>
          <w:i w:val="1"/>
          <w:iCs w:val="1"/>
          <w:color w:val="auto"/>
        </w:rPr>
        <w:t xml:space="preserve"> </w:t>
      </w:r>
      <w:r>
        <w:rPr>
          <w:rFonts w:ascii="Arial" w:cs="Arial" w:eastAsia="Arial" w:hAnsi="Arial"/>
          <w:sz w:val="16"/>
          <w:szCs w:val="16"/>
          <w:color w:val="auto"/>
        </w:rPr>
        <w:t>avoidance, unless prior to such vote the Secretary of the corporation has received written notice or has actual knowledge that such shareholder is a minor.</w:t>
      </w:r>
    </w:p>
    <w:p>
      <w:pPr>
        <w:spacing w:after="0" w:line="58" w:lineRule="exact"/>
        <w:rPr>
          <w:rFonts w:ascii="Arial" w:cs="Arial" w:eastAsia="Arial" w:hAnsi="Arial"/>
          <w:sz w:val="16"/>
          <w:szCs w:val="16"/>
          <w:color w:val="auto"/>
        </w:rPr>
      </w:pPr>
    </w:p>
    <w:p>
      <w:pPr>
        <w:jc w:val="both"/>
        <w:ind w:left="-20" w:firstLine="921"/>
        <w:spacing w:after="0" w:line="306" w:lineRule="auto"/>
        <w:tabs>
          <w:tab w:leader="none" w:pos="1106"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Incompetents and Spendthrifts. </w:t>
      </w:r>
      <w:r>
        <w:rPr>
          <w:rFonts w:ascii="Arial" w:cs="Arial" w:eastAsia="Arial" w:hAnsi="Arial"/>
          <w:sz w:val="16"/>
          <w:szCs w:val="16"/>
          <w:color w:val="auto"/>
        </w:rPr>
        <w:t>Shares held by incompetent or spendthrift may be voted by such incompetent or spendthrift in person or by proxy</w:t>
      </w:r>
      <w:r>
        <w:rPr>
          <w:rFonts w:ascii="Arial" w:cs="Arial" w:eastAsia="Arial" w:hAnsi="Arial"/>
          <w:sz w:val="16"/>
          <w:szCs w:val="16"/>
          <w:i w:val="1"/>
          <w:iCs w:val="1"/>
          <w:color w:val="auto"/>
        </w:rPr>
        <w:t xml:space="preserve"> </w:t>
      </w:r>
      <w:r>
        <w:rPr>
          <w:rFonts w:ascii="Arial" w:cs="Arial" w:eastAsia="Arial" w:hAnsi="Arial"/>
          <w:sz w:val="16"/>
          <w:szCs w:val="16"/>
          <w:color w:val="auto"/>
        </w:rPr>
        <w:t>and no such vote shall be subject to disaffirmance or avoidance, unless prior to such vote the Secretary of the corporation has actual knowledge that such shareholder has been adjudicated an incompetent or spendthrift or actual knowledge of filing of judicial proceedings for appointment of a guardian.</w:t>
      </w:r>
    </w:p>
    <w:p>
      <w:pPr>
        <w:spacing w:after="0" w:line="79" w:lineRule="exact"/>
        <w:rPr>
          <w:rFonts w:ascii="Arial" w:cs="Arial" w:eastAsia="Arial" w:hAnsi="Arial"/>
          <w:sz w:val="16"/>
          <w:szCs w:val="16"/>
          <w:i w:val="1"/>
          <w:iCs w:val="1"/>
          <w:color w:val="auto"/>
        </w:rPr>
      </w:pPr>
    </w:p>
    <w:p>
      <w:pPr>
        <w:jc w:val="both"/>
        <w:ind w:left="-20" w:firstLine="921"/>
        <w:spacing w:after="0" w:line="294" w:lineRule="auto"/>
        <w:tabs>
          <w:tab w:leader="none" w:pos="1155"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Joint Tenants. </w:t>
      </w:r>
      <w:r>
        <w:rPr>
          <w:rFonts w:ascii="Arial" w:cs="Arial" w:eastAsia="Arial" w:hAnsi="Arial"/>
          <w:sz w:val="16"/>
          <w:szCs w:val="16"/>
          <w:color w:val="auto"/>
        </w:rPr>
        <w:t>Shares registered in the names of two or more individuals who are named in the registration as joint tenants may be voted in</w:t>
      </w:r>
      <w:r>
        <w:rPr>
          <w:rFonts w:ascii="Arial" w:cs="Arial" w:eastAsia="Arial" w:hAnsi="Arial"/>
          <w:sz w:val="16"/>
          <w:szCs w:val="16"/>
          <w:i w:val="1"/>
          <w:iCs w:val="1"/>
          <w:color w:val="auto"/>
        </w:rPr>
        <w:t xml:space="preserve"> </w:t>
      </w:r>
      <w:r>
        <w:rPr>
          <w:rFonts w:ascii="Arial" w:cs="Arial" w:eastAsia="Arial" w:hAnsi="Arial"/>
          <w:sz w:val="16"/>
          <w:szCs w:val="16"/>
          <w:color w:val="auto"/>
        </w:rPr>
        <w:t>person or by proxy signed by any one or more of such individuals if either (i) no other such individual or his legal representative is present and claims the right to participate in voting of such shares or prior to the vote files with the Secretary of the corporation a contrary written voting authorization or direction or written denial of authority of the individual present or signing the proxy proposed to be voted or (ii) all such other individuals are deceased and the Secretary of the corporation has no actual knowledge that the survivor has been adjudicated not to be the successor to the interests of those deceased.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30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 BOARD OF DIRECTORS</w:t>
      </w:r>
    </w:p>
    <w:p>
      <w:pPr>
        <w:spacing w:after="0" w:line="15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3.01 General Powers and Number. </w:t>
      </w:r>
      <w:r>
        <w:rPr>
          <w:rFonts w:ascii="Arial" w:cs="Arial" w:eastAsia="Arial" w:hAnsi="Arial"/>
          <w:sz w:val="18"/>
          <w:szCs w:val="18"/>
          <w:color w:val="auto"/>
        </w:rPr>
        <w:t>The business and affairs of the corporation shall be managed by its Board of Directors. The number of Directors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shall be established from time to time by the Board of Directors, but shall be not less than five or more than 15. The number of directors may be increased or decreased from time to time by amendment to this Section adopted by the shareholders or the Board of Directors, but no decrease shall have the effect of shortening the term of an incumbent director.</w:t>
      </w:r>
    </w:p>
    <w:p>
      <w:pPr>
        <w:spacing w:after="0" w:line="116"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5"/>
          <w:szCs w:val="15"/>
          <w:i w:val="1"/>
          <w:iCs w:val="1"/>
          <w:color w:val="auto"/>
        </w:rPr>
        <w:t xml:space="preserve">3.02 Tenure and Qualifications. </w:t>
      </w:r>
      <w:r>
        <w:rPr>
          <w:rFonts w:ascii="Arial" w:cs="Arial" w:eastAsia="Arial" w:hAnsi="Arial"/>
          <w:sz w:val="15"/>
          <w:szCs w:val="15"/>
          <w:color w:val="auto"/>
        </w:rPr>
        <w:t>Each director shall hold office until the next annual meeting of shareholders and until his successor shall have been elected,</w:t>
      </w:r>
      <w:r>
        <w:rPr>
          <w:rFonts w:ascii="Arial" w:cs="Arial" w:eastAsia="Arial" w:hAnsi="Arial"/>
          <w:sz w:val="15"/>
          <w:szCs w:val="15"/>
          <w:i w:val="1"/>
          <w:iCs w:val="1"/>
          <w:color w:val="auto"/>
        </w:rPr>
        <w:t xml:space="preserve"> </w:t>
      </w:r>
      <w:r>
        <w:rPr>
          <w:rFonts w:ascii="Arial" w:cs="Arial" w:eastAsia="Arial" w:hAnsi="Arial"/>
          <w:sz w:val="15"/>
          <w:szCs w:val="15"/>
          <w:color w:val="auto"/>
        </w:rPr>
        <w:t>or until his prior death, resignation or removal. Any director or the entire Board of Directors may be removed from office, with or without cause, by affirmative vote of a majority of the outstanding shares entitled to vote for the election of such director, taken at a meeting of shareholders called for that purpose. A director may resign at any time by filing his written resignation with the Secretary of the corporation. Directors need not be residents of the State of Wisconsin or shareholders of the corporation. No director shall be eligible to be elected or re-elected a director after he attains age 72. A director in office when he attains age 72 shall be eligible to be elected an advisory director from year to year for a maximum period of three years. Advisory directors shall be entitled to all the rights and privileges of a director, except the right to vote and shall be paid such fees and compensation as shall be fixed by the Board of Directors from time to time.</w:t>
      </w:r>
    </w:p>
    <w:p>
      <w:pPr>
        <w:spacing w:after="0" w:line="7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3.03 Regular Meetings. </w:t>
      </w:r>
      <w:r>
        <w:rPr>
          <w:rFonts w:ascii="Arial" w:cs="Arial" w:eastAsia="Arial" w:hAnsi="Arial"/>
          <w:sz w:val="16"/>
          <w:szCs w:val="16"/>
          <w:color w:val="auto"/>
        </w:rPr>
        <w:t>A regular meeting of the Board of Directors shall be held without other notice than this by-law immediately after the annual</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of shareholders and each adjourned session thereof. The place of such regular meeting shall be the same as the place of the meeting of shareholders that precedes it or such other suitable place as may be announced at such meeting of shareholders. The Board of Directors may provide, by resolution, the time and place, either within or without the State of Wisconsin, for the holding of additional regular meetings without other notice than such resolution.</w:t>
      </w:r>
    </w:p>
    <w:p>
      <w:pPr>
        <w:spacing w:after="0" w:line="8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3.04 Special Meetings. </w:t>
      </w:r>
      <w:r>
        <w:rPr>
          <w:rFonts w:ascii="Arial" w:cs="Arial" w:eastAsia="Arial" w:hAnsi="Arial"/>
          <w:sz w:val="18"/>
          <w:szCs w:val="18"/>
          <w:color w:val="auto"/>
        </w:rPr>
        <w:t>Special meetings of the Board of Directors may be called by or at the request of the Chairman of the Board, the Lead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the President, or any two directors. The persons calling any special meeting of the Board of Directors may fix any place, either within or without the State of Wisconsin, as the place for holding any special meeting of the Board of Directors called by them, and if no other place is fixed the place of meeting shall be the principal business office of the corporation in the State of Wisconsin.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01" w:right="239" w:bottom="1440" w:gutter="0" w:footer="0" w:header="0"/>
        </w:sectPr>
      </w:pPr>
    </w:p>
    <w:bookmarkStart w:id="11" w:name="page12"/>
    <w:bookmarkEnd w:id="11"/>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3.05 Meetings By Telephone or Other Communication Technology.</w:t>
      </w:r>
    </w:p>
    <w:p>
      <w:pPr>
        <w:spacing w:after="0" w:line="144" w:lineRule="exact"/>
        <w:rPr>
          <w:sz w:val="20"/>
          <w:szCs w:val="20"/>
          <w:color w:val="auto"/>
        </w:rPr>
      </w:pPr>
    </w:p>
    <w:p>
      <w:pPr>
        <w:jc w:val="both"/>
        <w:ind w:firstLine="921"/>
        <w:spacing w:after="0" w:line="256" w:lineRule="auto"/>
        <w:tabs>
          <w:tab w:leader="none" w:pos="117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or all directors may participate in a regular or special meeting or in a committee meeting of the Board of Directors by, or conduct the meeting through the use of, telephone or any other means of communication by which either: (i) all participating directors may simultaneously hear each other during the meeting or (ii) all communication during the meeting is immediately transmitted to each participating director, and each participating director is able to immediately send messages to all other participating directors.</w:t>
      </w:r>
    </w:p>
    <w:p>
      <w:pPr>
        <w:spacing w:after="0" w:line="116" w:lineRule="exact"/>
        <w:rPr>
          <w:rFonts w:ascii="Arial" w:cs="Arial" w:eastAsia="Arial" w:hAnsi="Arial"/>
          <w:sz w:val="18"/>
          <w:szCs w:val="18"/>
          <w:color w:val="auto"/>
        </w:rPr>
      </w:pPr>
    </w:p>
    <w:p>
      <w:pPr>
        <w:jc w:val="both"/>
        <w:ind w:firstLine="921"/>
        <w:spacing w:after="0" w:line="259" w:lineRule="auto"/>
        <w:tabs>
          <w:tab w:leader="none" w:pos="118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 meeting will be conducted through the use of any means described in paragraph (a), all participating directors shall be informed that a meeting is taking place at which official business may be transacted. A director participating in a meeting by any means described in paragraph (a) is deemed to be present in person at the meeting.</w:t>
      </w:r>
    </w:p>
    <w:p>
      <w:pPr>
        <w:spacing w:after="0" w:line="113"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i w:val="1"/>
          <w:iCs w:val="1"/>
          <w:color w:val="auto"/>
        </w:rPr>
        <w:t xml:space="preserve">3.06 Notice of Meetings. </w:t>
      </w:r>
      <w:r>
        <w:rPr>
          <w:rFonts w:ascii="Arial" w:cs="Arial" w:eastAsia="Arial" w:hAnsi="Arial"/>
          <w:sz w:val="16"/>
          <w:szCs w:val="16"/>
          <w:color w:val="auto"/>
        </w:rPr>
        <w:t>Notice of each meeting of the Board of Directors (unless otherwise provided in or pursuant to Section 3.03) shall be given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written notice delivered personally or mailed or given by telephone, telegram, or other means of electronic delivery such as facsimile or e-mail to each director at his business or home address or at such other address as such director shall have designated in writing filed with the Secretary, in each case not less than that </w:t>
      </w:r>
      <w:r>
        <w:rPr>
          <w:rFonts w:ascii="Arial" w:cs="Arial" w:eastAsia="Arial" w:hAnsi="Arial"/>
          <w:sz w:val="16"/>
          <w:szCs w:val="16"/>
          <w:i w:val="1"/>
          <w:iCs w:val="1"/>
          <w:color w:val="auto"/>
        </w:rPr>
        <w:t>48</w:t>
      </w:r>
      <w:r>
        <w:rPr>
          <w:rFonts w:ascii="Arial" w:cs="Arial" w:eastAsia="Arial" w:hAnsi="Arial"/>
          <w:sz w:val="16"/>
          <w:szCs w:val="16"/>
          <w:color w:val="auto"/>
        </w:rPr>
        <w:t xml:space="preserve"> hours prior thereto. If mailed, such notice shall be deemed to be delivered when deposited in the United States mail so addressed, with postage thereon prepaid. If notice be given by telegram, such notice shall be deemed to be delivered when the telegram is delivered to the telegraph company; if by telephone, at the time the call is completed; or if by other forms of electronic delivery, at the time the transmission is completed. The attendance of a director at a meeting shall constitute a waiver of notice of such meeting, except where a director attends a meeting and objects thereat to the transaction of any business because the meeting is not lawfully called or convened. Neither the business to be transacted at, nor the purpose of, any regular or special meeting of the Board of Directors need be specified in the notice or waiver of notice of such meeting.</w:t>
      </w:r>
    </w:p>
    <w:p>
      <w:pPr>
        <w:spacing w:after="0" w:line="9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3.07 Quorum</w:t>
      </w:r>
      <w:r>
        <w:rPr>
          <w:rFonts w:ascii="Arial" w:cs="Arial" w:eastAsia="Arial" w:hAnsi="Arial"/>
          <w:sz w:val="16"/>
          <w:szCs w:val="16"/>
          <w:color w:val="auto"/>
        </w:rPr>
        <w:t>. Except as otherwise provided by the Wisconsin Business Corporation Law or by the articles of incorporation or these by-laws, a majority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number of directors as provided in Section 3.01 shall constitute a quorum for the transaction of business at any meeting of the Board of Directors, but a majority of the directors present (though less than such quorum) may adjourn the meeting from time to time without further notice.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07" w:right="239" w:bottom="1440" w:gutter="0" w:footer="0" w:header="0"/>
        </w:sectPr>
      </w:pPr>
    </w:p>
    <w:bookmarkStart w:id="12" w:name="page13"/>
    <w:bookmarkEnd w:id="12"/>
    <w:p>
      <w:pPr>
        <w:jc w:val="both"/>
        <w:ind w:firstLine="456"/>
        <w:spacing w:after="0" w:line="33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3.08 Manner of Acting. </w:t>
      </w:r>
      <w:r>
        <w:rPr>
          <w:rFonts w:ascii="Arial" w:cs="Arial" w:eastAsia="Arial" w:hAnsi="Arial"/>
          <w:sz w:val="16"/>
          <w:szCs w:val="16"/>
          <w:color w:val="auto"/>
        </w:rPr>
        <w:t>The act of the majority of the directors present at a meeting at which a quorum is present shall be the act of the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unless the act of a greater number is required by the Wisconsin Business Corporation Law or by the articles of incorporation or these by-laws.</w:t>
      </w:r>
    </w:p>
    <w:p>
      <w:pPr>
        <w:spacing w:after="0" w:line="58"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i w:val="1"/>
          <w:iCs w:val="1"/>
          <w:color w:val="auto"/>
        </w:rPr>
        <w:t xml:space="preserve">3.09 Conduct of Meetings. </w:t>
      </w:r>
      <w:r>
        <w:rPr>
          <w:rFonts w:ascii="Arial" w:cs="Arial" w:eastAsia="Arial" w:hAnsi="Arial"/>
          <w:sz w:val="16"/>
          <w:szCs w:val="16"/>
          <w:color w:val="auto"/>
        </w:rPr>
        <w:t>Any director chosen by the directors present, shall call meetings of the Board of Directors to order and shall act as chairman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meeting. The Secretary of the corporation shall act as secretary of all meetings of the Board of Directors, but in the absence of the Secretary, the presiding officer may appoint any Assistant Secretary or any director or other person present to act as secretary of the meeting.</w:t>
      </w:r>
    </w:p>
    <w:p>
      <w:pPr>
        <w:spacing w:after="0" w:line="8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3.10 Vacancies. </w:t>
      </w:r>
      <w:r>
        <w:rPr>
          <w:rFonts w:ascii="Arial" w:cs="Arial" w:eastAsia="Arial" w:hAnsi="Arial"/>
          <w:sz w:val="18"/>
          <w:szCs w:val="18"/>
          <w:color w:val="auto"/>
        </w:rPr>
        <w:t>Any vacancy occurring in the Board of Directors, including a vacancy created by an increase in the number of directors, may be filled until</w:t>
      </w:r>
      <w:r>
        <w:rPr>
          <w:rFonts w:ascii="Arial" w:cs="Arial" w:eastAsia="Arial" w:hAnsi="Arial"/>
          <w:sz w:val="18"/>
          <w:szCs w:val="18"/>
          <w:i w:val="1"/>
          <w:iCs w:val="1"/>
          <w:color w:val="auto"/>
        </w:rPr>
        <w:t xml:space="preserve"> </w:t>
      </w:r>
      <w:r>
        <w:rPr>
          <w:rFonts w:ascii="Arial" w:cs="Arial" w:eastAsia="Arial" w:hAnsi="Arial"/>
          <w:sz w:val="18"/>
          <w:szCs w:val="18"/>
          <w:color w:val="auto"/>
        </w:rPr>
        <w:t>the next succeeding annual election by the affirmative vote of a majority of the directors then in office, though less than a quorum of the Board of Directors; provided, that in case of a vacancy created by the removal of a director(s) by vote of the shareholders, the shareholders shall have the right to fill such vacancy at the same meeting or any adjournment thereof.</w:t>
      </w:r>
    </w:p>
    <w:p>
      <w:pPr>
        <w:spacing w:after="0" w:line="11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3.11 Compensation. </w:t>
      </w:r>
      <w:r>
        <w:rPr>
          <w:rFonts w:ascii="Arial" w:cs="Arial" w:eastAsia="Arial" w:hAnsi="Arial"/>
          <w:sz w:val="18"/>
          <w:szCs w:val="18"/>
          <w:color w:val="auto"/>
        </w:rPr>
        <w:t>The Board of Directors, by affirmative vote of a majority of the directors then in office and irrespective of any personal interest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of its members, may establish reasonable compensation of all directors for services to the corporation as directors, officers or otherwise, and the manner and time and payment thereof, or may delegate such authority to an appropriate committee. The Board of Directors also shall have authority to provide for or to delegate authority to an appropriate committee to provide for reasonable pensions, disability or death benefits, and other benefits or payments, to directors, officers and employees and to their estates, families, dependents or beneficiaries on account of prior services rendered by such directors, officers and employees to the corporation.</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3.12 Presumption of Assent. </w:t>
      </w:r>
      <w:r>
        <w:rPr>
          <w:rFonts w:ascii="Arial" w:cs="Arial" w:eastAsia="Arial" w:hAnsi="Arial"/>
          <w:sz w:val="18"/>
          <w:szCs w:val="18"/>
          <w:color w:val="auto"/>
        </w:rPr>
        <w:t>A director who is present at a meeting of the Board of Directors or a committee thereof of which he is a member at which</w:t>
      </w:r>
      <w:r>
        <w:rPr>
          <w:rFonts w:ascii="Arial" w:cs="Arial" w:eastAsia="Arial" w:hAnsi="Arial"/>
          <w:sz w:val="18"/>
          <w:szCs w:val="18"/>
          <w:i w:val="1"/>
          <w:iCs w:val="1"/>
          <w:color w:val="auto"/>
        </w:rPr>
        <w:t xml:space="preserve"> </w:t>
      </w:r>
      <w:r>
        <w:rPr>
          <w:rFonts w:ascii="Arial" w:cs="Arial" w:eastAsia="Arial" w:hAnsi="Arial"/>
          <w:sz w:val="18"/>
          <w:szCs w:val="18"/>
          <w:color w:val="auto"/>
        </w:rPr>
        <w:t>action on any corporate matter is taken shall be presumed to have assented to the action taken unless his dissent shall be entered in the minutes of the meeting or unless he shall file his written dissent to such action with the person acting as the secretary of the meeting before the adjournment thereof or shall forward such dissent by registered mail to the Secretary of the corporation immediately after the adjournment of the meeting. Such right to dissent shall not apply to a director who voted in favor of such action.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07" w:right="239" w:bottom="1440" w:gutter="0" w:footer="0" w:header="0"/>
        </w:sectPr>
      </w:pPr>
    </w:p>
    <w:bookmarkStart w:id="13" w:name="page14"/>
    <w:bookmarkEnd w:id="13"/>
    <w:p>
      <w:pPr>
        <w:jc w:val="both"/>
        <w:ind w:firstLine="456"/>
        <w:spacing w:after="0" w:line="28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3.13 Committees. </w:t>
      </w:r>
      <w:r>
        <w:rPr>
          <w:rFonts w:ascii="Arial" w:cs="Arial" w:eastAsia="Arial" w:hAnsi="Arial"/>
          <w:sz w:val="16"/>
          <w:szCs w:val="16"/>
          <w:color w:val="auto"/>
        </w:rPr>
        <w:t>The Board of Directors by resolution adopted by the affirmative vote of a majority of the number of directors as provided in Section 3.01</w:t>
      </w:r>
      <w:r>
        <w:rPr>
          <w:rFonts w:ascii="Arial" w:cs="Arial" w:eastAsia="Arial" w:hAnsi="Arial"/>
          <w:sz w:val="16"/>
          <w:szCs w:val="16"/>
          <w:i w:val="1"/>
          <w:iCs w:val="1"/>
          <w:color w:val="auto"/>
        </w:rPr>
        <w:t xml:space="preserve"> </w:t>
      </w:r>
      <w:r>
        <w:rPr>
          <w:rFonts w:ascii="Arial" w:cs="Arial" w:eastAsia="Arial" w:hAnsi="Arial"/>
          <w:sz w:val="16"/>
          <w:szCs w:val="16"/>
          <w:color w:val="auto"/>
        </w:rPr>
        <w:t>may designate one or more committees, each committee to consist of one or more directors elected by the Board of Directors, which, to the extent provided in said resolution as initially adopted, and as thereafter supplemented or amended by further resolution adopted by a like vote, shall have and may exercise when the Board of Directors is not in session, the powers of the Board of Directors in the management of the business and affairs of the corporation, except that no committee may: (a) approve or recommend for approval to shareholders for approval any action or matter that the Wisconsin Business Corporation Law requires be approved by shareholders; or (b) adopt, amend or repeal By-Laws. A majority of the members of a committee shall constitute a quorum. The Board of Directors may elect one or more of its members as alternate members of any such committee who may take the place of any absent member or members at any meeting of such committee upon request by the President or upon request by the chairman of such meeting. Each such committee shall fix its own rules governing the conduct of its activities and shall make such reports to the Board of Directors of its activities as the Board of Directors may request.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OFFICERS</w:t>
      </w:r>
    </w:p>
    <w:p>
      <w:pPr>
        <w:spacing w:after="0" w:line="15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4.01 Number. </w:t>
      </w:r>
      <w:r>
        <w:rPr>
          <w:rFonts w:ascii="Arial" w:cs="Arial" w:eastAsia="Arial" w:hAnsi="Arial"/>
          <w:sz w:val="16"/>
          <w:szCs w:val="16"/>
          <w:color w:val="auto"/>
        </w:rPr>
        <w:t>The principal officers shall be a President, one or more Vice-Presidents (the number and designations to be determined by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 Secretary, and a Treasurer, each of whom shall be elected by the Board of Directors. The Board of Directors may also elect a Chief Executive Officer and may designate one of the Vice Presidents as the Executive Vice President. Such other officers and assistant officers as may be deemed necessary may be elected or appointed by the Board of Directors or the President. Any two or more offices may be held by the same person.</w:t>
      </w:r>
    </w:p>
    <w:p>
      <w:pPr>
        <w:spacing w:after="0" w:line="8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4.02 Election and Term of Office. </w:t>
      </w:r>
      <w:r>
        <w:rPr>
          <w:rFonts w:ascii="Arial" w:cs="Arial" w:eastAsia="Arial" w:hAnsi="Arial"/>
          <w:sz w:val="18"/>
          <w:szCs w:val="18"/>
          <w:color w:val="auto"/>
        </w:rPr>
        <w:t>The officers to be elected by the Board of Directors shall be elected annually by the Board of Directors at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the Board of Directors held after each annual meeting of the shareholders. If the election of officers shall not be held at such meeting, such election shall be held as soon thereafter as conveniently may be. Each officer shall hold office until his successor shall have been duly elected or until his prior death, resignation or removal.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07" w:right="239" w:bottom="1440" w:gutter="0" w:footer="0" w:header="0"/>
        </w:sectPr>
      </w:pPr>
    </w:p>
    <w:bookmarkStart w:id="14" w:name="page15"/>
    <w:bookmarkEnd w:id="14"/>
    <w:p>
      <w:pPr>
        <w:jc w:val="both"/>
        <w:ind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4.03 Removal. </w:t>
      </w:r>
      <w:r>
        <w:rPr>
          <w:rFonts w:ascii="Arial" w:cs="Arial" w:eastAsia="Arial" w:hAnsi="Arial"/>
          <w:sz w:val="18"/>
          <w:szCs w:val="18"/>
          <w:color w:val="auto"/>
        </w:rPr>
        <w:t>Any officer or agent may be removed by the Board of Directors whenever in its judgment the best interests of the corporation will be served</w:t>
      </w:r>
      <w:r>
        <w:rPr>
          <w:rFonts w:ascii="Arial" w:cs="Arial" w:eastAsia="Arial" w:hAnsi="Arial"/>
          <w:sz w:val="18"/>
          <w:szCs w:val="18"/>
          <w:i w:val="1"/>
          <w:iCs w:val="1"/>
          <w:color w:val="auto"/>
        </w:rPr>
        <w:t xml:space="preserve"> </w:t>
      </w:r>
      <w:r>
        <w:rPr>
          <w:rFonts w:ascii="Arial" w:cs="Arial" w:eastAsia="Arial" w:hAnsi="Arial"/>
          <w:sz w:val="18"/>
          <w:szCs w:val="18"/>
          <w:color w:val="auto"/>
        </w:rPr>
        <w:t>thereby, but such removal shall be without prejudice to the contract rights, if any, of the person so removed. Election or appointment shall not of itself create contract rights.</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4.04 Vacancies. </w:t>
      </w:r>
      <w:r>
        <w:rPr>
          <w:rFonts w:ascii="Arial" w:cs="Arial" w:eastAsia="Arial" w:hAnsi="Arial"/>
          <w:sz w:val="18"/>
          <w:szCs w:val="18"/>
          <w:color w:val="auto"/>
        </w:rPr>
        <w:t>A vacancy in any principal office because of death, resignation, removal, disqualification or otherwise, shall be filled by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for the unexpired portion of the term.</w:t>
      </w:r>
    </w:p>
    <w:p>
      <w:pPr>
        <w:spacing w:after="0" w:line="10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4.05 Chairman of the Board. </w:t>
      </w:r>
      <w:r>
        <w:rPr>
          <w:rFonts w:ascii="Arial" w:cs="Arial" w:eastAsia="Arial" w:hAnsi="Arial"/>
          <w:sz w:val="18"/>
          <w:szCs w:val="18"/>
          <w:color w:val="auto"/>
        </w:rPr>
        <w:t>The Board of Directors may elect one of its members the Chairman of the Board. The Chairman of the Board shall preside at</w:t>
      </w:r>
      <w:r>
        <w:rPr>
          <w:rFonts w:ascii="Arial" w:cs="Arial" w:eastAsia="Arial" w:hAnsi="Arial"/>
          <w:sz w:val="18"/>
          <w:szCs w:val="18"/>
          <w:i w:val="1"/>
          <w:iCs w:val="1"/>
          <w:color w:val="auto"/>
        </w:rPr>
        <w:t xml:space="preserve"> </w:t>
      </w:r>
      <w:r>
        <w:rPr>
          <w:rFonts w:ascii="Arial" w:cs="Arial" w:eastAsia="Arial" w:hAnsi="Arial"/>
          <w:sz w:val="18"/>
          <w:szCs w:val="18"/>
          <w:color w:val="auto"/>
        </w:rPr>
        <w:t>all meetings of the shareholders and directors at which he is present. He shall be ex officio a member of all standing committees and shall be Chairman of such committees as is determined by the Board of Directors. He shall have such other powers and duties as may from time to time be prescribed by the by-laws or by resolution of the Board of Directors.</w:t>
      </w:r>
    </w:p>
    <w:p>
      <w:pPr>
        <w:spacing w:after="0" w:line="11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i w:val="1"/>
          <w:iCs w:val="1"/>
          <w:color w:val="auto"/>
        </w:rPr>
        <w:t xml:space="preserve">4.06 President. </w:t>
      </w:r>
      <w:r>
        <w:rPr>
          <w:rFonts w:ascii="Arial" w:cs="Arial" w:eastAsia="Arial" w:hAnsi="Arial"/>
          <w:sz w:val="16"/>
          <w:szCs w:val="16"/>
          <w:color w:val="auto"/>
        </w:rPr>
        <w:t>The President shall be the principal executive officer and, subject to the control of the Board of Directors, shall in general supervise and</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all of the business and affairs of the corporation. He shall, in the absence of the Chairman, preside at all meetings of the shareholders and of the Board of Directors. He shall have authority, subject to such rules as may be prescribed by the Board of Directors, to appoint such agents and employees of the corporation as he shall deem necessary, to prescribe their powers, duties and compensation, and to delegate authority to them. Such agents and employees shall hold office at the discretion of the President. He shall have authority to sign, execute and acknowledge, on behalf of the corporation, all deeds, mortgages, bonds, stock certificates, contracts, leases, reports and all other documents or instruments necessary or proper to be executed in the course of the corporation’s regular business, or which shall be authorized by resolution of the Board of Directors; and, except as otherwise provided by law or the Board of Directors, he may authorize any Vice President or other officer or agent of the corporation to sign, execute and acknowledge such documents or instruments in his place and stead. In general he shall perform all duties incident to the office of President and such other duties as may be prescribed by the Board of Directors from time to time.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07" w:right="239" w:bottom="1440" w:gutter="0" w:footer="0" w:header="0"/>
        </w:sectPr>
      </w:pPr>
    </w:p>
    <w:bookmarkStart w:id="15" w:name="page16"/>
    <w:bookmarkEnd w:id="15"/>
    <w:p>
      <w:pPr>
        <w:jc w:val="both"/>
        <w:ind w:firstLine="456"/>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4.07 Executive Vice President. </w:t>
      </w:r>
      <w:r>
        <w:rPr>
          <w:rFonts w:ascii="Arial" w:cs="Arial" w:eastAsia="Arial" w:hAnsi="Arial"/>
          <w:sz w:val="18"/>
          <w:szCs w:val="18"/>
          <w:color w:val="auto"/>
        </w:rPr>
        <w:t>The Executive Vice President, if one be designated, shall assist the President in the discharge of supervisory, managerial and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duties and functions. In the absence of the President or in the event of his death, inability or refusal to act, the Executive Vice President shall perform the duties of the President and when so acting shall have all the powers and duties of the President, and shall perform such other duties as from time to time may be assigned to him by the Board of Directors or the President.</w:t>
      </w:r>
    </w:p>
    <w:p>
      <w:pPr>
        <w:spacing w:after="0" w:line="11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4.08 Vice Presidents. </w:t>
      </w:r>
      <w:r>
        <w:rPr>
          <w:rFonts w:ascii="Arial" w:cs="Arial" w:eastAsia="Arial" w:hAnsi="Arial"/>
          <w:sz w:val="16"/>
          <w:szCs w:val="16"/>
          <w:color w:val="auto"/>
        </w:rPr>
        <w:t>In the absence of the President and the Executive Vice President, or in the event of his death, inability or refusal to act, or in the event</w:t>
      </w:r>
      <w:r>
        <w:rPr>
          <w:rFonts w:ascii="Arial" w:cs="Arial" w:eastAsia="Arial" w:hAnsi="Arial"/>
          <w:sz w:val="16"/>
          <w:szCs w:val="16"/>
          <w:i w:val="1"/>
          <w:iCs w:val="1"/>
          <w:color w:val="auto"/>
        </w:rPr>
        <w:t xml:space="preserve"> </w:t>
      </w:r>
      <w:r>
        <w:rPr>
          <w:rFonts w:ascii="Arial" w:cs="Arial" w:eastAsia="Arial" w:hAnsi="Arial"/>
          <w:sz w:val="16"/>
          <w:szCs w:val="16"/>
          <w:color w:val="auto"/>
        </w:rPr>
        <w:t>for any reason it shall be impracticable for them to act personally, the Vice President (or in the event there be more than one Vice President, the Vice Presidents in the order designated by the Board of Directors, or in the absence of any designation, then in the order of their election) shall perform the duties of the President, and when so acting, shall have all the powers of and be subject to all the restrictions upon the President. Any Vice President may sign, with the Secretary or Assistant Secretary, certificates for shares of the corporation and shall perform such other duties and have such authority as from time to time may be delegated or assigned to him by the President or by the Board of Directors. The execution of any instrument of the corporation by any Vice President shall be conclusive evidence, as to third parties, of his authority to act in the stead of the President.</w:t>
      </w:r>
    </w:p>
    <w:p>
      <w:pPr>
        <w:spacing w:after="0" w:line="9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 xml:space="preserve">4.09 Secretary. </w:t>
      </w:r>
      <w:r>
        <w:rPr>
          <w:rFonts w:ascii="Arial" w:cs="Arial" w:eastAsia="Arial" w:hAnsi="Arial"/>
          <w:sz w:val="16"/>
          <w:szCs w:val="16"/>
          <w:color w:val="auto"/>
        </w:rPr>
        <w:t>The Secretary shall: (a) keep the minutes of the meetings of the shareholders and of the Board of Directors in one or more books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for that purpose; (b) see that all notices are duly given in accordance with the provisions of these by-laws or as required by law; (c) be custodian of the corporate records and of the seal of the corporation and see that the seal of the corporation is affixed to all documents the execution of which on behalf of the corporation under its seal is duly authorized; (d) keep or arrange for the keeping of a register of the post office address of each shareholder which shall be furnished to the Secretary by such shareholder; (e) sign with the President, or a Vice President, certificates for shares of the corporation, the issuance of which shall have been authorized by resolution of the Board of Directors; (f) have general charge of the stock transfer books of the corporation; and (g) in general perform all duties incident to the office of Secretary and have such other duties and exercise such authority as from time to time may be delegated or assigned to him by the President or by the Board of Directors.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07" w:right="239" w:bottom="1440" w:gutter="0" w:footer="0" w:header="0"/>
        </w:sectPr>
      </w:pPr>
    </w:p>
    <w:bookmarkStart w:id="16" w:name="page17"/>
    <w:bookmarkEnd w:id="16"/>
    <w:p>
      <w:pPr>
        <w:jc w:val="both"/>
        <w:ind w:firstLine="456"/>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4.10 Treasurer. </w:t>
      </w:r>
      <w:r>
        <w:rPr>
          <w:rFonts w:ascii="Arial" w:cs="Arial" w:eastAsia="Arial" w:hAnsi="Arial"/>
          <w:sz w:val="18"/>
          <w:szCs w:val="18"/>
          <w:color w:val="auto"/>
        </w:rPr>
        <w:t>The Treasurer shall: (a) have charge and custody of and be responsible for all funds and securities of the corporation; (b) receive and give</w:t>
      </w:r>
      <w:r>
        <w:rPr>
          <w:rFonts w:ascii="Arial" w:cs="Arial" w:eastAsia="Arial" w:hAnsi="Arial"/>
          <w:sz w:val="18"/>
          <w:szCs w:val="18"/>
          <w:i w:val="1"/>
          <w:iCs w:val="1"/>
          <w:color w:val="auto"/>
        </w:rPr>
        <w:t xml:space="preserve"> </w:t>
      </w:r>
      <w:r>
        <w:rPr>
          <w:rFonts w:ascii="Arial" w:cs="Arial" w:eastAsia="Arial" w:hAnsi="Arial"/>
          <w:sz w:val="18"/>
          <w:szCs w:val="18"/>
          <w:color w:val="auto"/>
        </w:rPr>
        <w:t>receipts for moneys, due and payable to the corporation from any source whatsoever, and deposit all such moneys in the, name of the corporation in such banks, trust companies or other depositories as shall be selected in accordance with the provisions of Section 5.04; and (c) in general perform, all of the duties incident to the office of Treasurer and have such other duties and exercise such other authority as from time to time may be delegated or assigned to him by the President or by the Board of Directors.</w:t>
      </w:r>
    </w:p>
    <w:p>
      <w:pPr>
        <w:spacing w:after="0" w:line="1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4.11 Assistant Secretaries and Assistant Treasurers. </w:t>
      </w:r>
      <w:r>
        <w:rPr>
          <w:rFonts w:ascii="Arial" w:cs="Arial" w:eastAsia="Arial" w:hAnsi="Arial"/>
          <w:sz w:val="18"/>
          <w:szCs w:val="18"/>
          <w:color w:val="auto"/>
        </w:rPr>
        <w:t>There shall be such number of Assistant Secretaries and Assistant Treasurers as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or President from time to time authorize. The Assistant Secretaries may sign with the President or a Vice President certificates for shares of the corporation the issuance of which shall have been authorized by a resolution of the Board of Directors. The Assistant Secretaries and Assistant Treasurers, in general, shall perform such duties and have such authority as shall from time to time be delegated or assigned to them by the Secretary or the Treasurer, respectively, or by the President or the Board of Directors.</w:t>
      </w:r>
    </w:p>
    <w:p>
      <w:pPr>
        <w:spacing w:after="0" w:line="1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4.12 Other Assistants and Acting Officers. </w:t>
      </w:r>
      <w:r>
        <w:rPr>
          <w:rFonts w:ascii="Arial" w:cs="Arial" w:eastAsia="Arial" w:hAnsi="Arial"/>
          <w:sz w:val="18"/>
          <w:szCs w:val="18"/>
          <w:color w:val="auto"/>
        </w:rPr>
        <w:t>The Board of Directors and the President shall have the power to appoint any person to act as assistant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or as agent for the corporation in his stead, or to perform the duties of such officer whenever for any reason it is impracticable for such officer to act personally, and such assistant or acting officers or other agent so appointed by the Board of Directors or President shall have the power to perform all the duties of the office to which he is so appointed to be assistant, or as to which he is so appointed to act, except as such power may be otherwise defined or restricted by the Board of Directors or President.</w:t>
      </w:r>
    </w:p>
    <w:p>
      <w:pPr>
        <w:spacing w:after="0" w:line="11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i w:val="1"/>
          <w:iCs w:val="1"/>
          <w:color w:val="auto"/>
        </w:rPr>
        <w:t xml:space="preserve">4.13 Salaries. </w:t>
      </w:r>
      <w:r>
        <w:rPr>
          <w:rFonts w:ascii="Arial" w:cs="Arial" w:eastAsia="Arial" w:hAnsi="Arial"/>
          <w:sz w:val="16"/>
          <w:szCs w:val="16"/>
          <w:color w:val="auto"/>
        </w:rPr>
        <w:t>The salaries of the principal officers shall be fixed from time to time by the Board of Directors or by a duly authorized committee thereof,</w:t>
      </w:r>
      <w:r>
        <w:rPr>
          <w:rFonts w:ascii="Arial" w:cs="Arial" w:eastAsia="Arial" w:hAnsi="Arial"/>
          <w:sz w:val="16"/>
          <w:szCs w:val="16"/>
          <w:i w:val="1"/>
          <w:iCs w:val="1"/>
          <w:color w:val="auto"/>
        </w:rPr>
        <w:t xml:space="preserve"> </w:t>
      </w:r>
      <w:r>
        <w:rPr>
          <w:rFonts w:ascii="Arial" w:cs="Arial" w:eastAsia="Arial" w:hAnsi="Arial"/>
          <w:sz w:val="16"/>
          <w:szCs w:val="16"/>
          <w:color w:val="auto"/>
        </w:rPr>
        <w:t>and no officer shall be prevented from receiving such salary by reason of the fact that he is also a director of the corporation.</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CONTRACTS, LOANS, CHECKS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DEPOSITS. SPECIAL CORPORATE ACTS</w:t>
      </w:r>
    </w:p>
    <w:p>
      <w:pPr>
        <w:spacing w:after="0" w:line="13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5.01 Contracts. </w:t>
      </w:r>
      <w:r>
        <w:rPr>
          <w:rFonts w:ascii="Arial" w:cs="Arial" w:eastAsia="Arial" w:hAnsi="Arial"/>
          <w:sz w:val="18"/>
          <w:szCs w:val="18"/>
          <w:color w:val="auto"/>
        </w:rPr>
        <w:t>The Board of Directors may authorize any officer or officers, agent or agents, to enter into any contract or execute or deliver any</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in the name of and on behalf of the corporation, and such authorization may be general or confined to specific instances. No contract or other transaction between the corporation and one or more of its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07" w:right="239" w:bottom="1440" w:gutter="0" w:footer="0" w:header="0"/>
        </w:sectPr>
      </w:pPr>
    </w:p>
    <w:bookmarkStart w:id="17" w:name="page18"/>
    <w:bookmarkEnd w:id="17"/>
    <w:p>
      <w:pPr>
        <w:jc w:val="both"/>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or any other corporation, firm, association, or entity in which one or more of its directors are directors or officers or are financially interested, shall be either void or voidable because of such relationship or interest or because such director or directors are present at the meeting of the Board of Directors or a committee thereof which authorizes, approves or ratifies such contract or transaction or because his or their votes are counted for such purpose, if 1) the fact of such relationship or interest is disclosed or known to the Board of Directors or committee which authorizes, approves or ratifies the contract or transaction by a vote or consent sufficient for the purpose without counting the votes or consents of such interested directors; or 2) the fact of such relationship or interest is disclosed or known to the shareholders entitled to vote and they authorize, approve or ratify such contract or transaction by vote or written consent.; or 3) the contract or transaction is fair and reasonable to the corporation. Common or interested directors may be counted in determining the presence of a quorum at a meeting of the Board of Directors or a committee thereof which authorizes, approves or ratifies such contract or transaction.</w:t>
      </w:r>
    </w:p>
    <w:p>
      <w:pPr>
        <w:spacing w:after="0" w:line="91"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i w:val="1"/>
          <w:iCs w:val="1"/>
          <w:color w:val="auto"/>
        </w:rPr>
        <w:t xml:space="preserve">5.02 Loans. </w:t>
      </w:r>
      <w:r>
        <w:rPr>
          <w:rFonts w:ascii="Arial" w:cs="Arial" w:eastAsia="Arial" w:hAnsi="Arial"/>
          <w:sz w:val="15"/>
          <w:szCs w:val="15"/>
          <w:color w:val="auto"/>
        </w:rPr>
        <w:t>No indebtedness for borrowed money shall be contracted on behalf of the corporation and no evidences of such indebtedness shall be issued in</w:t>
      </w:r>
      <w:r>
        <w:rPr>
          <w:rFonts w:ascii="Arial" w:cs="Arial" w:eastAsia="Arial" w:hAnsi="Arial"/>
          <w:sz w:val="15"/>
          <w:szCs w:val="15"/>
          <w:i w:val="1"/>
          <w:iCs w:val="1"/>
          <w:color w:val="auto"/>
        </w:rPr>
        <w:t xml:space="preserve"> </w:t>
      </w:r>
      <w:r>
        <w:rPr>
          <w:rFonts w:ascii="Arial" w:cs="Arial" w:eastAsia="Arial" w:hAnsi="Arial"/>
          <w:sz w:val="15"/>
          <w:szCs w:val="15"/>
          <w:color w:val="auto"/>
        </w:rPr>
        <w:t>its name unless authorized by or under the authority of a resolution of the Board of Directors. Such authorization may be general or confined to specific instances.</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5.03 Checks, Drafts, etc. </w:t>
      </w:r>
      <w:r>
        <w:rPr>
          <w:rFonts w:ascii="Arial" w:cs="Arial" w:eastAsia="Arial" w:hAnsi="Arial"/>
          <w:sz w:val="18"/>
          <w:szCs w:val="18"/>
          <w:color w:val="auto"/>
        </w:rPr>
        <w:t>All checks, drafts or other orders for the payment of money, notes or other evidences of indebtedness issued in the name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shall be signed by such officer(s), employee(s) or agents of the corporation and in such manner as shall from time to time be determined by or under the authority of a resolution of the Board of Directors.</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5.04 Deposits. </w:t>
      </w:r>
      <w:r>
        <w:rPr>
          <w:rFonts w:ascii="Arial" w:cs="Arial" w:eastAsia="Arial" w:hAnsi="Arial"/>
          <w:sz w:val="18"/>
          <w:szCs w:val="18"/>
          <w:color w:val="auto"/>
        </w:rPr>
        <w:t>All funds of the corporation not otherwise employed shall be deposited from time to time to the credit of the corporation in such banks, trust</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or other depositories as may be selected by or under the authority of a resolution of the Board of Directors.</w:t>
      </w:r>
    </w:p>
    <w:p>
      <w:pPr>
        <w:spacing w:after="0" w:line="10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5.05 Voting of Securities Owned by this Corporation. </w:t>
      </w:r>
      <w:r>
        <w:rPr>
          <w:rFonts w:ascii="Arial" w:cs="Arial" w:eastAsia="Arial" w:hAnsi="Arial"/>
          <w:sz w:val="18"/>
          <w:szCs w:val="18"/>
          <w:color w:val="auto"/>
        </w:rPr>
        <w:t>Subject always to the specific directions of the Board of Directors, (a) any shares or other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by any other corporation and owned or controlled by this corporation may be voted at any meeting of security holders of such other corporation by the President of this corporation if he be present, or in his absence by any Vice President of this corporation who may be present, and (b) whenever. in the judgment of the President, or in his absence, of any Vice President, it is desirable for this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8" w:name="page19"/>
    <w:bookmarkEnd w:id="18"/>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corporation to execute a proxy or written consent in respect to any shares or other securities issued by any other corporation and owned by this corporation, such proxy or consent shall be executed in the name of this corporation by the President or one of the Vice Presidents of this corporation, without necessity of any authorization by the Board of Directors, affixation of corporate seal or countersignature or attestation by another officer. Any person or persons designated in the manner above stated as the proxy or proxies of this corporation shall have full right, power and authority to vote the shares or other securities issued by such other corporation and owned by this corporation the same as such shares or other securities might be voted by this corporation.</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CERTIFICATES FOR SHARES AND THEIR TRANSFER</w:t>
      </w:r>
    </w:p>
    <w:p>
      <w:pPr>
        <w:spacing w:after="0" w:line="15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6.01 Certificated and Uncertificated Shares. </w:t>
      </w:r>
      <w:r>
        <w:rPr>
          <w:rFonts w:ascii="Arial" w:cs="Arial" w:eastAsia="Arial" w:hAnsi="Arial"/>
          <w:sz w:val="16"/>
          <w:szCs w:val="16"/>
          <w:color w:val="auto"/>
        </w:rPr>
        <w:t>Shares of the corporation’s stock may be certificated or uncertificated as provided under Wisconsin law.</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Certificates representing shares of the corporation shall be in such form, consistent with law, as shall be determined by the Board of Directors. Such certificates shall be signed by the President or a Vice President and by the Secretary or an Assistant Secretary. All certificates for shares shall be consecutively numbered or otherwise identified. The name and address of the person to whom the shares represented thereby are issued, with the number of shares and date of issue, shall be entered on the stock transfer books of the corporation. All certificates surrendered to the corporation for transfer shall be cancelled and no new certificate shall be issued until the former certificate for a like number of shares shall have been surrendered and cancelled, except as provided in Section 6.05.</w:t>
      </w:r>
    </w:p>
    <w:p>
      <w:pPr>
        <w:spacing w:after="0" w:line="9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6.02 Facsimile Signatures and Seal. </w:t>
      </w:r>
      <w:r>
        <w:rPr>
          <w:rFonts w:ascii="Arial" w:cs="Arial" w:eastAsia="Arial" w:hAnsi="Arial"/>
          <w:sz w:val="18"/>
          <w:szCs w:val="18"/>
          <w:color w:val="auto"/>
        </w:rPr>
        <w:t>The seal of the corporation on any certificates for shares may be a facsimile. The signatures of the President 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the Secretary or Assistant Secretary upon a certificate may be facsimiles if the certificate is manually signed on behalf of a transfer agent or a registrar, other than the corporation itself or an employee of the corporation.</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6.03 Signature by Former Officers. </w:t>
      </w:r>
      <w:r>
        <w:rPr>
          <w:rFonts w:ascii="Arial" w:cs="Arial" w:eastAsia="Arial" w:hAnsi="Arial"/>
          <w:sz w:val="18"/>
          <w:szCs w:val="18"/>
          <w:color w:val="auto"/>
        </w:rPr>
        <w:t>In case any officer who has signed or whose facsimile signature has been placed upon any certificate for shares and</w:t>
      </w:r>
      <w:r>
        <w:rPr>
          <w:rFonts w:ascii="Arial" w:cs="Arial" w:eastAsia="Arial" w:hAnsi="Arial"/>
          <w:sz w:val="18"/>
          <w:szCs w:val="18"/>
          <w:i w:val="1"/>
          <w:iCs w:val="1"/>
          <w:color w:val="auto"/>
        </w:rPr>
        <w:t xml:space="preserve"> </w:t>
      </w:r>
      <w:r>
        <w:rPr>
          <w:rFonts w:ascii="Arial" w:cs="Arial" w:eastAsia="Arial" w:hAnsi="Arial"/>
          <w:sz w:val="18"/>
          <w:szCs w:val="18"/>
          <w:color w:val="auto"/>
        </w:rPr>
        <w:t>who shall have ceased to be such officer before such certificate is issued, it may be issued by the corporation with the same effect as if he were such officer at the date of its issue.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9" w:name="page20"/>
    <w:bookmarkEnd w:id="19"/>
    <w:p>
      <w:pPr>
        <w:jc w:val="both"/>
        <w:ind w:firstLine="456"/>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6.04 Transfer of Shares. </w:t>
      </w:r>
      <w:r>
        <w:rPr>
          <w:rFonts w:ascii="Arial" w:cs="Arial" w:eastAsia="Arial" w:hAnsi="Arial"/>
          <w:sz w:val="16"/>
          <w:szCs w:val="16"/>
          <w:color w:val="auto"/>
        </w:rPr>
        <w:t>Transfers of stock shall be made on the books of the corporation only by the record holder of such stock, or by attorney lawfully</w:t>
      </w:r>
      <w:r>
        <w:rPr>
          <w:rFonts w:ascii="Arial" w:cs="Arial" w:eastAsia="Arial" w:hAnsi="Arial"/>
          <w:sz w:val="16"/>
          <w:szCs w:val="16"/>
          <w:i w:val="1"/>
          <w:iCs w:val="1"/>
          <w:color w:val="auto"/>
        </w:rPr>
        <w:t xml:space="preserve"> </w:t>
      </w:r>
      <w:r>
        <w:rPr>
          <w:rFonts w:ascii="Arial" w:cs="Arial" w:eastAsia="Arial" w:hAnsi="Arial"/>
          <w:sz w:val="16"/>
          <w:szCs w:val="16"/>
          <w:color w:val="auto"/>
        </w:rPr>
        <w:t>constituted in writing, and, in the case of stock represented by a certificate, upon surrender of the certificate. All certificates surrendered to the corporation for transfer shall be cancelled and no new certificate shall be issued until the former certificate for a like number of shares shall have been surrendered and cancelled, except as provided in Section 6.05. Prior to due presentment of a certificate for shares for registration or transfer, and unless the corporation has established a procedure by which a beneficial owner of shares held by a nominee is to be recognized by the corporation as the shareholder, the corporation may treat the registered owner of such shares as the person exclusively entitled to vote, to receive notifications and otherwise to have and exercise all the rights and power of an owner. The corporation may require reasonable assurance that all transfer endorsements are genuine and effective and in compliance with all regulations prescribed by or under the authority of the Board of Directors.</w:t>
      </w:r>
    </w:p>
    <w:p>
      <w:pPr>
        <w:spacing w:after="0" w:line="9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6.05 Lost Destroyed or Stolen Certificates</w:t>
      </w:r>
      <w:r>
        <w:rPr>
          <w:rFonts w:ascii="Arial" w:cs="Arial" w:eastAsia="Arial" w:hAnsi="Arial"/>
          <w:sz w:val="18"/>
          <w:szCs w:val="18"/>
          <w:color w:val="auto"/>
        </w:rPr>
        <w:t>. Where the owner claims that his certificate for shares has been lost destroyed</w:t>
      </w:r>
      <w:r>
        <w:rPr>
          <w:rFonts w:ascii="Arial" w:cs="Arial" w:eastAsia="Arial" w:hAnsi="Arial"/>
          <w:sz w:val="18"/>
          <w:szCs w:val="18"/>
          <w:i w:val="1"/>
          <w:iCs w:val="1"/>
          <w:color w:val="auto"/>
        </w:rPr>
        <w:t xml:space="preserve"> or </w:t>
      </w:r>
      <w:r>
        <w:rPr>
          <w:rFonts w:ascii="Arial" w:cs="Arial" w:eastAsia="Arial" w:hAnsi="Arial"/>
          <w:sz w:val="18"/>
          <w:szCs w:val="18"/>
          <w:color w:val="auto"/>
        </w:rPr>
        <w:t>wrongfully taken, a new</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shall be issued in place thereof if the owner (a) so requests before the corporation has notice that such shares have been acquired by a bona fide purchase, and (b) files with the corporation a sufficient indemnity bond, and (c) satisfies such other reasonable requirements as may be prescribed by or under the authority of the Board of Directors.</w:t>
      </w:r>
    </w:p>
    <w:p>
      <w:pPr>
        <w:spacing w:after="0" w:line="11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i w:val="1"/>
          <w:iCs w:val="1"/>
          <w:color w:val="auto"/>
        </w:rPr>
        <w:t xml:space="preserve">6.06 Stock Regulations. </w:t>
      </w:r>
      <w:r>
        <w:rPr>
          <w:rFonts w:ascii="Arial" w:cs="Arial" w:eastAsia="Arial" w:hAnsi="Arial"/>
          <w:sz w:val="16"/>
          <w:szCs w:val="16"/>
          <w:color w:val="auto"/>
        </w:rPr>
        <w:t>The Board of Directors shall have the power and authority to make all such rules and regulations not inconsistent with the statutes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State of Wisconsin as it may deem expedient concerning the issue, transfer and registration of certificates representing shares of the corporation.</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WAIVER OF NOTICE</w:t>
      </w:r>
    </w:p>
    <w:p>
      <w:pPr>
        <w:spacing w:after="0" w:line="15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7.01 Written Waiver. </w:t>
      </w:r>
      <w:r>
        <w:rPr>
          <w:rFonts w:ascii="Arial" w:cs="Arial" w:eastAsia="Arial" w:hAnsi="Arial"/>
          <w:sz w:val="16"/>
          <w:szCs w:val="16"/>
          <w:color w:val="auto"/>
        </w:rPr>
        <w:t>Whenever any notice whatever is required to be given under the provisions of the Wisconsin Business Corporation Law or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Articles of Incorporation or By-Laws, a waiver thereof in writing signed at any time, whether before or after the time of the meeting, by the person or persons entitled to such notice shall be deemed equivalent to the giving of such notice. Such waiver by a shareholder in respect of any matter of which notice is required under any provision of The Wisconsin Business Corporation Law shall contain the same information as would have been required to be included in such notice under any applicable provisions of said law, except that the time and place of meeting need not be stated.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07" w:right="239" w:bottom="1440" w:gutter="0" w:footer="0" w:header="0"/>
        </w:sectPr>
      </w:pPr>
    </w:p>
    <w:bookmarkStart w:id="20" w:name="page21"/>
    <w:bookmarkEnd w:id="20"/>
    <w:p>
      <w:pPr>
        <w:ind w:left="46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7.02 Shareholder Waiver by Attendance. </w:t>
      </w:r>
      <w:r>
        <w:rPr>
          <w:rFonts w:ascii="Arial" w:cs="Arial" w:eastAsia="Arial" w:hAnsi="Arial"/>
          <w:sz w:val="16"/>
          <w:szCs w:val="16"/>
          <w:color w:val="auto"/>
        </w:rPr>
        <w:t>A shareholder’s attendance at a meeting, in person or by proxy, waives objection to both of the following:</w:t>
      </w:r>
    </w:p>
    <w:p>
      <w:pPr>
        <w:spacing w:after="0" w:line="167" w:lineRule="exact"/>
        <w:rPr>
          <w:sz w:val="20"/>
          <w:szCs w:val="20"/>
          <w:color w:val="auto"/>
        </w:rPr>
      </w:pPr>
    </w:p>
    <w:p>
      <w:pPr>
        <w:ind w:firstLine="921"/>
        <w:spacing w:after="0" w:line="268" w:lineRule="auto"/>
        <w:tabs>
          <w:tab w:leader="none" w:pos="1171" w:val="left"/>
        </w:tabs>
        <w:numPr>
          <w:ilvl w:val="0"/>
          <w:numId w:val="5"/>
        </w:numPr>
        <w:rPr>
          <w:rFonts w:ascii="Arial" w:cs="Arial" w:eastAsia="Arial" w:hAnsi="Arial"/>
          <w:sz w:val="18"/>
          <w:szCs w:val="18"/>
          <w:color w:val="auto"/>
        </w:rPr>
      </w:pPr>
      <w:r>
        <w:rPr>
          <w:rFonts w:ascii="Arial" w:cs="Arial" w:eastAsia="Arial" w:hAnsi="Arial"/>
          <w:sz w:val="18"/>
          <w:szCs w:val="18"/>
          <w:color w:val="auto"/>
        </w:rPr>
        <w:t>Lack of notice or defective notice of the meeting, unless the shareholder at the beginning of the meeting or promptly upon arrival objects to holding the meeting or transacting business at the meeting.</w:t>
      </w:r>
    </w:p>
    <w:p>
      <w:pPr>
        <w:spacing w:after="0" w:line="104" w:lineRule="exact"/>
        <w:rPr>
          <w:rFonts w:ascii="Arial" w:cs="Arial" w:eastAsia="Arial" w:hAnsi="Arial"/>
          <w:sz w:val="18"/>
          <w:szCs w:val="18"/>
          <w:color w:val="auto"/>
        </w:rPr>
      </w:pPr>
    </w:p>
    <w:p>
      <w:pPr>
        <w:ind w:right="20" w:firstLine="921"/>
        <w:spacing w:after="0" w:line="268" w:lineRule="auto"/>
        <w:tabs>
          <w:tab w:leader="none" w:pos="1162"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Consideration of a particular matter at the meeting that is not within the purpose described in the meeting notice, unless the shareholder objects to considering the matter when it is presented.</w:t>
      </w:r>
    </w:p>
    <w:p>
      <w:pPr>
        <w:spacing w:after="0" w:line="10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7.03 Director Waiver by Attendance. </w:t>
      </w:r>
      <w:r>
        <w:rPr>
          <w:rFonts w:ascii="Arial" w:cs="Arial" w:eastAsia="Arial" w:hAnsi="Arial"/>
          <w:sz w:val="16"/>
          <w:szCs w:val="16"/>
          <w:color w:val="auto"/>
        </w:rPr>
        <w:t>A director’s attendance at or participation in a meeting of the Board of Directors or any committee thereof waives any</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notice to him or her of the meeting unless the director at the beginning of the meeting or promptly upon his or her arrival objects to holding the meeting or transacting business at the meeting and does not thereafter vote for or assent to action taken at the meeting.</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UNANIMOUS CONSENT WITHOUT A MEETING</w:t>
      </w:r>
    </w:p>
    <w:p>
      <w:pPr>
        <w:spacing w:after="0" w:line="13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Any action required by the Articles of Incorporation or By-Laws or any provision of the Wisconsin Business Corporation Law to be taken at a meeting or any other action which may be taken at a meeting may be taken without a meeting if a consent in writing setting forth the action so taken shall be signed by all of the shareholders, directors or members of a committee thereof entitled to vote with respect to the subject matter thereof and such consent shall have the same force and effect as a unanimous vote.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13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9.01 Extent of Indemnification. </w:t>
      </w:r>
      <w:r>
        <w:rPr>
          <w:rFonts w:ascii="Arial" w:cs="Arial" w:eastAsia="Arial" w:hAnsi="Arial"/>
          <w:sz w:val="16"/>
          <w:szCs w:val="16"/>
          <w:color w:val="auto"/>
        </w:rPr>
        <w:t>The company shall indemnify any person who was or is threatened to be made a party to any threatened, pending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completed action, suit or proceeding, whether civil, criminal, administrative or investigative (except such as relate to personal injury or death as provided in Section </w:t>
      </w:r>
      <w:r>
        <w:rPr>
          <w:rFonts w:ascii="Arial" w:cs="Arial" w:eastAsia="Arial" w:hAnsi="Arial"/>
          <w:sz w:val="16"/>
          <w:szCs w:val="16"/>
          <w:i w:val="1"/>
          <w:iCs w:val="1"/>
          <w:color w:val="auto"/>
        </w:rPr>
        <w:t>9.02),</w:t>
      </w:r>
      <w:r>
        <w:rPr>
          <w:rFonts w:ascii="Arial" w:cs="Arial" w:eastAsia="Arial" w:hAnsi="Arial"/>
          <w:sz w:val="16"/>
          <w:szCs w:val="16"/>
          <w:color w:val="auto"/>
        </w:rPr>
        <w:t xml:space="preserve"> by reason of the fact that he is or was a director, officer, employee or agent of the company, or is or was serving at the request of the company as a director, officer, employee or agent of another company, partnership, joint venture, trust or other enterprise, against expenses (including attorney’s fees), judgments, fines and amounts paid in settlement actually and reasonably incurred by him in connection with such action, suit or proceeding, to the extent and under the circumstances permitted by the Wisconsin Business Corporation Law.</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07" w:right="239" w:bottom="1440" w:gutter="0" w:footer="0" w:header="0"/>
        </w:sectPr>
      </w:pPr>
    </w:p>
    <w:bookmarkStart w:id="21" w:name="page22"/>
    <w:bookmarkEnd w:id="21"/>
    <w:p>
      <w:pPr>
        <w:jc w:val="both"/>
        <w:ind w:firstLine="456"/>
        <w:spacing w:after="0" w:line="25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9.02 Specific Exceptions to Indemnification. </w:t>
      </w:r>
      <w:r>
        <w:rPr>
          <w:rFonts w:ascii="Arial" w:cs="Arial" w:eastAsia="Arial" w:hAnsi="Arial"/>
          <w:sz w:val="18"/>
          <w:szCs w:val="18"/>
          <w:color w:val="auto"/>
        </w:rPr>
        <w:t>The indemnification provided by this By-Law shall not create any duty or obligation of the company to</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indemnify any party in connection with any action, suit, proceeding or claim arising out of or based upon personal injury or death for which any such director, officer, employee or agent is alleged to have legal responsibility; nor shall such indemnification in any manner extend any liability or obligation of the company with respect to any such matter involving personal injury or death beyond that which may otherwise exist by reason of any provision of law. The company may elect to grant such indemnification in such matters if it is deemed to be in the company’s best interest, to the same extent as is provided in Section 9.03 for other actions, suits, proceedings or claims.</w:t>
      </w:r>
    </w:p>
    <w:p>
      <w:pPr>
        <w:spacing w:after="0" w:line="117"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 xml:space="preserve">9.03 Manner of Authorization. </w:t>
      </w:r>
      <w:r>
        <w:rPr>
          <w:rFonts w:ascii="Arial" w:cs="Arial" w:eastAsia="Arial" w:hAnsi="Arial"/>
          <w:sz w:val="16"/>
          <w:szCs w:val="16"/>
          <w:color w:val="auto"/>
        </w:rPr>
        <w:t>Indemnification under this Article IX (unless ordered by a court) shall be made as authorized in a specific case upon a</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determination that indemnification of the director, officer, employee, or agent is proper in the circumstances because he has met the applicable standards of conduct set forth in the Wisconsin Business Corporation Law or that he acted in the best interests of the company. Such determination shall be made (1) by the Board of Directors by a majority vote of a quorum consisting of directors who were not parties to such action, suit or proceeding, or (2) if such quorum is not obtainable, or even if obtainable, a quorum of disinterested directors so directs, by independent legal counsel in a written opinion, or (3) by shareholders. The foregoing right of indemnification shall not be deemed exclusive of any other rights to which those seeking indemnification may be entitled under any by-law agreement, insurance, vote of shareholders or disinterested directors or otherwise, and shall continue as to a person who has ceased to be a director, officer, employee or agent and shall inure to the benefit of the heirs, executors and administrators of such a person.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SEAL</w:t>
      </w:r>
    </w:p>
    <w:p>
      <w:pPr>
        <w:spacing w:after="0" w:line="13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Board of Directors shall provide a corporate seal which shall be circular in form and shall have inscribed thereon the name of the corporation and the state of incorporation and the words, “Corporate Seal”.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07"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138"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i w:val="1"/>
          <w:iCs w:val="1"/>
          <w:color w:val="auto"/>
        </w:rPr>
        <w:t xml:space="preserve">11.01 By Shareholders. </w:t>
      </w:r>
      <w:r>
        <w:rPr>
          <w:rFonts w:ascii="Arial" w:cs="Arial" w:eastAsia="Arial" w:hAnsi="Arial"/>
          <w:sz w:val="16"/>
          <w:szCs w:val="16"/>
          <w:color w:val="auto"/>
        </w:rPr>
        <w:t>These by-laws may be altered, amended or repealed and new by-laws may be adopted by the shareholders by affirmative vote of</w:t>
      </w:r>
      <w:r>
        <w:rPr>
          <w:rFonts w:ascii="Arial" w:cs="Arial" w:eastAsia="Arial" w:hAnsi="Arial"/>
          <w:sz w:val="16"/>
          <w:szCs w:val="16"/>
          <w:i w:val="1"/>
          <w:iCs w:val="1"/>
          <w:color w:val="auto"/>
        </w:rPr>
        <w:t xml:space="preserve"> </w:t>
      </w:r>
      <w:r>
        <w:rPr>
          <w:rFonts w:ascii="Arial" w:cs="Arial" w:eastAsia="Arial" w:hAnsi="Arial"/>
          <w:sz w:val="16"/>
          <w:szCs w:val="16"/>
          <w:color w:val="auto"/>
        </w:rPr>
        <w:t>not less than a majority of the shares present or represented at an annual or special meeting of the shareholders at which a quorum is in attendance.</w:t>
      </w:r>
    </w:p>
    <w:p>
      <w:pPr>
        <w:spacing w:after="0" w:line="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11.02 By Directors. </w:t>
      </w:r>
      <w:r>
        <w:rPr>
          <w:rFonts w:ascii="Arial" w:cs="Arial" w:eastAsia="Arial" w:hAnsi="Arial"/>
          <w:sz w:val="18"/>
          <w:szCs w:val="18"/>
          <w:color w:val="auto"/>
        </w:rPr>
        <w:t>These by-laws may also be altered, amended or repealed and new by-laws may be adopted by the Board of Directors by affirmative</w:t>
      </w:r>
      <w:r>
        <w:rPr>
          <w:rFonts w:ascii="Arial" w:cs="Arial" w:eastAsia="Arial" w:hAnsi="Arial"/>
          <w:sz w:val="18"/>
          <w:szCs w:val="18"/>
          <w:i w:val="1"/>
          <w:iCs w:val="1"/>
          <w:color w:val="auto"/>
        </w:rPr>
        <w:t xml:space="preserve"> </w:t>
      </w:r>
      <w:r>
        <w:rPr>
          <w:rFonts w:ascii="Arial" w:cs="Arial" w:eastAsia="Arial" w:hAnsi="Arial"/>
          <w:sz w:val="18"/>
          <w:szCs w:val="18"/>
          <w:color w:val="auto"/>
        </w:rPr>
        <w:t>vote of a majority of the number of directors present at any meeting at which a quorum is in attendance, but no by-law adopted by the shareholders shall be amended or repealed by the Board of Directors if the by-law so adopted so provides.</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11.03 Implied Amendments. </w:t>
      </w:r>
      <w:r>
        <w:rPr>
          <w:rFonts w:ascii="Arial" w:cs="Arial" w:eastAsia="Arial" w:hAnsi="Arial"/>
          <w:sz w:val="18"/>
          <w:szCs w:val="18"/>
          <w:color w:val="auto"/>
        </w:rPr>
        <w:t>Any action taken or authorized by the shareholders or Board of Directors, which would be inconsistent with the By-laws then</w:t>
      </w:r>
      <w:r>
        <w:rPr>
          <w:rFonts w:ascii="Arial" w:cs="Arial" w:eastAsia="Arial" w:hAnsi="Arial"/>
          <w:sz w:val="18"/>
          <w:szCs w:val="18"/>
          <w:i w:val="1"/>
          <w:iCs w:val="1"/>
          <w:color w:val="auto"/>
        </w:rPr>
        <w:t xml:space="preserve"> </w:t>
      </w:r>
      <w:r>
        <w:rPr>
          <w:rFonts w:ascii="Arial" w:cs="Arial" w:eastAsia="Arial" w:hAnsi="Arial"/>
          <w:sz w:val="18"/>
          <w:szCs w:val="18"/>
          <w:color w:val="auto"/>
        </w:rPr>
        <w:t>in effect, but is taken or authorized by a vote that would be sufficient to amend the By-laws so that the By-laws would be consistent with such action, shall be given the same effect as though the By-laws had been temporarily amended or suspended so far, but only so far, as is necessary to permit the specific action so taken or authorized.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0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99.1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234" w:lineRule="auto"/>
        <w:rPr>
          <w:sz w:val="20"/>
          <w:szCs w:val="20"/>
          <w:color w:val="auto"/>
        </w:rPr>
      </w:pPr>
      <w:r>
        <w:rPr>
          <w:rFonts w:ascii="Arial" w:cs="Arial" w:eastAsia="Arial" w:hAnsi="Arial"/>
          <w:sz w:val="18"/>
          <w:szCs w:val="18"/>
          <w:color w:val="auto"/>
        </w:rPr>
        <w:t>Investor contact: Aaron Pearce 414-438-6895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2012 Second Quarter Results and Non-Cash Goodwill Impairment</w:t>
      </w:r>
      <w:r>
        <w:rPr>
          <w:rFonts w:ascii="Arial" w:cs="Arial" w:eastAsia="Arial" w:hAnsi="Arial"/>
          <w:sz w:val="18"/>
          <w:szCs w:val="18"/>
          <w:b w:val="1"/>
          <w:bCs w:val="1"/>
          <w:color w:val="auto"/>
        </w:rPr>
        <w:t>:</w:t>
      </w:r>
    </w:p>
    <w:p>
      <w:pPr>
        <w:spacing w:after="0" w:line="153"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MILWAUKEE (February 16, 2012)—Brady Corporation (NYSE: BRC) (“Brady” or “Company”), a world leader in identification solutions, today reported its financial results for the fiscal 2012 second quarter ended January 31, 2012.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Quarter Ended January 31, 2012 Results</w:t>
      </w:r>
      <w:r>
        <w:rPr>
          <w:rFonts w:ascii="Arial" w:cs="Arial" w:eastAsia="Arial" w:hAnsi="Arial"/>
          <w:sz w:val="18"/>
          <w:szCs w:val="18"/>
          <w:b w:val="1"/>
          <w:bCs w:val="1"/>
          <w:color w:val="auto"/>
        </w:rPr>
        <w:t>:</w:t>
      </w:r>
    </w:p>
    <w:p>
      <w:pPr>
        <w:spacing w:after="0" w:line="153" w:lineRule="exact"/>
        <w:rPr>
          <w:sz w:val="20"/>
          <w:szCs w:val="20"/>
          <w:color w:val="auto"/>
        </w:rPr>
      </w:pPr>
    </w:p>
    <w:p>
      <w:pPr>
        <w:ind w:right="100" w:firstLine="456"/>
        <w:spacing w:after="0" w:line="237" w:lineRule="auto"/>
        <w:rPr>
          <w:sz w:val="20"/>
          <w:szCs w:val="20"/>
          <w:color w:val="auto"/>
        </w:rPr>
      </w:pPr>
      <w:r>
        <w:rPr>
          <w:rFonts w:ascii="Arial" w:cs="Arial" w:eastAsia="Arial" w:hAnsi="Arial"/>
          <w:sz w:val="18"/>
          <w:szCs w:val="18"/>
          <w:color w:val="auto"/>
        </w:rPr>
        <w:t>Sales for the fiscal 2012 second quarter were down 2.6 percent to $320.6 million compared to $329.0 million in the second quarter of fiscal 2011. Organic sales declined by 1.8 percent, divestitures, net of acquisitions reduced sales by 0.4 percent, and the impact of foreign currency translation decreased sales by 0.4 percent. By segment, organic sales increased 2.9 percent in the Americas, declined 5.7 percent in Europe, and declined 4.4 percent in the Asia-Pacific region.</w:t>
      </w:r>
    </w:p>
    <w:p>
      <w:pPr>
        <w:spacing w:after="0" w:line="128"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During the second quarter ended January 31, 2012, the Company recorded a non-cash impairment charge of $115.7 million for the write down of goodwill in the Asia-Pacific region. Operating results and financial forecasts in the Asia-Pacific region have been impacted by reduced sales volumes to one of the Company’s major mobile handset customers due to shifts in end market shares and compressed gross profit margins caused primarily by increased competition in the mobile handset industry. This non-cash impairment charge does not impact the Company’s future cash flow, profitability, liquidity, or compliance with debt covenants in its various credit agreements.</w:t>
      </w:r>
    </w:p>
    <w:p>
      <w:pPr>
        <w:spacing w:after="0" w:line="130" w:lineRule="exact"/>
        <w:rPr>
          <w:sz w:val="20"/>
          <w:szCs w:val="20"/>
          <w:color w:val="auto"/>
        </w:rPr>
      </w:pPr>
    </w:p>
    <w:p>
      <w:pPr>
        <w:ind w:right="20" w:firstLine="456"/>
        <w:spacing w:after="0" w:line="238" w:lineRule="auto"/>
        <w:rPr>
          <w:sz w:val="20"/>
          <w:szCs w:val="20"/>
          <w:color w:val="auto"/>
        </w:rPr>
      </w:pPr>
      <w:r>
        <w:rPr>
          <w:rFonts w:ascii="Arial" w:cs="Arial" w:eastAsia="Arial" w:hAnsi="Arial"/>
          <w:sz w:val="18"/>
          <w:szCs w:val="18"/>
          <w:color w:val="auto"/>
        </w:rPr>
        <w:t>Net income (loss) in the fiscal 2012 second quarter was $(90.0) million compared to $24.2 million in the same quarter last year. Excluding the impact of the non-cash goodwill impairment charge outlined above and prior year restructuring charges, net income for the quarter ended January 31, 2012 was flat at $25.7 million.</w:t>
      </w:r>
    </w:p>
    <w:p>
      <w:pPr>
        <w:spacing w:after="0" w:line="127" w:lineRule="exact"/>
        <w:rPr>
          <w:sz w:val="20"/>
          <w:szCs w:val="20"/>
          <w:color w:val="auto"/>
        </w:rPr>
      </w:pPr>
    </w:p>
    <w:p>
      <w:pPr>
        <w:ind w:right="300" w:firstLine="456"/>
        <w:spacing w:after="0" w:line="281" w:lineRule="auto"/>
        <w:rPr>
          <w:sz w:val="20"/>
          <w:szCs w:val="20"/>
          <w:color w:val="auto"/>
        </w:rPr>
      </w:pPr>
      <w:r>
        <w:rPr>
          <w:rFonts w:ascii="Arial" w:cs="Arial" w:eastAsia="Arial" w:hAnsi="Arial"/>
          <w:sz w:val="16"/>
          <w:szCs w:val="16"/>
          <w:color w:val="auto"/>
        </w:rPr>
        <w:t>Earnings (loss) per diluted Class A Common Share in the fiscal 2012 second quarter were $(1.72) compared to $0.46 in the same quarter last year. Excluding the impact of the non-cash goodwill impairment charge and prior year restructuring charges, earnings per diluted Class A Common Share were up 2.1 percent to $0.49 for the quarter ended January 31, 2012 compared to $0.48 in the same period in fiscal 2011.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January 31, 2012 Results</w:t>
      </w:r>
      <w:r>
        <w:rPr>
          <w:rFonts w:ascii="Arial" w:cs="Arial" w:eastAsia="Arial" w:hAnsi="Arial"/>
          <w:sz w:val="18"/>
          <w:szCs w:val="18"/>
          <w:b w:val="1"/>
          <w:bCs w:val="1"/>
          <w:color w:val="auto"/>
        </w:rPr>
        <w:t>:</w:t>
      </w:r>
    </w:p>
    <w:p>
      <w:pPr>
        <w:spacing w:after="0" w:line="153"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Sales for the six-month period ended January 31, 2012 were up 1.7 percent to $670.1 million compared to $658.6 million in the same period last year.</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income (loss) for the six months ended January 31, 2012 was $(57.2) million compared to $50.5 million in the same period in fiscal 2011.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Excluding the impact of the non-cash goodwill impairment charge and prior year restructuring charges, net income for the six months ended</w:t>
      </w:r>
    </w:p>
    <w:p>
      <w:pPr>
        <w:spacing w:after="0"/>
        <w:rPr>
          <w:sz w:val="20"/>
          <w:szCs w:val="20"/>
          <w:color w:val="auto"/>
        </w:rPr>
      </w:pPr>
      <w:r>
        <w:rPr>
          <w:rFonts w:ascii="Arial" w:cs="Arial" w:eastAsia="Arial" w:hAnsi="Arial"/>
          <w:sz w:val="18"/>
          <w:szCs w:val="18"/>
          <w:color w:val="auto"/>
        </w:rPr>
        <w:t>January 31, 2012 was up 7.1 percent to $58.5 million compared to $54.6 million in the same period in fiscal 2011.</w:t>
      </w:r>
    </w:p>
    <w:p>
      <w:pPr>
        <w:sectPr>
          <w:pgSz w:w="11900" w:h="16838" w:orient="portrait"/>
          <w:cols w:equalWidth="0" w:num="1">
            <w:col w:w="11420"/>
          </w:cols>
          <w:pgMar w:left="240" w:top="121" w:right="239" w:bottom="1440" w:gutter="0" w:footer="0" w:header="0"/>
        </w:sectPr>
      </w:pPr>
    </w:p>
    <w:bookmarkStart w:id="24" w:name="page25"/>
    <w:bookmarkEnd w:id="24"/>
    <w:p>
      <w:pPr>
        <w:ind w:right="100" w:firstLine="456"/>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Earnings (loss) per diluted Class A Common Share were $(1.09) for the six-month period ended January 31, 2012 compared to $0.95 in the same period of fiscal 2011. Excluding the impact of the non-cash goodwill impairment charge and prior year restructuring charges, earnings per diluted Class A Common Share for the six months ended January 31, 2012 were up 8.7 percent to $1.12 compared to $1.03 in the same period in fiscal 2011.</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Commentary and Guidance</w:t>
      </w:r>
      <w:r>
        <w:rPr>
          <w:rFonts w:ascii="Arial" w:cs="Arial" w:eastAsia="Arial" w:hAnsi="Arial"/>
          <w:sz w:val="18"/>
          <w:szCs w:val="18"/>
          <w:b w:val="1"/>
          <w:bCs w:val="1"/>
          <w:color w:val="auto"/>
        </w:rPr>
        <w:t>:</w:t>
      </w:r>
    </w:p>
    <w:p>
      <w:pPr>
        <w:spacing w:after="0" w:line="153"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“Today we announced an impairment charge related to our Asian business. As discussed earlier, reduced sales to our largest customer and increasing competitive pressures have led to this action. This month we began the process of splitting our Asia business into two dedicated teams —one team to focus on our die-cut business and the other team to focus on our MRO and identification businesses. This change should help increase our focus on both businesses as we work to accelerate the growth of our MRO business and improve growth and profitability of our die-cut business,” said Brady’s President and Chief Executive Officer, Frank M. Jaehnert.</w:t>
      </w:r>
    </w:p>
    <w:p>
      <w:pPr>
        <w:spacing w:after="0" w:line="130" w:lineRule="exact"/>
        <w:rPr>
          <w:sz w:val="20"/>
          <w:szCs w:val="20"/>
          <w:color w:val="auto"/>
        </w:rPr>
      </w:pPr>
    </w:p>
    <w:p>
      <w:pPr>
        <w:jc w:val="both"/>
        <w:ind w:right="340" w:firstLine="456"/>
        <w:spacing w:after="0" w:line="281" w:lineRule="auto"/>
        <w:rPr>
          <w:sz w:val="20"/>
          <w:szCs w:val="20"/>
          <w:color w:val="auto"/>
        </w:rPr>
      </w:pPr>
      <w:r>
        <w:rPr>
          <w:rFonts w:ascii="Arial" w:cs="Arial" w:eastAsia="Arial" w:hAnsi="Arial"/>
          <w:sz w:val="16"/>
          <w:szCs w:val="16"/>
          <w:color w:val="auto"/>
        </w:rPr>
        <w:t>“We are encouraged by the continued recovery of the American economy and the strong profitability of our business in the Americas, but remain concerned with the European economy. Our focus going forward will be on expanding our business in emerging economies and higher growth vertical markets, moving to more digital business models and continuing to introduce innovative new products,” continued Jaehnert.</w:t>
      </w:r>
    </w:p>
    <w:p>
      <w:pPr>
        <w:spacing w:after="0" w:line="97"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“Our second quarter was challenging as we had difficult comparables combined with certain headwinds this year, including the flooding in Thailand. Even with these challenges, we were able to increase net income as a percent of sales, excluding the goodwill impairment charge and we finished with a cash balance of $380 million at January 31, 2012,” said Brady Chief Financial Officer, Thomas J. Felmer. “The non-cash goodwill impairment charge does not change our commitment to investing in core growth opportunities, paying dividends, and growing through acquisition. Given the uncertainties surrounding the European economy, the compressed margins in the mobile handset industry, and the depreciation of certain foreign currencies versus the U.S. dollar, we have modified our full year fiscal 2012 guidance for earnings per diluted Class A Common Share, exclusive of after-tax restructuring charges and the Asia goodwill impairment outlined above to between $2.20 and $2.40 from our previous guidance of between $2.30 and $2.50. Our guidance includes low single-digit organic sales growth in the Americas and Asia and approximately flat organic sales in Europe.”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 webcast regarding Brady’s fiscal 2012 second quarter financial results will be available at </w:t>
      </w:r>
      <w:r>
        <w:rPr>
          <w:rFonts w:ascii="Arial" w:cs="Arial" w:eastAsia="Arial" w:hAnsi="Arial"/>
          <w:sz w:val="18"/>
          <w:szCs w:val="18"/>
          <w:u w:val="single" w:color="auto"/>
          <w:color w:val="auto"/>
        </w:rPr>
        <w:t>www.bradycorp.com</w:t>
      </w:r>
      <w:r>
        <w:rPr>
          <w:rFonts w:ascii="Arial" w:cs="Arial" w:eastAsia="Arial" w:hAnsi="Arial"/>
          <w:sz w:val="18"/>
          <w:szCs w:val="18"/>
          <w:color w:val="auto"/>
        </w:rPr>
        <w:t xml:space="preserve"> beginning at 9:30 a.m.</w:t>
      </w:r>
    </w:p>
    <w:p>
      <w:pPr>
        <w:spacing w:after="0"/>
        <w:rPr>
          <w:sz w:val="20"/>
          <w:szCs w:val="20"/>
          <w:color w:val="auto"/>
        </w:rPr>
      </w:pPr>
      <w:r>
        <w:rPr>
          <w:rFonts w:ascii="Arial" w:cs="Arial" w:eastAsia="Arial" w:hAnsi="Arial"/>
          <w:sz w:val="18"/>
          <w:szCs w:val="18"/>
          <w:color w:val="auto"/>
        </w:rPr>
        <w:t>Central Time today.</w:t>
      </w:r>
    </w:p>
    <w:p>
      <w:pPr>
        <w:spacing w:after="0" w:line="131" w:lineRule="exact"/>
        <w:rPr>
          <w:sz w:val="20"/>
          <w:szCs w:val="20"/>
          <w:color w:val="auto"/>
        </w:rPr>
      </w:pPr>
    </w:p>
    <w:p>
      <w:pPr>
        <w:ind w:right="220" w:firstLine="456"/>
        <w:spacing w:after="0" w:line="236" w:lineRule="auto"/>
        <w:rPr>
          <w:sz w:val="20"/>
          <w:szCs w:val="20"/>
          <w:color w:val="auto"/>
        </w:rPr>
      </w:pPr>
      <w:r>
        <w:rPr>
          <w:rFonts w:ascii="Arial" w:cs="Arial" w:eastAsia="Arial" w:hAnsi="Arial"/>
          <w:sz w:val="18"/>
          <w:szCs w:val="18"/>
          <w:color w:val="auto"/>
        </w:rPr>
        <w:t>Brady Corporation is an international manufacturer and marketer of complete solutions that identify and protect premises, products and people. Brady’s products help customers increase safety, security, productivity and performance and include high-performance labels and signs, safety devices, printing systems and software, and precision die-cut materials. Founded in 1914, the company has millions of customers in electronics, telecommunications, manufacturing, electrical, construction, education, medical and a variety of other industries. Brady is headquartered in Milwaukee, Wisconsin and as of July 31, 2011 employed</w:t>
      </w:r>
    </w:p>
    <w:p>
      <w:pPr>
        <w:sectPr>
          <w:pgSz w:w="11900" w:h="16838" w:orient="portrait"/>
          <w:cols w:equalWidth="0" w:num="1">
            <w:col w:w="11400"/>
          </w:cols>
          <w:pgMar w:left="240" w:top="291"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approximately 6,500 people at operations in the Americas, Europe and Asia-Pacific. Brady’s fiscal 2011 sales were approximately $1.34 billion.</w:t>
      </w:r>
    </w:p>
    <w:p>
      <w:pPr>
        <w:spacing w:after="0"/>
        <w:rPr>
          <w:sz w:val="20"/>
          <w:szCs w:val="20"/>
          <w:color w:val="auto"/>
        </w:rPr>
      </w:pPr>
      <w:r>
        <w:rPr>
          <w:rFonts w:ascii="Arial" w:cs="Arial" w:eastAsia="Arial" w:hAnsi="Arial"/>
          <w:sz w:val="16"/>
          <w:szCs w:val="16"/>
          <w:color w:val="auto"/>
        </w:rPr>
        <w:t xml:space="preserve">Brady stock trades on the New York Stock Exchange under the symbol BRC. More information is available on the Internet at </w:t>
      </w:r>
      <w:r>
        <w:rPr>
          <w:rFonts w:ascii="Arial" w:cs="Arial" w:eastAsia="Arial" w:hAnsi="Arial"/>
          <w:sz w:val="16"/>
          <w:szCs w:val="16"/>
          <w:u w:val="single" w:color="auto"/>
          <w:color w:val="auto"/>
        </w:rPr>
        <w:t>www.bradycorp.com.</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2011. These uncertainties may cause Brady’s actual future results to be materially different than those expressed in its forward-looking statements. Brady does not undertake to update its forward-looking statements.</w:t>
      </w:r>
    </w:p>
    <w:p>
      <w:pPr>
        <w:sectPr>
          <w:pgSz w:w="11900" w:h="16838" w:orient="portrait"/>
          <w:cols w:equalWidth="0" w:num="1">
            <w:col w:w="11420"/>
          </w:cols>
          <w:pgMar w:left="240" w:top="28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BRADY CORPORATION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Amounts)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(Unaudited)</w:t>
            </w: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4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0" w:type="dxa"/>
            <w:vAlign w:val="bottom"/>
            <w:gridSpan w:val="7"/>
          </w:tcPr>
          <w:p>
            <w:pPr>
              <w:jc w:val="right"/>
              <w:ind w:right="760"/>
              <w:spacing w:after="0" w:line="142" w:lineRule="exact"/>
              <w:rPr>
                <w:sz w:val="20"/>
                <w:szCs w:val="20"/>
                <w:color w:val="auto"/>
              </w:rPr>
            </w:pPr>
            <w:r>
              <w:rPr>
                <w:rFonts w:ascii="Arial" w:cs="Arial" w:eastAsia="Arial" w:hAnsi="Arial"/>
                <w:sz w:val="14"/>
                <w:szCs w:val="14"/>
                <w:b w:val="1"/>
                <w:bCs w:val="1"/>
                <w:color w:val="auto"/>
              </w:rPr>
              <w:t>Three Months Ended January 31,</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20" w:type="dxa"/>
            <w:vAlign w:val="bottom"/>
            <w:gridSpan w:val="6"/>
          </w:tcPr>
          <w:p>
            <w:pPr>
              <w:ind w:left="360"/>
              <w:spacing w:after="0" w:line="142" w:lineRule="exact"/>
              <w:rPr>
                <w:sz w:val="20"/>
                <w:szCs w:val="20"/>
                <w:color w:val="auto"/>
              </w:rPr>
            </w:pPr>
            <w:r>
              <w:rPr>
                <w:rFonts w:ascii="Arial" w:cs="Arial" w:eastAsia="Arial" w:hAnsi="Arial"/>
                <w:sz w:val="14"/>
                <w:szCs w:val="14"/>
                <w:b w:val="1"/>
                <w:bCs w:val="1"/>
                <w:color w:val="auto"/>
              </w:rPr>
              <w:t>Six Months Ended January 31,</w:t>
            </w:r>
          </w:p>
        </w:tc>
        <w:tc>
          <w:tcPr>
            <w:tcW w:w="220" w:type="dxa"/>
            <w:vAlign w:val="bottom"/>
          </w:tcPr>
          <w:p>
            <w:pPr>
              <w:spacing w:after="0"/>
              <w:rPr>
                <w:sz w:val="12"/>
                <w:szCs w:val="12"/>
                <w:color w:val="auto"/>
              </w:rPr>
            </w:pPr>
          </w:p>
        </w:tc>
      </w:tr>
      <w:tr>
        <w:trPr>
          <w:trHeight w:val="125"/>
        </w:trPr>
        <w:tc>
          <w:tcPr>
            <w:tcW w:w="45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b w:val="1"/>
                <w:bCs w:val="1"/>
                <w:color w:val="auto"/>
              </w:rPr>
              <w:t>Percentage</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5"/>
              </w:rPr>
              <w:t>Percentage</w:t>
            </w:r>
          </w:p>
        </w:tc>
        <w:tc>
          <w:tcPr>
            <w:tcW w:w="220" w:type="dxa"/>
            <w:vAlign w:val="bottom"/>
          </w:tcPr>
          <w:p>
            <w:pPr>
              <w:spacing w:after="0"/>
              <w:rPr>
                <w:sz w:val="10"/>
                <w:szCs w:val="10"/>
                <w:color w:val="auto"/>
              </w:rPr>
            </w:pPr>
          </w:p>
        </w:tc>
      </w:tr>
      <w:tr>
        <w:trPr>
          <w:trHeight w:val="165"/>
        </w:trPr>
        <w:tc>
          <w:tcPr>
            <w:tcW w:w="45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Borders>
              <w:bottom w:val="single" w:sz="8" w:color="CCEEFF"/>
            </w:tcBorders>
          </w:tcPr>
          <w:p>
            <w:pPr>
              <w:spacing w:after="0"/>
              <w:rPr>
                <w:sz w:val="14"/>
                <w:szCs w:val="14"/>
                <w:color w:val="auto"/>
              </w:rPr>
            </w:pPr>
          </w:p>
        </w:tc>
      </w:tr>
      <w:tr>
        <w:trPr>
          <w:trHeight w:val="196"/>
        </w:trPr>
        <w:tc>
          <w:tcPr>
            <w:tcW w:w="45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320,584</w:t>
            </w:r>
          </w:p>
        </w:tc>
        <w:tc>
          <w:tcPr>
            <w:tcW w:w="2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329,009</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-2.6%</w:t>
            </w:r>
          </w:p>
        </w:tc>
        <w:tc>
          <w:tcPr>
            <w:tcW w:w="3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670,092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658,597</w:t>
            </w:r>
          </w:p>
        </w:tc>
        <w:tc>
          <w:tcPr>
            <w:tcW w:w="11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1.7%</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Cost of products sold</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167,279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169,999</w:t>
            </w:r>
          </w:p>
        </w:tc>
        <w:tc>
          <w:tcPr>
            <w:tcW w:w="200" w:type="dxa"/>
            <w:vAlign w:val="bottom"/>
          </w:tcPr>
          <w:p>
            <w:pPr>
              <w:spacing w:after="0"/>
              <w:rPr>
                <w:sz w:val="17"/>
                <w:szCs w:val="17"/>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348,956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335,075</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w:t>
            </w:r>
          </w:p>
        </w:tc>
      </w:tr>
      <w:tr>
        <w:trPr>
          <w:trHeight w:val="27"/>
        </w:trPr>
        <w:tc>
          <w:tcPr>
            <w:tcW w:w="4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45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153,305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159,010</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321,136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323,522</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-0.7%</w:t>
            </w:r>
          </w:p>
        </w:tc>
      </w:tr>
      <w:tr>
        <w:trPr>
          <w:trHeight w:val="378"/>
        </w:trPr>
        <w:tc>
          <w:tcPr>
            <w:tcW w:w="454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3"/>
        </w:trPr>
        <w:tc>
          <w:tcPr>
            <w:tcW w:w="45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9,972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11,732</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19,781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21,676</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w:t>
            </w:r>
          </w:p>
        </w:tc>
      </w:tr>
      <w:tr>
        <w:trPr>
          <w:trHeight w:val="203"/>
        </w:trPr>
        <w:tc>
          <w:tcPr>
            <w:tcW w:w="4540" w:type="dxa"/>
            <w:vAlign w:val="bottom"/>
          </w:tcPr>
          <w:p>
            <w:pPr>
              <w:ind w:left="440"/>
              <w:spacing w:after="0" w:line="202" w:lineRule="exact"/>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104,843</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108,064</w:t>
            </w:r>
          </w:p>
        </w:tc>
        <w:tc>
          <w:tcPr>
            <w:tcW w:w="200" w:type="dxa"/>
            <w:vAlign w:val="bottom"/>
          </w:tcPr>
          <w:p>
            <w:pPr>
              <w:spacing w:after="0"/>
              <w:rPr>
                <w:sz w:val="17"/>
                <w:szCs w:val="17"/>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213,775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217,388</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w:t>
            </w:r>
          </w:p>
        </w:tc>
      </w:tr>
      <w:tr>
        <w:trPr>
          <w:trHeight w:val="203"/>
        </w:trPr>
        <w:tc>
          <w:tcPr>
            <w:tcW w:w="45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Restructuring charges</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2,134</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5,775</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4540" w:type="dxa"/>
            <w:vAlign w:val="bottom"/>
          </w:tcPr>
          <w:p>
            <w:pPr>
              <w:ind w:left="440"/>
              <w:spacing w:after="0" w:line="202" w:lineRule="exact"/>
              <w:rPr>
                <w:sz w:val="20"/>
                <w:szCs w:val="20"/>
                <w:color w:val="auto"/>
              </w:rPr>
            </w:pPr>
            <w:r>
              <w:rPr>
                <w:rFonts w:ascii="Arial" w:cs="Arial" w:eastAsia="Arial" w:hAnsi="Arial"/>
                <w:sz w:val="18"/>
                <w:szCs w:val="18"/>
                <w:color w:val="auto"/>
              </w:rPr>
              <w:t>Impairment charge</w:t>
            </w:r>
          </w:p>
        </w:tc>
        <w:tc>
          <w:tcPr>
            <w:tcW w:w="22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115,688</w:t>
            </w:r>
          </w:p>
        </w:tc>
        <w:tc>
          <w:tcPr>
            <w:tcW w:w="200" w:type="dxa"/>
            <w:vAlign w:val="bottom"/>
          </w:tcPr>
          <w:p>
            <w:pPr>
              <w:spacing w:after="0"/>
              <w:rPr>
                <w:sz w:val="17"/>
                <w:szCs w:val="17"/>
                <w:color w:val="auto"/>
              </w:rPr>
            </w:pPr>
          </w:p>
        </w:tc>
        <w:tc>
          <w:tcPr>
            <w:tcW w:w="9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100.0%</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115,688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100.0%</w:t>
            </w:r>
          </w:p>
        </w:tc>
      </w:tr>
      <w:tr>
        <w:trPr>
          <w:trHeight w:val="183"/>
        </w:trPr>
        <w:tc>
          <w:tcPr>
            <w:tcW w:w="45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230,503</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121,930</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89.0%</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349,244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244,839</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42.6%</w:t>
            </w:r>
          </w:p>
        </w:tc>
      </w:tr>
      <w:tr>
        <w:trPr>
          <w:trHeight w:val="390"/>
        </w:trPr>
        <w:tc>
          <w:tcPr>
            <w:tcW w:w="4540" w:type="dxa"/>
            <w:vAlign w:val="bottom"/>
          </w:tcPr>
          <w:p>
            <w:pPr>
              <w:spacing w:after="0"/>
              <w:rPr>
                <w:sz w:val="20"/>
                <w:szCs w:val="20"/>
                <w:color w:val="auto"/>
              </w:rPr>
            </w:pPr>
            <w:r>
              <w:rPr>
                <w:rFonts w:ascii="Arial" w:cs="Arial" w:eastAsia="Arial" w:hAnsi="Arial"/>
                <w:sz w:val="18"/>
                <w:szCs w:val="18"/>
                <w:color w:val="auto"/>
              </w:rPr>
              <w:t>Operating (loss) income</w:t>
            </w:r>
          </w:p>
        </w:tc>
        <w:tc>
          <w:tcPr>
            <w:tcW w:w="2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(77,198)</w:t>
            </w:r>
          </w:p>
        </w:tc>
        <w:tc>
          <w:tcPr>
            <w:tcW w:w="2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37,080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-308.2%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(28,108)</w:t>
            </w:r>
          </w:p>
        </w:tc>
        <w:tc>
          <w:tcPr>
            <w:tcW w:w="20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78,683</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-135.7%</w:t>
            </w:r>
          </w:p>
        </w:tc>
      </w:tr>
      <w:tr>
        <w:trPr>
          <w:trHeight w:val="164"/>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and (expense):</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4540" w:type="dxa"/>
            <w:vAlign w:val="bottom"/>
          </w:tcPr>
          <w:p>
            <w:pPr>
              <w:ind w:left="440"/>
              <w:spacing w:after="0" w:line="202" w:lineRule="exact"/>
              <w:rPr>
                <w:sz w:val="20"/>
                <w:szCs w:val="20"/>
                <w:color w:val="auto"/>
              </w:rPr>
            </w:pPr>
            <w:r>
              <w:rPr>
                <w:rFonts w:ascii="Arial" w:cs="Arial" w:eastAsia="Arial" w:hAnsi="Arial"/>
                <w:sz w:val="18"/>
                <w:szCs w:val="18"/>
                <w:color w:val="auto"/>
              </w:rPr>
              <w:t>Investment and other income</w:t>
            </w:r>
          </w:p>
        </w:tc>
        <w:tc>
          <w:tcPr>
            <w:tcW w:w="22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812</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1,174</w:t>
            </w:r>
          </w:p>
        </w:tc>
        <w:tc>
          <w:tcPr>
            <w:tcW w:w="200" w:type="dxa"/>
            <w:vAlign w:val="bottom"/>
          </w:tcPr>
          <w:p>
            <w:pPr>
              <w:spacing w:after="0"/>
              <w:rPr>
                <w:sz w:val="17"/>
                <w:szCs w:val="17"/>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-30.8%</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610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1,464</w:t>
            </w:r>
          </w:p>
        </w:tc>
        <w:tc>
          <w:tcPr>
            <w:tcW w:w="22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-58.3%</w:t>
            </w:r>
          </w:p>
        </w:tc>
      </w:tr>
      <w:tr>
        <w:trPr>
          <w:trHeight w:val="203"/>
        </w:trPr>
        <w:tc>
          <w:tcPr>
            <w:tcW w:w="45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(4,933)</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(5,850)</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(9,980)</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(11,537)</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-13.5%</w:t>
            </w:r>
          </w:p>
        </w:tc>
      </w:tr>
      <w:tr>
        <w:trPr>
          <w:trHeight w:val="20"/>
        </w:trPr>
        <w:tc>
          <w:tcPr>
            <w:tcW w:w="4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7"/>
        </w:trPr>
        <w:tc>
          <w:tcPr>
            <w:tcW w:w="454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2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(81,319)</w:t>
            </w:r>
          </w:p>
        </w:tc>
        <w:tc>
          <w:tcPr>
            <w:tcW w:w="2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32,404</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-351.0%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(37,478)</w:t>
            </w:r>
          </w:p>
        </w:tc>
        <w:tc>
          <w:tcPr>
            <w:tcW w:w="20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68,610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-154.6%</w:t>
            </w:r>
          </w:p>
        </w:tc>
      </w:tr>
      <w:tr>
        <w:trPr>
          <w:trHeight w:val="164"/>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8,635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8,205</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19,744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18,130</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8.9%</w:t>
            </w:r>
          </w:p>
        </w:tc>
      </w:tr>
      <w:tr>
        <w:trPr>
          <w:trHeight w:val="20"/>
        </w:trPr>
        <w:tc>
          <w:tcPr>
            <w:tcW w:w="4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85"/>
        </w:trPr>
        <w:tc>
          <w:tcPr>
            <w:tcW w:w="4540" w:type="dxa"/>
            <w:vAlign w:val="bottom"/>
          </w:tcPr>
          <w:p>
            <w:pPr>
              <w:spacing w:after="0"/>
              <w:rPr>
                <w:sz w:val="20"/>
                <w:szCs w:val="20"/>
                <w:color w:val="auto"/>
              </w:rPr>
            </w:pPr>
            <w:r>
              <w:rPr>
                <w:rFonts w:ascii="Arial" w:cs="Arial" w:eastAsia="Arial" w:hAnsi="Arial"/>
                <w:sz w:val="18"/>
                <w:szCs w:val="18"/>
                <w:color w:val="auto"/>
              </w:rPr>
              <w:t>Net (loss) income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(89,954)</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24,199</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-471.7%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(57,222)</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50,480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-213.4%</w:t>
            </w:r>
          </w:p>
        </w:tc>
      </w:tr>
      <w:tr>
        <w:trPr>
          <w:trHeight w:val="20"/>
        </w:trPr>
        <w:tc>
          <w:tcPr>
            <w:tcW w:w="4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0"/>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Class A Nonvoting Common Share:</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4540" w:type="dxa"/>
            <w:vAlign w:val="bottom"/>
          </w:tcPr>
          <w:p>
            <w:pPr>
              <w:ind w:left="440"/>
              <w:spacing w:after="0" w:line="202" w:lineRule="exact"/>
              <w:rPr>
                <w:sz w:val="20"/>
                <w:szCs w:val="20"/>
                <w:color w:val="auto"/>
              </w:rPr>
            </w:pPr>
            <w:r>
              <w:rPr>
                <w:rFonts w:ascii="Arial" w:cs="Arial" w:eastAsia="Arial" w:hAnsi="Arial"/>
                <w:sz w:val="18"/>
                <w:szCs w:val="18"/>
                <w:color w:val="auto"/>
              </w:rPr>
              <w:t>Basic net (loss) income</w:t>
            </w:r>
          </w:p>
        </w:tc>
        <w:tc>
          <w:tcPr>
            <w:tcW w:w="220" w:type="dxa"/>
            <w:vAlign w:val="bottom"/>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(1.72)</w:t>
            </w:r>
          </w:p>
        </w:tc>
        <w:tc>
          <w:tcPr>
            <w:tcW w:w="2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0.46</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-473.9%</w:t>
            </w:r>
          </w:p>
        </w:tc>
        <w:tc>
          <w:tcPr>
            <w:tcW w:w="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(1.09)</w:t>
            </w:r>
          </w:p>
        </w:tc>
        <w:tc>
          <w:tcPr>
            <w:tcW w:w="2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0.96</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-213.5%</w:t>
            </w:r>
          </w:p>
        </w:tc>
      </w:tr>
      <w:tr>
        <w:trPr>
          <w:trHeight w:val="203"/>
        </w:trPr>
        <w:tc>
          <w:tcPr>
            <w:tcW w:w="45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Diluted net (loss) income</w:t>
            </w: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0.46</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-473.9%</w:t>
            </w:r>
          </w:p>
        </w:tc>
        <w:tc>
          <w:tcPr>
            <w:tcW w:w="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0.95</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-214.7%</w:t>
            </w:r>
          </w:p>
        </w:tc>
      </w:tr>
      <w:tr>
        <w:trPr>
          <w:trHeight w:val="214"/>
        </w:trPr>
        <w:tc>
          <w:tcPr>
            <w:tcW w:w="4540" w:type="dxa"/>
            <w:vAlign w:val="bottom"/>
          </w:tcPr>
          <w:p>
            <w:pPr>
              <w:ind w:left="440"/>
              <w:spacing w:after="0"/>
              <w:rPr>
                <w:sz w:val="20"/>
                <w:szCs w:val="20"/>
                <w:color w:val="auto"/>
              </w:rPr>
            </w:pPr>
            <w:r>
              <w:rPr>
                <w:rFonts w:ascii="Arial" w:cs="Arial" w:eastAsia="Arial" w:hAnsi="Arial"/>
                <w:sz w:val="18"/>
                <w:szCs w:val="18"/>
                <w:color w:val="auto"/>
              </w:rPr>
              <w:t>Dividends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0.185</w:t>
            </w:r>
          </w:p>
        </w:tc>
        <w:tc>
          <w:tcPr>
            <w:tcW w:w="2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0.18</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0.37</w:t>
            </w:r>
          </w:p>
        </w:tc>
        <w:tc>
          <w:tcPr>
            <w:tcW w:w="2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0.36</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r>
        <w:trPr>
          <w:trHeight w:val="164"/>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Class B Voting Common Share:</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4540" w:type="dxa"/>
            <w:vAlign w:val="bottom"/>
          </w:tcPr>
          <w:p>
            <w:pPr>
              <w:ind w:left="440"/>
              <w:spacing w:after="0" w:line="202" w:lineRule="exact"/>
              <w:rPr>
                <w:sz w:val="20"/>
                <w:szCs w:val="20"/>
                <w:color w:val="auto"/>
              </w:rPr>
            </w:pPr>
            <w:r>
              <w:rPr>
                <w:rFonts w:ascii="Arial" w:cs="Arial" w:eastAsia="Arial" w:hAnsi="Arial"/>
                <w:sz w:val="18"/>
                <w:szCs w:val="18"/>
                <w:color w:val="auto"/>
              </w:rPr>
              <w:t>Basic net (loss) income</w:t>
            </w:r>
          </w:p>
        </w:tc>
        <w:tc>
          <w:tcPr>
            <w:tcW w:w="220" w:type="dxa"/>
            <w:vAlign w:val="bottom"/>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(1.72)</w:t>
            </w:r>
          </w:p>
        </w:tc>
        <w:tc>
          <w:tcPr>
            <w:tcW w:w="2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0.46</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-473.9%</w:t>
            </w:r>
          </w:p>
        </w:tc>
        <w:tc>
          <w:tcPr>
            <w:tcW w:w="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(1.11)</w:t>
            </w:r>
          </w:p>
        </w:tc>
        <w:tc>
          <w:tcPr>
            <w:tcW w:w="2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0.94</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-218.1%</w:t>
            </w:r>
          </w:p>
        </w:tc>
      </w:tr>
      <w:tr>
        <w:trPr>
          <w:trHeight w:val="203"/>
        </w:trPr>
        <w:tc>
          <w:tcPr>
            <w:tcW w:w="45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Diluted net (loss) income</w:t>
            </w: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0.46</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-473.9%</w:t>
            </w:r>
          </w:p>
        </w:tc>
        <w:tc>
          <w:tcPr>
            <w:tcW w:w="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0.94</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-218.1%</w:t>
            </w:r>
          </w:p>
        </w:tc>
      </w:tr>
      <w:tr>
        <w:trPr>
          <w:trHeight w:val="214"/>
        </w:trPr>
        <w:tc>
          <w:tcPr>
            <w:tcW w:w="4540" w:type="dxa"/>
            <w:vAlign w:val="bottom"/>
          </w:tcPr>
          <w:p>
            <w:pPr>
              <w:ind w:left="440"/>
              <w:spacing w:after="0"/>
              <w:rPr>
                <w:sz w:val="20"/>
                <w:szCs w:val="20"/>
                <w:color w:val="auto"/>
              </w:rPr>
            </w:pPr>
            <w:r>
              <w:rPr>
                <w:rFonts w:ascii="Arial" w:cs="Arial" w:eastAsia="Arial" w:hAnsi="Arial"/>
                <w:sz w:val="18"/>
                <w:szCs w:val="18"/>
                <w:color w:val="auto"/>
              </w:rPr>
              <w:t>Dividends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0.185</w:t>
            </w:r>
          </w:p>
        </w:tc>
        <w:tc>
          <w:tcPr>
            <w:tcW w:w="2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0.18</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0.35</w:t>
            </w:r>
          </w:p>
        </w:tc>
        <w:tc>
          <w:tcPr>
            <w:tcW w:w="2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0.34</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164"/>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6"/>
        </w:trPr>
        <w:tc>
          <w:tcPr>
            <w:tcW w:w="45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Weighted average common shares outstanding (in</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99"/>
        </w:trPr>
        <w:tc>
          <w:tcPr>
            <w:tcW w:w="454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thousands):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4540" w:type="dxa"/>
            <w:vAlign w:val="bottom"/>
          </w:tcPr>
          <w:p>
            <w:pPr>
              <w:ind w:left="440"/>
              <w:spacing w:after="0" w:line="202" w:lineRule="exact"/>
              <w:rPr>
                <w:sz w:val="20"/>
                <w:szCs w:val="20"/>
                <w:color w:val="auto"/>
              </w:rPr>
            </w:pPr>
            <w:r>
              <w:rPr>
                <w:rFonts w:ascii="Arial" w:cs="Arial" w:eastAsia="Arial" w:hAnsi="Arial"/>
                <w:sz w:val="18"/>
                <w:szCs w:val="18"/>
                <w:color w:val="auto"/>
              </w:rPr>
              <w:t>Basic</w:t>
            </w:r>
          </w:p>
        </w:tc>
        <w:tc>
          <w:tcPr>
            <w:tcW w:w="22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52,447</w:t>
            </w:r>
          </w:p>
        </w:tc>
        <w:tc>
          <w:tcPr>
            <w:tcW w:w="20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52,593</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52,552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52,521</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5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52,447</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53,053</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52,552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52,932</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bl>
    <w:p>
      <w:pPr>
        <w:sectPr>
          <w:pgSz w:w="11900" w:h="16838" w:orient="portrait"/>
          <w:cols w:equalWidth="0" w:num="1">
            <w:col w:w="11420"/>
          </w:cols>
          <w:pgMar w:left="240" w:top="269"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BRADY CORPORATION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January 31, 2012</w:t>
            </w: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July 31,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60" w:type="dxa"/>
            <w:vAlign w:val="bottom"/>
            <w:tcBorders>
              <w:top w:val="single" w:sz="8" w:color="CCEEFF"/>
            </w:tcBorders>
            <w:shd w:val="clear" w:color="auto" w:fill="CCEEFF"/>
          </w:tcPr>
          <w:p>
            <w:pPr>
              <w:spacing w:after="0"/>
              <w:rPr>
                <w:sz w:val="13"/>
                <w:szCs w:val="13"/>
                <w:color w:val="auto"/>
              </w:rPr>
            </w:pPr>
          </w:p>
        </w:tc>
        <w:tc>
          <w:tcPr>
            <w:tcW w:w="6680" w:type="dxa"/>
            <w:vAlign w:val="bottom"/>
            <w:tcBorders>
              <w:top w:val="single" w:sz="8" w:color="CCEEFF"/>
            </w:tcBorders>
            <w:gridSpan w:val="4"/>
            <w:shd w:val="clear" w:color="auto" w:fill="CCEEFF"/>
          </w:tcPr>
          <w:p>
            <w:pPr>
              <w:jc w:val="center"/>
              <w:ind w:right="2500"/>
              <w:spacing w:after="0" w:line="156" w:lineRule="exact"/>
              <w:rPr>
                <w:sz w:val="20"/>
                <w:szCs w:val="20"/>
                <w:color w:val="auto"/>
              </w:rPr>
            </w:pPr>
            <w:r>
              <w:rPr>
                <w:rFonts w:ascii="Arial" w:cs="Arial" w:eastAsia="Arial" w:hAnsi="Arial"/>
                <w:sz w:val="18"/>
                <w:szCs w:val="18"/>
                <w:b w:val="1"/>
                <w:bCs w:val="1"/>
                <w:color w:val="auto"/>
                <w:w w:val="97"/>
              </w:rPr>
              <w:t>ASSETS</w:t>
            </w: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8"/>
        </w:trPr>
        <w:tc>
          <w:tcPr>
            <w:tcW w:w="9060" w:type="dxa"/>
            <w:vAlign w:val="bottom"/>
            <w:gridSpan w:val="6"/>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shd w:val="clear" w:color="auto" w:fill="CCEEFF"/>
          </w:tcPr>
          <w:p>
            <w:pPr>
              <w:ind w:left="42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380,331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389,971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tcPr>
          <w:p>
            <w:pPr>
              <w:ind w:left="420"/>
              <w:spacing w:after="0" w:line="202" w:lineRule="exact"/>
              <w:rPr>
                <w:sz w:val="20"/>
                <w:szCs w:val="20"/>
                <w:color w:val="auto"/>
              </w:rPr>
            </w:pPr>
            <w:r>
              <w:rPr>
                <w:rFonts w:ascii="Arial" w:cs="Arial" w:eastAsia="Arial" w:hAnsi="Arial"/>
                <w:sz w:val="18"/>
                <w:szCs w:val="18"/>
                <w:color w:val="auto"/>
              </w:rPr>
              <w:t>Accounts receivable—net</w:t>
            </w: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215,929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228,483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shd w:val="clear" w:color="auto" w:fill="CCEEFF"/>
          </w:tcPr>
          <w:p>
            <w:pPr>
              <w:ind w:left="420"/>
              <w:spacing w:after="0" w:line="202" w:lineRule="exact"/>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tcPr>
          <w:p>
            <w:pPr>
              <w:ind w:left="860"/>
              <w:spacing w:after="0" w:line="202" w:lineRule="exact"/>
              <w:rPr>
                <w:sz w:val="20"/>
                <w:szCs w:val="20"/>
                <w:color w:val="auto"/>
              </w:rPr>
            </w:pPr>
            <w:r>
              <w:rPr>
                <w:rFonts w:ascii="Arial" w:cs="Arial" w:eastAsia="Arial" w:hAnsi="Arial"/>
                <w:sz w:val="18"/>
                <w:szCs w:val="18"/>
                <w:color w:val="auto"/>
              </w:rPr>
              <w:t>Finished products</w:t>
            </w:r>
          </w:p>
        </w:tc>
        <w:tc>
          <w:tcPr>
            <w:tcW w:w="20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67,867</w:t>
            </w:r>
          </w:p>
        </w:tc>
        <w:tc>
          <w:tcPr>
            <w:tcW w:w="14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62,152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shd w:val="clear" w:color="auto" w:fill="CCEEFF"/>
          </w:tcPr>
          <w:p>
            <w:pPr>
              <w:ind w:left="860"/>
              <w:spacing w:after="0" w:line="202" w:lineRule="exact"/>
              <w:rPr>
                <w:sz w:val="20"/>
                <w:szCs w:val="20"/>
                <w:color w:val="auto"/>
              </w:rPr>
            </w:pPr>
            <w:r>
              <w:rPr>
                <w:rFonts w:ascii="Arial" w:cs="Arial" w:eastAsia="Arial" w:hAnsi="Arial"/>
                <w:sz w:val="18"/>
                <w:szCs w:val="18"/>
                <w:color w:val="auto"/>
              </w:rPr>
              <w:t>Work-in-process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16,343</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14,550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gridSpan w:val="5"/>
          </w:tcPr>
          <w:p>
            <w:pPr>
              <w:ind w:left="860"/>
              <w:spacing w:after="0" w:line="202" w:lineRule="exact"/>
              <w:rPr>
                <w:sz w:val="20"/>
                <w:szCs w:val="20"/>
                <w:color w:val="auto"/>
              </w:rPr>
            </w:pPr>
            <w:r>
              <w:rPr>
                <w:rFonts w:ascii="Arial" w:cs="Arial" w:eastAsia="Arial" w:hAnsi="Arial"/>
                <w:sz w:val="18"/>
                <w:szCs w:val="18"/>
                <w:color w:val="auto"/>
              </w:rPr>
              <w:t>Raw materials and supplies</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27,905</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27,484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shd w:val="clear" w:color="auto" w:fill="CCEEFF"/>
          </w:tcPr>
          <w:p>
            <w:pPr>
              <w:ind w:left="1280"/>
              <w:spacing w:after="0" w:line="202" w:lineRule="exact"/>
              <w:rPr>
                <w:sz w:val="20"/>
                <w:szCs w:val="20"/>
                <w:color w:val="auto"/>
              </w:rPr>
            </w:pPr>
            <w:r>
              <w:rPr>
                <w:rFonts w:ascii="Arial" w:cs="Arial" w:eastAsia="Arial" w:hAnsi="Arial"/>
                <w:sz w:val="18"/>
                <w:szCs w:val="18"/>
                <w:color w:val="auto"/>
              </w:rPr>
              <w:t>Total inventories</w:t>
            </w: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112,115</w:t>
            </w: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104,186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tcPr>
          <w:p>
            <w:pPr>
              <w:ind w:left="4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39,316</w:t>
            </w:r>
          </w:p>
        </w:tc>
        <w:tc>
          <w:tcPr>
            <w:tcW w:w="14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35,647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shd w:val="clear" w:color="auto" w:fill="CCEEFF"/>
          </w:tcPr>
          <w:p>
            <w:pPr>
              <w:ind w:left="860"/>
              <w:spacing w:after="0" w:line="202" w:lineRule="exact"/>
              <w:rPr>
                <w:sz w:val="20"/>
                <w:szCs w:val="20"/>
                <w:color w:val="auto"/>
              </w:rPr>
            </w:pPr>
            <w:r>
              <w:rPr>
                <w:rFonts w:ascii="Arial" w:cs="Arial" w:eastAsia="Arial" w:hAnsi="Arial"/>
                <w:sz w:val="18"/>
                <w:szCs w:val="18"/>
                <w:b w:val="1"/>
                <w:bCs w:val="1"/>
                <w:color w:val="auto"/>
              </w:rPr>
              <w:t>Total current assets</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747,691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758,287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9060" w:type="dxa"/>
            <w:vAlign w:val="bottom"/>
            <w:gridSpan w:val="6"/>
          </w:tcPr>
          <w:p>
            <w:pPr>
              <w:spacing w:after="0"/>
              <w:rPr>
                <w:sz w:val="20"/>
                <w:szCs w:val="20"/>
                <w:color w:val="auto"/>
              </w:rPr>
            </w:pPr>
            <w:r>
              <w:rPr>
                <w:rFonts w:ascii="Arial" w:cs="Arial" w:eastAsia="Arial" w:hAnsi="Arial"/>
                <w:sz w:val="18"/>
                <w:szCs w:val="18"/>
                <w:b w:val="1"/>
                <w:bCs w:val="1"/>
                <w:color w:val="auto"/>
              </w:rPr>
              <w:t>Other assets: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shd w:val="clear" w:color="auto" w:fill="CCEEFF"/>
          </w:tcPr>
          <w:p>
            <w:pPr>
              <w:ind w:left="420"/>
              <w:spacing w:after="0" w:line="202" w:lineRule="exact"/>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666,907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800,343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tcPr>
          <w:p>
            <w:pPr>
              <w:ind w:left="420"/>
              <w:spacing w:after="0" w:line="202" w:lineRule="exact"/>
              <w:rPr>
                <w:sz w:val="20"/>
                <w:szCs w:val="20"/>
                <w:color w:val="auto"/>
              </w:rPr>
            </w:pPr>
            <w:r>
              <w:rPr>
                <w:rFonts w:ascii="Arial" w:cs="Arial" w:eastAsia="Arial" w:hAnsi="Arial"/>
                <w:sz w:val="18"/>
                <w:szCs w:val="18"/>
                <w:color w:val="auto"/>
              </w:rPr>
              <w:t>Other intangible assets</w:t>
            </w:r>
          </w:p>
        </w:tc>
        <w:tc>
          <w:tcPr>
            <w:tcW w:w="20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79,090</w:t>
            </w:r>
          </w:p>
        </w:tc>
        <w:tc>
          <w:tcPr>
            <w:tcW w:w="14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89,961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shd w:val="clear" w:color="auto" w:fill="CCEEFF"/>
          </w:tcPr>
          <w:p>
            <w:pPr>
              <w:ind w:left="420"/>
              <w:spacing w:after="0" w:line="202" w:lineRule="exact"/>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51,124</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53,755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40" w:type="dxa"/>
            <w:vAlign w:val="bottom"/>
            <w:gridSpan w:val="5"/>
          </w:tcPr>
          <w:p>
            <w:pPr>
              <w:ind w:left="4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19,205</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19,244</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04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tcPr>
          <w:p>
            <w:pPr>
              <w:ind w:left="420"/>
              <w:spacing w:after="0" w:line="202" w:lineRule="exact"/>
              <w:rPr>
                <w:sz w:val="20"/>
                <w:szCs w:val="20"/>
                <w:color w:val="auto"/>
              </w:rPr>
            </w:pPr>
            <w:r>
              <w:rPr>
                <w:rFonts w:ascii="Arial" w:cs="Arial" w:eastAsia="Arial" w:hAnsi="Arial"/>
                <w:sz w:val="18"/>
                <w:szCs w:val="18"/>
                <w:color w:val="auto"/>
              </w:rPr>
              <w:t>Cost: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shd w:val="clear" w:color="auto" w:fill="CCEEFF"/>
          </w:tcPr>
          <w:p>
            <w:pPr>
              <w:ind w:left="860"/>
              <w:spacing w:after="0" w:line="202" w:lineRule="exact"/>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6,132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tcPr>
          <w:p>
            <w:pPr>
              <w:ind w:left="860"/>
              <w:spacing w:after="0" w:line="202" w:lineRule="exact"/>
              <w:rPr>
                <w:sz w:val="20"/>
                <w:szCs w:val="20"/>
                <w:color w:val="auto"/>
              </w:rPr>
            </w:pPr>
            <w:r>
              <w:rPr>
                <w:rFonts w:ascii="Arial" w:cs="Arial" w:eastAsia="Arial" w:hAnsi="Arial"/>
                <w:sz w:val="18"/>
                <w:szCs w:val="18"/>
                <w:color w:val="auto"/>
              </w:rPr>
              <w:t>Buildings and improvements</w:t>
            </w: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101,452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104,644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shd w:val="clear" w:color="auto" w:fill="CCEEFF"/>
          </w:tcPr>
          <w:p>
            <w:pPr>
              <w:ind w:left="860"/>
              <w:spacing w:after="0" w:line="202" w:lineRule="exact"/>
              <w:rPr>
                <w:sz w:val="20"/>
                <w:szCs w:val="20"/>
                <w:color w:val="auto"/>
              </w:rPr>
            </w:pPr>
            <w:r>
              <w:rPr>
                <w:rFonts w:ascii="Arial" w:cs="Arial" w:eastAsia="Arial" w:hAnsi="Arial"/>
                <w:sz w:val="18"/>
                <w:szCs w:val="18"/>
                <w:color w:val="auto"/>
              </w:rPr>
              <w:t>Machinery and equipment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302,568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305,557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gridSpan w:val="5"/>
          </w:tcPr>
          <w:p>
            <w:pPr>
              <w:ind w:left="860"/>
              <w:spacing w:after="0" w:line="202" w:lineRule="exact"/>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14,418</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11,226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424,570</w:t>
            </w: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427,833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040" w:type="dxa"/>
            <w:vAlign w:val="bottom"/>
            <w:gridSpan w:val="5"/>
          </w:tcPr>
          <w:p>
            <w:pPr>
              <w:ind w:left="4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292,426</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shd w:val="clear" w:color="auto" w:fill="CCEEFF"/>
          </w:tcPr>
          <w:p>
            <w:pPr>
              <w:ind w:left="860"/>
              <w:spacing w:after="0" w:line="202" w:lineRule="exact"/>
              <w:rPr>
                <w:sz w:val="20"/>
                <w:szCs w:val="20"/>
                <w:color w:val="auto"/>
              </w:rPr>
            </w:pPr>
            <w:r>
              <w:rPr>
                <w:rFonts w:ascii="Arial" w:cs="Arial" w:eastAsia="Arial" w:hAnsi="Arial"/>
                <w:sz w:val="18"/>
                <w:szCs w:val="18"/>
                <w:b w:val="1"/>
                <w:bCs w:val="1"/>
                <w:color w:val="auto"/>
              </w:rPr>
              <w:t>Property, plant and equipment—net</w:t>
            </w: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132,144</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139,915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9060" w:type="dxa"/>
            <w:vAlign w:val="bottom"/>
            <w:gridSpan w:val="6"/>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1,696,161</w:t>
            </w:r>
          </w:p>
        </w:tc>
        <w:tc>
          <w:tcPr>
            <w:tcW w:w="2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1,861,505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60" w:type="dxa"/>
            <w:vAlign w:val="bottom"/>
            <w:tcBorders>
              <w:bottom w:val="single" w:sz="8" w:color="CCEEFF"/>
            </w:tcBorders>
            <w:shd w:val="clear" w:color="auto" w:fill="CCEEFF"/>
          </w:tcPr>
          <w:p>
            <w:pPr>
              <w:spacing w:after="0"/>
              <w:rPr>
                <w:sz w:val="15"/>
                <w:szCs w:val="15"/>
                <w:color w:val="auto"/>
              </w:rPr>
            </w:pPr>
          </w:p>
        </w:tc>
        <w:tc>
          <w:tcPr>
            <w:tcW w:w="4180" w:type="dxa"/>
            <w:vAlign w:val="bottom"/>
            <w:tcBorders>
              <w:bottom w:val="single" w:sz="8" w:color="auto"/>
            </w:tcBorders>
            <w:gridSpan w:val="3"/>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7"/>
              </w:rPr>
              <w:t>LIABILITIES AND STOCKHOLDERS’ INVESTMENT</w:t>
            </w:r>
          </w:p>
        </w:tc>
        <w:tc>
          <w:tcPr>
            <w:tcW w:w="2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9060" w:type="dxa"/>
            <w:vAlign w:val="bottom"/>
            <w:gridSpan w:val="6"/>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shd w:val="clear" w:color="auto" w:fill="CCEEFF"/>
          </w:tcPr>
          <w:p>
            <w:pPr>
              <w:ind w:left="42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81,140</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98,847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tcPr>
          <w:p>
            <w:pPr>
              <w:ind w:left="420"/>
              <w:spacing w:after="0" w:line="202" w:lineRule="exact"/>
              <w:rPr>
                <w:sz w:val="20"/>
                <w:szCs w:val="20"/>
                <w:color w:val="auto"/>
              </w:rPr>
            </w:pPr>
            <w:r>
              <w:rPr>
                <w:rFonts w:ascii="Arial" w:cs="Arial" w:eastAsia="Arial" w:hAnsi="Arial"/>
                <w:sz w:val="18"/>
                <w:szCs w:val="18"/>
                <w:color w:val="auto"/>
              </w:rPr>
              <w:t>Wages and amounts withheld from employees</w:t>
            </w:r>
          </w:p>
        </w:tc>
        <w:tc>
          <w:tcPr>
            <w:tcW w:w="20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41,926</w:t>
            </w:r>
          </w:p>
        </w:tc>
        <w:tc>
          <w:tcPr>
            <w:tcW w:w="14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69,798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shd w:val="clear" w:color="auto" w:fill="CCEEFF"/>
          </w:tcPr>
          <w:p>
            <w:pPr>
              <w:ind w:left="420"/>
              <w:spacing w:after="0" w:line="202" w:lineRule="exact"/>
              <w:rPr>
                <w:sz w:val="20"/>
                <w:szCs w:val="20"/>
                <w:color w:val="auto"/>
              </w:rPr>
            </w:pPr>
            <w:r>
              <w:rPr>
                <w:rFonts w:ascii="Arial" w:cs="Arial" w:eastAsia="Arial" w:hAnsi="Arial"/>
                <w:sz w:val="18"/>
                <w:szCs w:val="18"/>
                <w:color w:val="auto"/>
              </w:rPr>
              <w:t>Taxes, other than income taxes</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7,925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tcPr>
          <w:p>
            <w:pPr>
              <w:ind w:left="420"/>
              <w:spacing w:after="0" w:line="202" w:lineRule="exact"/>
              <w:rPr>
                <w:sz w:val="20"/>
                <w:szCs w:val="20"/>
                <w:color w:val="auto"/>
              </w:rPr>
            </w:pPr>
            <w:r>
              <w:rPr>
                <w:rFonts w:ascii="Arial" w:cs="Arial" w:eastAsia="Arial" w:hAnsi="Arial"/>
                <w:sz w:val="18"/>
                <w:szCs w:val="18"/>
                <w:color w:val="auto"/>
              </w:rPr>
              <w:t>Accrued income taxes</w:t>
            </w:r>
          </w:p>
        </w:tc>
        <w:tc>
          <w:tcPr>
            <w:tcW w:w="20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16,599</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9,954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shd w:val="clear" w:color="auto" w:fill="CCEEFF"/>
          </w:tcPr>
          <w:p>
            <w:pPr>
              <w:ind w:left="420"/>
              <w:spacing w:after="0" w:line="202" w:lineRule="exact"/>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51,744</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54,406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tcPr>
          <w:p>
            <w:pPr>
              <w:ind w:left="420"/>
              <w:spacing w:after="0" w:line="202" w:lineRule="exact"/>
              <w:rPr>
                <w:sz w:val="20"/>
                <w:szCs w:val="20"/>
                <w:color w:val="auto"/>
              </w:rPr>
            </w:pPr>
            <w:r>
              <w:rPr>
                <w:rFonts w:ascii="Arial" w:cs="Arial" w:eastAsia="Arial" w:hAnsi="Arial"/>
                <w:sz w:val="18"/>
                <w:szCs w:val="18"/>
                <w:color w:val="auto"/>
              </w:rPr>
              <w:t>Current maturities on long-term debt</w:t>
            </w:r>
          </w:p>
        </w:tc>
        <w:tc>
          <w:tcPr>
            <w:tcW w:w="20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61,264</w:t>
            </w:r>
          </w:p>
        </w:tc>
        <w:tc>
          <w:tcPr>
            <w:tcW w:w="14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61,264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shd w:val="clear" w:color="auto" w:fill="CCEEFF"/>
          </w:tcPr>
          <w:p>
            <w:pPr>
              <w:ind w:left="860"/>
              <w:spacing w:after="0" w:line="202" w:lineRule="exact"/>
              <w:rPr>
                <w:sz w:val="20"/>
                <w:szCs w:val="20"/>
                <w:color w:val="auto"/>
              </w:rPr>
            </w:pPr>
            <w:r>
              <w:rPr>
                <w:rFonts w:ascii="Arial" w:cs="Arial" w:eastAsia="Arial" w:hAnsi="Arial"/>
                <w:sz w:val="18"/>
                <w:szCs w:val="18"/>
                <w:b w:val="1"/>
                <w:bCs w:val="1"/>
                <w:color w:val="auto"/>
              </w:rPr>
              <w:t>Total current liabilities</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260,598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301,881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9060" w:type="dxa"/>
            <w:vAlign w:val="bottom"/>
            <w:gridSpan w:val="6"/>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323,071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331,914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04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liabilities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65,550</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71,518</w:t>
            </w: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9040" w:type="dxa"/>
            <w:vAlign w:val="bottom"/>
            <w:gridSpan w:val="5"/>
          </w:tcPr>
          <w:p>
            <w:pPr>
              <w:ind w:left="86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649,219</w:t>
            </w: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705,313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04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Stockholders' investment: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tcPr>
          <w:p>
            <w:pPr>
              <w:ind w:left="420"/>
              <w:spacing w:after="0" w:line="202" w:lineRule="exact"/>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040" w:type="dxa"/>
            <w:vAlign w:val="bottom"/>
            <w:gridSpan w:val="5"/>
            <w:shd w:val="clear" w:color="auto" w:fill="CCEEFF"/>
          </w:tcPr>
          <w:p>
            <w:pPr>
              <w:ind w:left="860"/>
              <w:spacing w:after="0" w:line="206" w:lineRule="exact"/>
              <w:rPr>
                <w:sz w:val="20"/>
                <w:szCs w:val="20"/>
                <w:color w:val="auto"/>
              </w:rPr>
            </w:pPr>
            <w:r>
              <w:rPr>
                <w:rFonts w:ascii="Arial" w:cs="Arial" w:eastAsia="Arial" w:hAnsi="Arial"/>
                <w:sz w:val="18"/>
                <w:szCs w:val="18"/>
                <w:color w:val="auto"/>
              </w:rPr>
              <w:t>Class A nonvoting common stock—Issued 51,261,487 and 51,261,487 shares, respectively and</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040" w:type="dxa"/>
            <w:vAlign w:val="bottom"/>
            <w:gridSpan w:val="5"/>
            <w:shd w:val="clear" w:color="auto" w:fill="CCEEFF"/>
          </w:tcPr>
          <w:p>
            <w:pPr>
              <w:ind w:left="1060"/>
              <w:spacing w:after="0" w:line="200" w:lineRule="exact"/>
              <w:rPr>
                <w:sz w:val="20"/>
                <w:szCs w:val="20"/>
                <w:color w:val="auto"/>
              </w:rPr>
            </w:pPr>
            <w:r>
              <w:rPr>
                <w:rFonts w:ascii="Arial" w:cs="Arial" w:eastAsia="Arial" w:hAnsi="Arial"/>
                <w:sz w:val="18"/>
                <w:szCs w:val="18"/>
                <w:color w:val="auto"/>
              </w:rPr>
              <w:t>outstanding 48,927,002 and 49,284,252 shares, respectively</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513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tcPr>
          <w:p>
            <w:pPr>
              <w:ind w:left="420"/>
              <w:spacing w:after="0" w:line="202" w:lineRule="exact"/>
              <w:rPr>
                <w:sz w:val="20"/>
                <w:szCs w:val="20"/>
                <w:color w:val="auto"/>
              </w:rPr>
            </w:pPr>
            <w:r>
              <w:rPr>
                <w:rFonts w:ascii="Arial" w:cs="Arial" w:eastAsia="Arial" w:hAnsi="Arial"/>
                <w:sz w:val="18"/>
                <w:szCs w:val="18"/>
                <w:color w:val="auto"/>
              </w:rPr>
              <w:t>Class B voting common stock—Issued and outstanding, 3,538,628 shares</w:t>
            </w:r>
          </w:p>
        </w:tc>
        <w:tc>
          <w:tcPr>
            <w:tcW w:w="20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35</w:t>
            </w:r>
          </w:p>
        </w:tc>
        <w:tc>
          <w:tcPr>
            <w:tcW w:w="14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shd w:val="clear" w:color="auto" w:fill="CCEEFF"/>
          </w:tcPr>
          <w:p>
            <w:pPr>
              <w:ind w:left="420"/>
              <w:spacing w:after="0" w:line="202" w:lineRule="exact"/>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311,677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307,527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tcPr>
          <w:p>
            <w:pPr>
              <w:ind w:left="420"/>
              <w:spacing w:after="0" w:line="202" w:lineRule="exact"/>
              <w:rPr>
                <w:sz w:val="20"/>
                <w:szCs w:val="20"/>
                <w:color w:val="auto"/>
              </w:rPr>
            </w:pPr>
            <w:r>
              <w:rPr>
                <w:rFonts w:ascii="Arial" w:cs="Arial" w:eastAsia="Arial" w:hAnsi="Arial"/>
                <w:sz w:val="18"/>
                <w:szCs w:val="18"/>
                <w:color w:val="auto"/>
              </w:rPr>
              <w:t>Earnings retained in the business</w:t>
            </w: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712,425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789,100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shd w:val="clear" w:color="auto" w:fill="CCEEFF"/>
          </w:tcPr>
          <w:p>
            <w:pPr>
              <w:ind w:left="420"/>
              <w:spacing w:after="0" w:line="202" w:lineRule="exact"/>
              <w:rPr>
                <w:sz w:val="20"/>
                <w:szCs w:val="20"/>
                <w:color w:val="auto"/>
              </w:rPr>
            </w:pPr>
            <w:r>
              <w:rPr>
                <w:rFonts w:ascii="Arial" w:cs="Arial" w:eastAsia="Arial" w:hAnsi="Arial"/>
                <w:sz w:val="18"/>
                <w:szCs w:val="18"/>
                <w:color w:val="auto"/>
              </w:rPr>
              <w:t>Treasury stock—2,024,485 and 1,667,235 shares, respectively of Class A nonvoting common stock, at cost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(58,869)</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(50,017)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tcPr>
          <w:p>
            <w:pPr>
              <w:ind w:left="420"/>
              <w:spacing w:after="0" w:line="202" w:lineRule="exact"/>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85,259</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113,898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5"/>
            <w:shd w:val="clear" w:color="auto" w:fill="CCEEFF"/>
          </w:tcPr>
          <w:p>
            <w:pPr>
              <w:ind w:left="420"/>
              <w:spacing w:after="0" w:line="202" w:lineRule="exact"/>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(4,098)</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9040" w:type="dxa"/>
            <w:vAlign w:val="bottom"/>
            <w:gridSpan w:val="5"/>
          </w:tcPr>
          <w:p>
            <w:pPr>
              <w:ind w:left="860"/>
              <w:spacing w:after="0"/>
              <w:rPr>
                <w:sz w:val="20"/>
                <w:szCs w:val="20"/>
                <w:color w:val="auto"/>
              </w:rPr>
            </w:pPr>
            <w:r>
              <w:rPr>
                <w:rFonts w:ascii="Arial" w:cs="Arial" w:eastAsia="Arial" w:hAnsi="Arial"/>
                <w:sz w:val="18"/>
                <w:szCs w:val="18"/>
                <w:b w:val="1"/>
                <w:bCs w:val="1"/>
                <w:color w:val="auto"/>
              </w:rPr>
              <w:t>Total stockholders’ investment</w:t>
            </w:r>
          </w:p>
        </w:tc>
        <w:tc>
          <w:tcPr>
            <w:tcW w:w="2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1,046,942</w:t>
            </w:r>
          </w:p>
        </w:tc>
        <w:tc>
          <w:tcPr>
            <w:tcW w:w="20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1,156,192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04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1,696,161</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1,861,505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69"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BRADY CORPORATION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65" w:lineRule="exact"/>
        <w:rPr>
          <w:sz w:val="20"/>
          <w:szCs w:val="20"/>
          <w:color w:val="auto"/>
        </w:rPr>
      </w:pPr>
    </w:p>
    <w:p>
      <w:pPr>
        <w:jc w:val="center"/>
        <w:ind w:left="9100"/>
        <w:spacing w:after="0"/>
        <w:rPr>
          <w:sz w:val="20"/>
          <w:szCs w:val="20"/>
          <w:color w:val="auto"/>
        </w:rPr>
      </w:pPr>
      <w:r>
        <w:rPr>
          <w:rFonts w:ascii="Arial" w:cs="Arial" w:eastAsia="Arial" w:hAnsi="Arial"/>
          <w:sz w:val="14"/>
          <w:szCs w:val="14"/>
          <w:b w:val="1"/>
          <w:bCs w:val="1"/>
          <w:color w:val="auto"/>
        </w:rPr>
        <w:t>(Unaudited)</w:t>
      </w:r>
    </w:p>
    <w:p>
      <w:pPr>
        <w:jc w:val="center"/>
        <w:ind w:left="9100"/>
        <w:spacing w:after="0" w:line="226" w:lineRule="auto"/>
        <w:rPr>
          <w:sz w:val="20"/>
          <w:szCs w:val="20"/>
          <w:color w:val="auto"/>
        </w:rPr>
      </w:pPr>
      <w:r>
        <w:rPr>
          <w:rFonts w:ascii="Arial" w:cs="Arial" w:eastAsia="Arial" w:hAnsi="Arial"/>
          <w:sz w:val="14"/>
          <w:szCs w:val="14"/>
          <w:b w:val="1"/>
          <w:bCs w:val="1"/>
          <w:color w:val="auto"/>
        </w:rPr>
        <w:t>Six Months Ended</w:t>
      </w:r>
    </w:p>
    <w:p>
      <w:pPr>
        <w:jc w:val="center"/>
        <w:ind w:left="9100"/>
        <w:spacing w:after="0" w:line="223" w:lineRule="auto"/>
        <w:rPr>
          <w:sz w:val="20"/>
          <w:szCs w:val="20"/>
          <w:color w:val="auto"/>
        </w:rPr>
      </w:pPr>
      <w:r>
        <w:rPr>
          <w:rFonts w:ascii="Arial" w:cs="Arial" w:eastAsia="Arial" w:hAnsi="Arial"/>
          <w:sz w:val="14"/>
          <w:szCs w:val="14"/>
          <w:b w:val="1"/>
          <w:bCs w:val="1"/>
          <w:color w:val="auto"/>
        </w:rPr>
        <w:t>January 31,</w:t>
      </w:r>
    </w:p>
    <w:tbl>
      <w:tblPr>
        <w:tblLayout w:type="fixed"/>
        <w:tblInd w:w="0" w:type="dxa"/>
        <w:tblCellMar>
          <w:top w:w="0" w:type="dxa"/>
          <w:left w:w="0" w:type="dxa"/>
          <w:bottom w:w="0" w:type="dxa"/>
          <w:right w:w="0" w:type="dxa"/>
        </w:tblCellMar>
      </w:tblPr>
      <w:tr>
        <w:trPr>
          <w:trHeight w:val="142"/>
        </w:trPr>
        <w:tc>
          <w:tcPr>
            <w:tcW w:w="9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83"/>
        </w:trPr>
        <w:tc>
          <w:tcPr>
            <w:tcW w:w="92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9200" w:type="dxa"/>
            <w:vAlign w:val="bottom"/>
          </w:tcPr>
          <w:p>
            <w:pPr>
              <w:spacing w:after="0" w:line="202" w:lineRule="exact"/>
              <w:rPr>
                <w:sz w:val="20"/>
                <w:szCs w:val="20"/>
                <w:color w:val="auto"/>
              </w:rPr>
            </w:pPr>
            <w:r>
              <w:rPr>
                <w:rFonts w:ascii="Arial" w:cs="Arial" w:eastAsia="Arial" w:hAnsi="Arial"/>
                <w:sz w:val="18"/>
                <w:szCs w:val="18"/>
                <w:color w:val="auto"/>
              </w:rPr>
              <w:t>Net (loss) income</w:t>
            </w:r>
          </w:p>
        </w:tc>
        <w:tc>
          <w:tcPr>
            <w:tcW w:w="2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(57,222)</w:t>
            </w:r>
          </w:p>
        </w:tc>
        <w:tc>
          <w:tcPr>
            <w:tcW w:w="220" w:type="dxa"/>
            <w:vAlign w:val="bottom"/>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50,480</w:t>
            </w:r>
          </w:p>
        </w:tc>
      </w:tr>
      <w:tr>
        <w:trPr>
          <w:trHeight w:val="203"/>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200" w:type="dxa"/>
            <w:vAlign w:val="bottom"/>
          </w:tcPr>
          <w:p>
            <w:pPr>
              <w:ind w:left="440"/>
              <w:spacing w:after="0" w:line="202" w:lineRule="exact"/>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22,176</w:t>
            </w:r>
          </w:p>
        </w:tc>
        <w:tc>
          <w:tcPr>
            <w:tcW w:w="22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25,502</w:t>
            </w:r>
          </w:p>
        </w:tc>
      </w:tr>
      <w:tr>
        <w:trPr>
          <w:trHeight w:val="203"/>
        </w:trPr>
        <w:tc>
          <w:tcPr>
            <w:tcW w:w="9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Non-cash portion of restructuring charges</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1,714</w:t>
            </w:r>
          </w:p>
        </w:tc>
        <w:tc>
          <w:tcPr>
            <w:tcW w:w="100" w:type="dxa"/>
            <w:vAlign w:val="bottom"/>
            <w:shd w:val="clear" w:color="auto" w:fill="CCEEFF"/>
          </w:tcPr>
          <w:p>
            <w:pPr>
              <w:spacing w:after="0"/>
              <w:rPr>
                <w:sz w:val="17"/>
                <w:szCs w:val="17"/>
                <w:color w:val="auto"/>
              </w:rPr>
            </w:pPr>
          </w:p>
        </w:tc>
      </w:tr>
      <w:tr>
        <w:trPr>
          <w:trHeight w:val="203"/>
        </w:trPr>
        <w:tc>
          <w:tcPr>
            <w:tcW w:w="9200" w:type="dxa"/>
            <w:vAlign w:val="bottom"/>
          </w:tcPr>
          <w:p>
            <w:pPr>
              <w:ind w:left="440"/>
              <w:spacing w:after="0" w:line="202" w:lineRule="exact"/>
              <w:rPr>
                <w:sz w:val="20"/>
                <w:szCs w:val="20"/>
                <w:color w:val="auto"/>
              </w:rPr>
            </w:pPr>
            <w:r>
              <w:rPr>
                <w:rFonts w:ascii="Arial" w:cs="Arial" w:eastAsia="Arial" w:hAnsi="Arial"/>
                <w:sz w:val="18"/>
                <w:szCs w:val="18"/>
                <w:color w:val="auto"/>
              </w:rPr>
              <w:t>Non-cash portion of stock-based compensation expense</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5,506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6,869</w:t>
            </w:r>
          </w:p>
        </w:tc>
        <w:tc>
          <w:tcPr>
            <w:tcW w:w="100" w:type="dxa"/>
            <w:vAlign w:val="bottom"/>
          </w:tcPr>
          <w:p>
            <w:pPr>
              <w:spacing w:after="0"/>
              <w:rPr>
                <w:sz w:val="17"/>
                <w:szCs w:val="17"/>
                <w:color w:val="auto"/>
              </w:rPr>
            </w:pPr>
          </w:p>
        </w:tc>
      </w:tr>
      <w:tr>
        <w:trPr>
          <w:trHeight w:val="203"/>
        </w:trPr>
        <w:tc>
          <w:tcPr>
            <w:tcW w:w="9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Impairment charge</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115,688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9200" w:type="dxa"/>
            <w:vAlign w:val="bottom"/>
          </w:tcPr>
          <w:p>
            <w:pPr>
              <w:ind w:left="440"/>
              <w:spacing w:after="0" w:line="202" w:lineRule="exact"/>
              <w:rPr>
                <w:sz w:val="20"/>
                <w:szCs w:val="20"/>
                <w:color w:val="auto"/>
              </w:rPr>
            </w:pPr>
            <w:r>
              <w:rPr>
                <w:rFonts w:ascii="Arial" w:cs="Arial" w:eastAsia="Arial" w:hAnsi="Arial"/>
                <w:sz w:val="18"/>
                <w:szCs w:val="18"/>
                <w:color w:val="auto"/>
              </w:rPr>
              <w:t>Gain on divestiture of business</w:t>
            </w:r>
          </w:p>
        </w:tc>
        <w:tc>
          <w:tcPr>
            <w:tcW w:w="200" w:type="dxa"/>
            <w:vAlign w:val="bottom"/>
          </w:tcPr>
          <w:p>
            <w:pPr>
              <w:spacing w:after="0"/>
              <w:rPr>
                <w:sz w:val="17"/>
                <w:szCs w:val="17"/>
                <w:color w:val="auto"/>
              </w:rPr>
            </w:pP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(4,394)</w:t>
            </w:r>
          </w:p>
        </w:tc>
      </w:tr>
      <w:tr>
        <w:trPr>
          <w:trHeight w:val="203"/>
        </w:trPr>
        <w:tc>
          <w:tcPr>
            <w:tcW w:w="9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(4,831)</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(4,926)</w:t>
            </w:r>
          </w:p>
        </w:tc>
      </w:tr>
      <w:tr>
        <w:trPr>
          <w:trHeight w:val="203"/>
        </w:trPr>
        <w:tc>
          <w:tcPr>
            <w:tcW w:w="9200" w:type="dxa"/>
            <w:vAlign w:val="bottom"/>
          </w:tcPr>
          <w:p>
            <w:pPr>
              <w:ind w:left="440"/>
              <w:spacing w:after="0" w:line="202" w:lineRule="exact"/>
              <w:rPr>
                <w:sz w:val="20"/>
                <w:szCs w:val="20"/>
                <w:color w:val="auto"/>
              </w:rPr>
            </w:pPr>
            <w:r>
              <w:rPr>
                <w:rFonts w:ascii="Arial" w:cs="Arial" w:eastAsia="Arial" w:hAnsi="Arial"/>
                <w:sz w:val="18"/>
                <w:szCs w:val="18"/>
                <w:color w:val="auto"/>
              </w:rPr>
              <w:t>Changes in operating assets and liabilities (net of effects of business acquisitions/divestitures):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20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6,029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(11,938)</w:t>
            </w:r>
          </w:p>
        </w:tc>
      </w:tr>
      <w:tr>
        <w:trPr>
          <w:trHeight w:val="203"/>
        </w:trPr>
        <w:tc>
          <w:tcPr>
            <w:tcW w:w="9200" w:type="dxa"/>
            <w:vAlign w:val="bottom"/>
          </w:tcPr>
          <w:p>
            <w:pPr>
              <w:ind w:left="880"/>
              <w:spacing w:after="0" w:line="202" w:lineRule="exact"/>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(11,814)</w:t>
            </w:r>
          </w:p>
        </w:tc>
        <w:tc>
          <w:tcPr>
            <w:tcW w:w="22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(879)</w:t>
            </w:r>
          </w:p>
        </w:tc>
      </w:tr>
      <w:tr>
        <w:trPr>
          <w:trHeight w:val="203"/>
        </w:trPr>
        <w:tc>
          <w:tcPr>
            <w:tcW w:w="920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(5,155)</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w:t>
            </w:r>
          </w:p>
        </w:tc>
        <w:tc>
          <w:tcPr>
            <w:tcW w:w="100" w:type="dxa"/>
            <w:vAlign w:val="bottom"/>
            <w:shd w:val="clear" w:color="auto" w:fill="CCEEFF"/>
          </w:tcPr>
          <w:p>
            <w:pPr>
              <w:spacing w:after="0"/>
              <w:rPr>
                <w:sz w:val="17"/>
                <w:szCs w:val="17"/>
                <w:color w:val="auto"/>
              </w:rPr>
            </w:pPr>
          </w:p>
        </w:tc>
      </w:tr>
      <w:tr>
        <w:trPr>
          <w:trHeight w:val="203"/>
        </w:trPr>
        <w:tc>
          <w:tcPr>
            <w:tcW w:w="9200" w:type="dxa"/>
            <w:vAlign w:val="bottom"/>
          </w:tcPr>
          <w:p>
            <w:pPr>
              <w:ind w:left="880"/>
              <w:spacing w:after="0" w:line="202" w:lineRule="exact"/>
              <w:rPr>
                <w:sz w:val="20"/>
                <w:szCs w:val="20"/>
                <w:color w:val="auto"/>
              </w:rPr>
            </w:pPr>
            <w:r>
              <w:rPr>
                <w:rFonts w:ascii="Arial" w:cs="Arial" w:eastAsia="Arial" w:hAnsi="Arial"/>
                <w:sz w:val="18"/>
                <w:szCs w:val="18"/>
                <w:color w:val="auto"/>
              </w:rPr>
              <w:t>Accounts payable and accrued liabilities</w:t>
            </w:r>
          </w:p>
        </w:tc>
        <w:tc>
          <w:tcPr>
            <w:tcW w:w="20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(36,297)</w:t>
            </w:r>
          </w:p>
        </w:tc>
        <w:tc>
          <w:tcPr>
            <w:tcW w:w="22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(13,792)</w:t>
            </w:r>
          </w:p>
        </w:tc>
      </w:tr>
      <w:tr>
        <w:trPr>
          <w:trHeight w:val="203"/>
        </w:trPr>
        <w:tc>
          <w:tcPr>
            <w:tcW w:w="920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9,221</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6,589</w:t>
            </w:r>
          </w:p>
        </w:tc>
        <w:tc>
          <w:tcPr>
            <w:tcW w:w="100" w:type="dxa"/>
            <w:vAlign w:val="bottom"/>
            <w:shd w:val="clear" w:color="auto" w:fill="CCEEFF"/>
          </w:tcPr>
          <w:p>
            <w:pPr>
              <w:spacing w:after="0"/>
              <w:rPr>
                <w:sz w:val="17"/>
                <w:szCs w:val="17"/>
                <w:color w:val="auto"/>
              </w:rPr>
            </w:pPr>
          </w:p>
        </w:tc>
      </w:tr>
      <w:tr>
        <w:trPr>
          <w:trHeight w:val="221"/>
        </w:trPr>
        <w:tc>
          <w:tcPr>
            <w:tcW w:w="9200" w:type="dxa"/>
            <w:vAlign w:val="bottom"/>
          </w:tcPr>
          <w:p>
            <w:pPr>
              <w:ind w:left="130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43,301</w:t>
            </w:r>
          </w:p>
        </w:tc>
        <w:tc>
          <w:tcPr>
            <w:tcW w:w="2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57,609</w:t>
            </w:r>
          </w:p>
        </w:tc>
      </w:tr>
      <w:tr>
        <w:trPr>
          <w:trHeight w:val="164"/>
        </w:trPr>
        <w:tc>
          <w:tcPr>
            <w:tcW w:w="9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200" w:type="dxa"/>
            <w:vAlign w:val="bottom"/>
          </w:tcPr>
          <w:p>
            <w:pPr>
              <w:ind w:left="44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20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(11,100)</w:t>
            </w:r>
          </w:p>
        </w:tc>
        <w:tc>
          <w:tcPr>
            <w:tcW w:w="22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(9,045)</w:t>
            </w:r>
          </w:p>
        </w:tc>
      </w:tr>
      <w:tr>
        <w:trPr>
          <w:trHeight w:val="203"/>
        </w:trPr>
        <w:tc>
          <w:tcPr>
            <w:tcW w:w="9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Payments of contingent consideration</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(2,580)</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(979)</w:t>
            </w:r>
          </w:p>
        </w:tc>
      </w:tr>
      <w:tr>
        <w:trPr>
          <w:trHeight w:val="203"/>
        </w:trPr>
        <w:tc>
          <w:tcPr>
            <w:tcW w:w="9200" w:type="dxa"/>
            <w:vAlign w:val="bottom"/>
          </w:tcPr>
          <w:p>
            <w:pPr>
              <w:ind w:left="440"/>
              <w:spacing w:after="0" w:line="202" w:lineRule="exact"/>
              <w:rPr>
                <w:sz w:val="20"/>
                <w:szCs w:val="20"/>
                <w:color w:val="auto"/>
              </w:rPr>
            </w:pPr>
            <w:r>
              <w:rPr>
                <w:rFonts w:ascii="Arial" w:cs="Arial" w:eastAsia="Arial" w:hAnsi="Arial"/>
                <w:sz w:val="18"/>
                <w:szCs w:val="18"/>
                <w:color w:val="auto"/>
              </w:rPr>
              <w:t>Settlement of net investment hedges</w:t>
            </w:r>
          </w:p>
        </w:tc>
        <w:tc>
          <w:tcPr>
            <w:tcW w:w="20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(797)</w:t>
            </w:r>
          </w:p>
        </w:tc>
        <w:tc>
          <w:tcPr>
            <w:tcW w:w="220" w:type="dxa"/>
            <w:vAlign w:val="bottom"/>
          </w:tcPr>
          <w:p>
            <w:pPr>
              <w:spacing w:after="0"/>
              <w:rPr>
                <w:sz w:val="17"/>
                <w:szCs w:val="17"/>
                <w:color w:val="auto"/>
              </w:rPr>
            </w:pP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9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Acquisition of business, net of cash acquired</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(7,970)</w:t>
            </w:r>
          </w:p>
        </w:tc>
      </w:tr>
      <w:tr>
        <w:trPr>
          <w:trHeight w:val="203"/>
        </w:trPr>
        <w:tc>
          <w:tcPr>
            <w:tcW w:w="9200" w:type="dxa"/>
            <w:vAlign w:val="bottom"/>
          </w:tcPr>
          <w:p>
            <w:pPr>
              <w:ind w:left="440"/>
              <w:spacing w:after="0" w:line="202" w:lineRule="exact"/>
              <w:rPr>
                <w:sz w:val="20"/>
                <w:szCs w:val="20"/>
                <w:color w:val="auto"/>
              </w:rPr>
            </w:pPr>
            <w:r>
              <w:rPr>
                <w:rFonts w:ascii="Arial" w:cs="Arial" w:eastAsia="Arial" w:hAnsi="Arial"/>
                <w:sz w:val="18"/>
                <w:szCs w:val="18"/>
                <w:color w:val="auto"/>
              </w:rPr>
              <w:t>Divestiture of business, net of cash retained in business</w:t>
            </w:r>
          </w:p>
        </w:tc>
        <w:tc>
          <w:tcPr>
            <w:tcW w:w="200" w:type="dxa"/>
            <w:vAlign w:val="bottom"/>
          </w:tcPr>
          <w:p>
            <w:pPr>
              <w:spacing w:after="0"/>
              <w:rPr>
                <w:sz w:val="17"/>
                <w:szCs w:val="17"/>
                <w:color w:val="auto"/>
              </w:rPr>
            </w:pP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12,979</w:t>
            </w:r>
          </w:p>
        </w:tc>
      </w:tr>
      <w:tr>
        <w:trPr>
          <w:trHeight w:val="203"/>
        </w:trPr>
        <w:tc>
          <w:tcPr>
            <w:tcW w:w="9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(494)</w:t>
            </w:r>
          </w:p>
        </w:tc>
      </w:tr>
      <w:tr>
        <w:trPr>
          <w:trHeight w:val="20"/>
        </w:trPr>
        <w:tc>
          <w:tcPr>
            <w:tcW w:w="9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1"/>
        </w:trPr>
        <w:tc>
          <w:tcPr>
            <w:tcW w:w="9200" w:type="dxa"/>
            <w:vAlign w:val="bottom"/>
          </w:tcPr>
          <w:p>
            <w:pPr>
              <w:ind w:left="130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(14,605)</w:t>
            </w:r>
          </w:p>
        </w:tc>
        <w:tc>
          <w:tcPr>
            <w:tcW w:w="2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(5,509)</w:t>
            </w:r>
          </w:p>
        </w:tc>
      </w:tr>
      <w:tr>
        <w:trPr>
          <w:trHeight w:val="164"/>
        </w:trPr>
        <w:tc>
          <w:tcPr>
            <w:tcW w:w="9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Financing activities: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200" w:type="dxa"/>
            <w:vAlign w:val="bottom"/>
          </w:tcPr>
          <w:p>
            <w:pPr>
              <w:ind w:left="440"/>
              <w:spacing w:after="0" w:line="202" w:lineRule="exact"/>
              <w:rPr>
                <w:sz w:val="20"/>
                <w:szCs w:val="20"/>
                <w:color w:val="auto"/>
              </w:rPr>
            </w:pPr>
            <w:r>
              <w:rPr>
                <w:rFonts w:ascii="Arial" w:cs="Arial" w:eastAsia="Arial" w:hAnsi="Arial"/>
                <w:sz w:val="18"/>
                <w:szCs w:val="18"/>
                <w:color w:val="auto"/>
              </w:rPr>
              <w:t>Payment of dividends</w:t>
            </w:r>
          </w:p>
        </w:tc>
        <w:tc>
          <w:tcPr>
            <w:tcW w:w="20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(19,452)</w:t>
            </w:r>
          </w:p>
        </w:tc>
        <w:tc>
          <w:tcPr>
            <w:tcW w:w="22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(18,954)</w:t>
            </w:r>
          </w:p>
        </w:tc>
      </w:tr>
      <w:tr>
        <w:trPr>
          <w:trHeight w:val="203"/>
        </w:trPr>
        <w:tc>
          <w:tcPr>
            <w:tcW w:w="9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Proceeds from issuance of common stock</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4,909</w:t>
            </w:r>
          </w:p>
        </w:tc>
        <w:tc>
          <w:tcPr>
            <w:tcW w:w="100" w:type="dxa"/>
            <w:vAlign w:val="bottom"/>
            <w:shd w:val="clear" w:color="auto" w:fill="CCEEFF"/>
          </w:tcPr>
          <w:p>
            <w:pPr>
              <w:spacing w:after="0"/>
              <w:rPr>
                <w:sz w:val="17"/>
                <w:szCs w:val="17"/>
                <w:color w:val="auto"/>
              </w:rPr>
            </w:pPr>
          </w:p>
        </w:tc>
      </w:tr>
      <w:tr>
        <w:trPr>
          <w:trHeight w:val="203"/>
        </w:trPr>
        <w:tc>
          <w:tcPr>
            <w:tcW w:w="9200" w:type="dxa"/>
            <w:vAlign w:val="bottom"/>
          </w:tcPr>
          <w:p>
            <w:pPr>
              <w:ind w:left="440"/>
              <w:spacing w:after="0" w:line="202" w:lineRule="exact"/>
              <w:rPr>
                <w:sz w:val="20"/>
                <w:szCs w:val="20"/>
                <w:color w:val="auto"/>
              </w:rPr>
            </w:pPr>
            <w:r>
              <w:rPr>
                <w:rFonts w:ascii="Arial" w:cs="Arial" w:eastAsia="Arial" w:hAnsi="Arial"/>
                <w:sz w:val="18"/>
                <w:szCs w:val="18"/>
                <w:color w:val="auto"/>
              </w:rPr>
              <w:t>Purchase of treasury stock</w:t>
            </w:r>
          </w:p>
        </w:tc>
        <w:tc>
          <w:tcPr>
            <w:tcW w:w="20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(12,309)</w:t>
            </w:r>
          </w:p>
        </w:tc>
        <w:tc>
          <w:tcPr>
            <w:tcW w:w="220" w:type="dxa"/>
            <w:vAlign w:val="bottom"/>
          </w:tcPr>
          <w:p>
            <w:pPr>
              <w:spacing w:after="0"/>
              <w:rPr>
                <w:sz w:val="17"/>
                <w:szCs w:val="17"/>
                <w:color w:val="auto"/>
              </w:rPr>
            </w:pP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9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Income tax benefit from the exercise of stock options and deferred compensation distribution, and other</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566</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7"/>
                <w:szCs w:val="17"/>
                <w:color w:val="auto"/>
              </w:rPr>
            </w:pPr>
          </w:p>
        </w:tc>
      </w:tr>
      <w:tr>
        <w:trPr>
          <w:trHeight w:val="221"/>
        </w:trPr>
        <w:tc>
          <w:tcPr>
            <w:tcW w:w="9200" w:type="dxa"/>
            <w:vAlign w:val="bottom"/>
          </w:tcPr>
          <w:p>
            <w:pPr>
              <w:ind w:left="130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(28,894)</w:t>
            </w:r>
          </w:p>
        </w:tc>
        <w:tc>
          <w:tcPr>
            <w:tcW w:w="2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(13,686)</w:t>
            </w:r>
          </w:p>
        </w:tc>
      </w:tr>
      <w:tr>
        <w:trPr>
          <w:trHeight w:val="164"/>
        </w:trPr>
        <w:tc>
          <w:tcPr>
            <w:tcW w:w="9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 on cash</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(9,442)</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9,048</w:t>
            </w:r>
          </w:p>
        </w:tc>
        <w:tc>
          <w:tcPr>
            <w:tcW w:w="100" w:type="dxa"/>
            <w:vAlign w:val="bottom"/>
            <w:shd w:val="clear" w:color="auto" w:fill="CCEEFF"/>
          </w:tcPr>
          <w:p>
            <w:pPr>
              <w:spacing w:after="0"/>
              <w:rPr>
                <w:sz w:val="17"/>
                <w:szCs w:val="17"/>
                <w:color w:val="auto"/>
              </w:rPr>
            </w:pPr>
          </w:p>
        </w:tc>
      </w:tr>
      <w:tr>
        <w:trPr>
          <w:trHeight w:val="378"/>
        </w:trPr>
        <w:tc>
          <w:tcPr>
            <w:tcW w:w="92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(9,640)</w:t>
            </w:r>
          </w:p>
        </w:tc>
        <w:tc>
          <w:tcPr>
            <w:tcW w:w="22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47,462</w:t>
            </w:r>
          </w:p>
        </w:tc>
      </w:tr>
      <w:tr>
        <w:trPr>
          <w:trHeight w:val="203"/>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389,971</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314,840</w:t>
            </w:r>
          </w:p>
        </w:tc>
        <w:tc>
          <w:tcPr>
            <w:tcW w:w="100" w:type="dxa"/>
            <w:vAlign w:val="bottom"/>
            <w:shd w:val="clear" w:color="auto" w:fill="CCEEFF"/>
          </w:tcPr>
          <w:p>
            <w:pPr>
              <w:spacing w:after="0"/>
              <w:rPr>
                <w:sz w:val="17"/>
                <w:szCs w:val="17"/>
                <w:color w:val="auto"/>
              </w:rPr>
            </w:pPr>
          </w:p>
        </w:tc>
      </w:tr>
      <w:tr>
        <w:trPr>
          <w:trHeight w:val="385"/>
        </w:trPr>
        <w:tc>
          <w:tcPr>
            <w:tcW w:w="92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380,331</w:t>
            </w:r>
          </w:p>
        </w:tc>
        <w:tc>
          <w:tcPr>
            <w:tcW w:w="200" w:type="dxa"/>
            <w:vAlign w:val="bottom"/>
          </w:tcPr>
          <w:p>
            <w:pPr>
              <w:spacing w:after="0"/>
              <w:rPr>
                <w:sz w:val="24"/>
                <w:szCs w:val="24"/>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362,302</w:t>
            </w:r>
          </w:p>
        </w:tc>
        <w:tc>
          <w:tcPr>
            <w:tcW w:w="100" w:type="dxa"/>
            <w:vAlign w:val="bottom"/>
          </w:tcPr>
          <w:p>
            <w:pPr>
              <w:spacing w:after="0"/>
              <w:rPr>
                <w:sz w:val="24"/>
                <w:szCs w:val="24"/>
                <w:color w:val="auto"/>
              </w:rPr>
            </w:pPr>
          </w:p>
        </w:tc>
      </w:tr>
      <w:tr>
        <w:trPr>
          <w:trHeight w:val="20"/>
        </w:trPr>
        <w:tc>
          <w:tcPr>
            <w:tcW w:w="9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9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Supplemental disclosures: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200" w:type="dxa"/>
            <w:vAlign w:val="bottom"/>
          </w:tcPr>
          <w:p>
            <w:pPr>
              <w:spacing w:after="0" w:line="202" w:lineRule="exact"/>
              <w:rPr>
                <w:sz w:val="20"/>
                <w:szCs w:val="20"/>
                <w:color w:val="auto"/>
              </w:rPr>
            </w:pPr>
            <w:r>
              <w:rPr>
                <w:rFonts w:ascii="Arial" w:cs="Arial" w:eastAsia="Arial" w:hAnsi="Arial"/>
                <w:sz w:val="18"/>
                <w:szCs w:val="18"/>
                <w:color w:val="auto"/>
              </w:rPr>
              <w:t>Cash paid during the period for:</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Interest, net of capitalized interest</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9,521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9,138</w:t>
            </w:r>
          </w:p>
        </w:tc>
        <w:tc>
          <w:tcPr>
            <w:tcW w:w="100" w:type="dxa"/>
            <w:vAlign w:val="bottom"/>
            <w:shd w:val="clear" w:color="auto" w:fill="CCEEFF"/>
          </w:tcPr>
          <w:p>
            <w:pPr>
              <w:spacing w:after="0"/>
              <w:rPr>
                <w:sz w:val="17"/>
                <w:szCs w:val="17"/>
                <w:color w:val="auto"/>
              </w:rPr>
            </w:pPr>
          </w:p>
        </w:tc>
      </w:tr>
      <w:tr>
        <w:trPr>
          <w:trHeight w:val="203"/>
        </w:trPr>
        <w:tc>
          <w:tcPr>
            <w:tcW w:w="9200" w:type="dxa"/>
            <w:vAlign w:val="bottom"/>
          </w:tcPr>
          <w:p>
            <w:pPr>
              <w:ind w:left="440"/>
              <w:spacing w:after="0" w:line="202" w:lineRule="exact"/>
              <w:rPr>
                <w:sz w:val="20"/>
                <w:szCs w:val="20"/>
                <w:color w:val="auto"/>
              </w:rPr>
            </w:pPr>
            <w:r>
              <w:rPr>
                <w:rFonts w:ascii="Arial" w:cs="Arial" w:eastAsia="Arial" w:hAnsi="Arial"/>
                <w:sz w:val="18"/>
                <w:szCs w:val="18"/>
                <w:color w:val="auto"/>
              </w:rPr>
              <w:t>Income taxes, net of refunds</w:t>
            </w:r>
          </w:p>
        </w:tc>
        <w:tc>
          <w:tcPr>
            <w:tcW w:w="20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16,189</w:t>
            </w:r>
          </w:p>
        </w:tc>
        <w:tc>
          <w:tcPr>
            <w:tcW w:w="22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17,398</w:t>
            </w:r>
          </w:p>
        </w:tc>
      </w:tr>
      <w:tr>
        <w:trPr>
          <w:trHeight w:val="203"/>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200" w:type="dxa"/>
            <w:vAlign w:val="bottom"/>
          </w:tcPr>
          <w:p>
            <w:pPr>
              <w:ind w:left="440"/>
              <w:spacing w:after="0" w:line="202" w:lineRule="exact"/>
              <w:rPr>
                <w:sz w:val="20"/>
                <w:szCs w:val="20"/>
                <w:color w:val="auto"/>
              </w:rPr>
            </w:pPr>
            <w:r>
              <w:rPr>
                <w:rFonts w:ascii="Arial" w:cs="Arial" w:eastAsia="Arial" w:hAnsi="Arial"/>
                <w:sz w:val="18"/>
                <w:szCs w:val="18"/>
                <w:color w:val="auto"/>
              </w:rPr>
              <w:t>Fair value of assets acquired, net of cash</w:t>
            </w:r>
          </w:p>
        </w:tc>
        <w:tc>
          <w:tcPr>
            <w:tcW w:w="2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4,624</w:t>
            </w:r>
          </w:p>
        </w:tc>
        <w:tc>
          <w:tcPr>
            <w:tcW w:w="100" w:type="dxa"/>
            <w:vAlign w:val="bottom"/>
          </w:tcPr>
          <w:p>
            <w:pPr>
              <w:spacing w:after="0"/>
              <w:rPr>
                <w:sz w:val="17"/>
                <w:szCs w:val="17"/>
                <w:color w:val="auto"/>
              </w:rPr>
            </w:pPr>
          </w:p>
        </w:tc>
      </w:tr>
      <w:tr>
        <w:trPr>
          <w:trHeight w:val="203"/>
        </w:trPr>
        <w:tc>
          <w:tcPr>
            <w:tcW w:w="9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Liabilities assumed</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(1,446)</w:t>
            </w:r>
          </w:p>
        </w:tc>
      </w:tr>
      <w:tr>
        <w:trPr>
          <w:trHeight w:val="210"/>
        </w:trPr>
        <w:tc>
          <w:tcPr>
            <w:tcW w:w="9200" w:type="dxa"/>
            <w:vAlign w:val="bottom"/>
          </w:tcPr>
          <w:p>
            <w:pPr>
              <w:ind w:left="440"/>
              <w:spacing w:after="0" w:line="202" w:lineRule="exact"/>
              <w:rPr>
                <w:sz w:val="20"/>
                <w:szCs w:val="20"/>
                <w:color w:val="auto"/>
              </w:rPr>
            </w:pPr>
            <w:r>
              <w:rPr>
                <w:rFonts w:ascii="Arial" w:cs="Arial" w:eastAsia="Arial" w:hAnsi="Arial"/>
                <w:sz w:val="18"/>
                <w:szCs w:val="18"/>
                <w:color w:val="auto"/>
              </w:rPr>
              <w:t>Goodwill</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4,792</w:t>
            </w:r>
          </w:p>
        </w:tc>
        <w:tc>
          <w:tcPr>
            <w:tcW w:w="100" w:type="dxa"/>
            <w:vAlign w:val="bottom"/>
          </w:tcPr>
          <w:p>
            <w:pPr>
              <w:spacing w:after="0"/>
              <w:rPr>
                <w:sz w:val="18"/>
                <w:szCs w:val="18"/>
                <w:color w:val="auto"/>
              </w:rPr>
            </w:pPr>
          </w:p>
        </w:tc>
      </w:tr>
      <w:tr>
        <w:trPr>
          <w:trHeight w:val="203"/>
        </w:trPr>
        <w:tc>
          <w:tcPr>
            <w:tcW w:w="9200" w:type="dxa"/>
            <w:vAlign w:val="bottom"/>
            <w:shd w:val="clear" w:color="auto" w:fill="CCEEFF"/>
          </w:tcPr>
          <w:p>
            <w:pPr>
              <w:ind w:left="1300"/>
              <w:spacing w:after="0" w:line="202" w:lineRule="exact"/>
              <w:rPr>
                <w:sz w:val="20"/>
                <w:szCs w:val="20"/>
                <w:color w:val="auto"/>
              </w:rPr>
            </w:pPr>
            <w:r>
              <w:rPr>
                <w:rFonts w:ascii="Arial" w:cs="Arial" w:eastAsia="Arial" w:hAnsi="Arial"/>
                <w:sz w:val="18"/>
                <w:szCs w:val="18"/>
                <w:color w:val="auto"/>
              </w:rPr>
              <w:t>Net cash paid for acquisitions</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7,970</w:t>
            </w:r>
          </w:p>
        </w:tc>
        <w:tc>
          <w:tcPr>
            <w:tcW w:w="100" w:type="dxa"/>
            <w:vAlign w:val="bottom"/>
            <w:shd w:val="clear" w:color="auto" w:fill="CCEEFF"/>
          </w:tcPr>
          <w:p>
            <w:pPr>
              <w:spacing w:after="0"/>
              <w:rPr>
                <w:sz w:val="17"/>
                <w:szCs w:val="17"/>
                <w:color w:val="auto"/>
              </w:rPr>
            </w:pPr>
          </w:p>
        </w:tc>
      </w:tr>
      <w:tr>
        <w:trPr>
          <w:trHeight w:val="20"/>
        </w:trPr>
        <w:tc>
          <w:tcPr>
            <w:tcW w:w="9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69"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by regional segment for the three and six months ended January 31, 2012 and 2011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Asia-</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and</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000" w:type="dxa"/>
            <w:vAlign w:val="bottom"/>
            <w:tcBorders>
              <w:bottom w:val="single" w:sz="8" w:color="auto"/>
            </w:tcBorders>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40"/>
              <w:spacing w:after="0" w:line="152" w:lineRule="exact"/>
              <w:rPr>
                <w:sz w:val="20"/>
                <w:szCs w:val="20"/>
                <w:color w:val="auto"/>
              </w:rPr>
            </w:pPr>
            <w:r>
              <w:rPr>
                <w:rFonts w:ascii="Arial" w:cs="Arial" w:eastAsia="Arial" w:hAnsi="Arial"/>
                <w:sz w:val="14"/>
                <w:szCs w:val="14"/>
                <w:b w:val="1"/>
                <w:bCs w:val="1"/>
                <w:color w:val="auto"/>
              </w:rPr>
              <w:t>Americas</w:t>
            </w:r>
          </w:p>
        </w:tc>
        <w:tc>
          <w:tcPr>
            <w:tcW w:w="160" w:type="dxa"/>
            <w:vAlign w:val="bottom"/>
          </w:tcPr>
          <w:p>
            <w:pPr>
              <w:spacing w:after="0"/>
              <w:rPr>
                <w:sz w:val="14"/>
                <w:szCs w:val="14"/>
                <w:color w:val="auto"/>
              </w:rPr>
            </w:pPr>
          </w:p>
        </w:tc>
        <w:tc>
          <w:tcPr>
            <w:tcW w:w="1060" w:type="dxa"/>
            <w:vAlign w:val="bottom"/>
            <w:gridSpan w:val="2"/>
          </w:tcPr>
          <w:p>
            <w:pPr>
              <w:jc w:val="right"/>
              <w:ind w:right="520"/>
              <w:spacing w:after="0" w:line="152" w:lineRule="exact"/>
              <w:rPr>
                <w:sz w:val="20"/>
                <w:szCs w:val="20"/>
                <w:color w:val="auto"/>
              </w:rPr>
            </w:pPr>
            <w:r>
              <w:rPr>
                <w:rFonts w:ascii="Arial" w:cs="Arial" w:eastAsia="Arial" w:hAnsi="Arial"/>
                <w:sz w:val="14"/>
                <w:szCs w:val="14"/>
                <w:b w:val="1"/>
                <w:bCs w:val="1"/>
                <w:color w:val="auto"/>
              </w:rPr>
              <w:t>Europe</w:t>
            </w:r>
          </w:p>
        </w:tc>
        <w:tc>
          <w:tcPr>
            <w:tcW w:w="180" w:type="dxa"/>
            <w:vAlign w:val="bottom"/>
          </w:tcPr>
          <w:p>
            <w:pPr>
              <w:spacing w:after="0"/>
              <w:rPr>
                <w:sz w:val="14"/>
                <w:szCs w:val="14"/>
                <w:color w:val="auto"/>
              </w:rPr>
            </w:pPr>
          </w:p>
        </w:tc>
        <w:tc>
          <w:tcPr>
            <w:tcW w:w="920" w:type="dxa"/>
            <w:vAlign w:val="bottom"/>
            <w:gridSpan w:val="2"/>
          </w:tcPr>
          <w:p>
            <w:pPr>
              <w:jc w:val="center"/>
              <w:ind w:right="320"/>
              <w:spacing w:after="0" w:line="152" w:lineRule="exact"/>
              <w:rPr>
                <w:sz w:val="20"/>
                <w:szCs w:val="20"/>
                <w:color w:val="auto"/>
              </w:rPr>
            </w:pPr>
            <w:r>
              <w:rPr>
                <w:rFonts w:ascii="Arial" w:cs="Arial" w:eastAsia="Arial" w:hAnsi="Arial"/>
                <w:sz w:val="14"/>
                <w:szCs w:val="14"/>
                <w:b w:val="1"/>
                <w:bCs w:val="1"/>
                <w:color w:val="auto"/>
                <w:w w:val="97"/>
              </w:rPr>
              <w:t>Pacific</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80"/>
              <w:spacing w:after="0" w:line="152" w:lineRule="exact"/>
              <w:rPr>
                <w:sz w:val="20"/>
                <w:szCs w:val="20"/>
                <w:color w:val="auto"/>
              </w:rPr>
            </w:pPr>
            <w:r>
              <w:rPr>
                <w:rFonts w:ascii="Arial" w:cs="Arial" w:eastAsia="Arial" w:hAnsi="Arial"/>
                <w:sz w:val="14"/>
                <w:szCs w:val="14"/>
                <w:b w:val="1"/>
                <w:bCs w:val="1"/>
                <w:color w:val="auto"/>
              </w:rPr>
              <w:t>Region</w:t>
            </w:r>
          </w:p>
        </w:tc>
        <w:tc>
          <w:tcPr>
            <w:tcW w:w="1140" w:type="dxa"/>
            <w:vAlign w:val="bottom"/>
            <w:gridSpan w:val="2"/>
          </w:tcPr>
          <w:p>
            <w:pPr>
              <w:jc w:val="center"/>
              <w:ind w:right="180"/>
              <w:spacing w:after="0" w:line="152" w:lineRule="exact"/>
              <w:rPr>
                <w:sz w:val="20"/>
                <w:szCs w:val="20"/>
                <w:color w:val="auto"/>
              </w:rPr>
            </w:pPr>
            <w:r>
              <w:rPr>
                <w:rFonts w:ascii="Arial" w:cs="Arial" w:eastAsia="Arial" w:hAnsi="Arial"/>
                <w:sz w:val="14"/>
                <w:szCs w:val="14"/>
                <w:b w:val="1"/>
                <w:bCs w:val="1"/>
                <w:color w:val="auto"/>
                <w:w w:val="96"/>
              </w:rPr>
              <w:t>Eliminations</w:t>
            </w:r>
          </w:p>
        </w:tc>
        <w:tc>
          <w:tcPr>
            <w:tcW w:w="200" w:type="dxa"/>
            <w:vAlign w:val="bottom"/>
          </w:tcPr>
          <w:p>
            <w:pPr>
              <w:spacing w:after="0"/>
              <w:rPr>
                <w:sz w:val="14"/>
                <w:szCs w:val="14"/>
                <w:color w:val="auto"/>
              </w:rPr>
            </w:pPr>
          </w:p>
        </w:tc>
        <w:tc>
          <w:tcPr>
            <w:tcW w:w="960" w:type="dxa"/>
            <w:vAlign w:val="bottom"/>
            <w:gridSpan w:val="2"/>
          </w:tcPr>
          <w:p>
            <w:pPr>
              <w:ind w:left="120"/>
              <w:spacing w:after="0" w:line="15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2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SALES TO EXTERNAL CUSTOMERS</w:t>
            </w: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0" w:type="dxa"/>
            <w:vAlign w:val="bottom"/>
            <w:gridSpan w:val="2"/>
          </w:tcPr>
          <w:p>
            <w:pPr>
              <w:spacing w:after="0" w:line="202" w:lineRule="exact"/>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January 31, 2012</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138,406</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95,593</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86,586</w:t>
            </w:r>
          </w:p>
        </w:tc>
        <w:tc>
          <w:tcPr>
            <w:tcW w:w="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5"/>
              </w:rPr>
              <w:t>320,585</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5"/>
              </w:rPr>
              <w:t>320,585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200" w:type="dxa"/>
            <w:vAlign w:val="bottom"/>
            <w:gridSpan w:val="2"/>
          </w:tcPr>
          <w:p>
            <w:pPr>
              <w:ind w:left="440"/>
              <w:spacing w:after="0"/>
              <w:rPr>
                <w:sz w:val="20"/>
                <w:szCs w:val="20"/>
                <w:color w:val="auto"/>
              </w:rPr>
            </w:pPr>
            <w:r>
              <w:rPr>
                <w:rFonts w:ascii="Arial" w:cs="Arial" w:eastAsia="Arial" w:hAnsi="Arial"/>
                <w:sz w:val="18"/>
                <w:szCs w:val="18"/>
                <w:color w:val="auto"/>
              </w:rPr>
              <w:t>January 31, 2011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136,011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104,041</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88,957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ind w:left="140"/>
              <w:spacing w:after="0"/>
              <w:rPr>
                <w:sz w:val="20"/>
                <w:szCs w:val="20"/>
                <w:color w:val="auto"/>
              </w:rPr>
            </w:pPr>
            <w:r>
              <w:rPr>
                <w:rFonts w:ascii="Arial" w:cs="Arial" w:eastAsia="Arial" w:hAnsi="Arial"/>
                <w:sz w:val="18"/>
                <w:szCs w:val="18"/>
                <w:color w:val="auto"/>
                <w:w w:val="95"/>
              </w:rPr>
              <w:t>329,009</w:t>
            </w:r>
          </w:p>
        </w:tc>
        <w:tc>
          <w:tcPr>
            <w:tcW w:w="280" w:type="dxa"/>
            <w:vAlign w:val="bottom"/>
          </w:tcPr>
          <w:p>
            <w:pPr>
              <w:spacing w:after="0"/>
              <w:rPr>
                <w:sz w:val="18"/>
                <w:szCs w:val="18"/>
                <w:color w:val="auto"/>
              </w:rPr>
            </w:pP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100"/>
              <w:spacing w:after="0"/>
              <w:rPr>
                <w:sz w:val="20"/>
                <w:szCs w:val="20"/>
                <w:color w:val="auto"/>
              </w:rPr>
            </w:pPr>
            <w:r>
              <w:rPr>
                <w:rFonts w:ascii="Arial" w:cs="Arial" w:eastAsia="Arial" w:hAnsi="Arial"/>
                <w:sz w:val="18"/>
                <w:szCs w:val="18"/>
                <w:color w:val="auto"/>
                <w:w w:val="95"/>
              </w:rPr>
              <w:t>329,009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Six months ended:</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January 31, 2012</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292,267</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192,949</w:t>
            </w:r>
          </w:p>
        </w:tc>
        <w:tc>
          <w:tcPr>
            <w:tcW w:w="28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184,876</w:t>
            </w:r>
          </w:p>
        </w:tc>
        <w:tc>
          <w:tcPr>
            <w:tcW w:w="140" w:type="dxa"/>
            <w:vAlign w:val="bottom"/>
          </w:tcPr>
          <w:p>
            <w:pPr>
              <w:spacing w:after="0"/>
              <w:rPr>
                <w:sz w:val="17"/>
                <w:szCs w:val="17"/>
                <w:color w:val="auto"/>
              </w:rPr>
            </w:pPr>
          </w:p>
        </w:tc>
        <w:tc>
          <w:tcPr>
            <w:tcW w:w="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ind w:left="140"/>
              <w:spacing w:after="0" w:line="202" w:lineRule="exact"/>
              <w:rPr>
                <w:sz w:val="20"/>
                <w:szCs w:val="20"/>
                <w:color w:val="auto"/>
              </w:rPr>
            </w:pPr>
            <w:r>
              <w:rPr>
                <w:rFonts w:ascii="Arial" w:cs="Arial" w:eastAsia="Arial" w:hAnsi="Arial"/>
                <w:sz w:val="18"/>
                <w:szCs w:val="18"/>
                <w:color w:val="auto"/>
                <w:w w:val="95"/>
              </w:rPr>
              <w:t>670,092</w:t>
            </w:r>
          </w:p>
        </w:tc>
        <w:tc>
          <w:tcPr>
            <w:tcW w:w="280" w:type="dxa"/>
            <w:vAlign w:val="bottom"/>
          </w:tcPr>
          <w:p>
            <w:pPr>
              <w:spacing w:after="0"/>
              <w:rPr>
                <w:sz w:val="17"/>
                <w:szCs w:val="17"/>
                <w:color w:val="auto"/>
              </w:rPr>
            </w:pPr>
          </w:p>
        </w:tc>
        <w:tc>
          <w:tcPr>
            <w:tcW w:w="114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ind w:left="100"/>
              <w:spacing w:after="0" w:line="202" w:lineRule="exact"/>
              <w:rPr>
                <w:sz w:val="20"/>
                <w:szCs w:val="20"/>
                <w:color w:val="auto"/>
              </w:rPr>
            </w:pPr>
            <w:r>
              <w:rPr>
                <w:rFonts w:ascii="Arial" w:cs="Arial" w:eastAsia="Arial" w:hAnsi="Arial"/>
                <w:sz w:val="18"/>
                <w:szCs w:val="18"/>
                <w:color w:val="auto"/>
                <w:w w:val="95"/>
              </w:rPr>
              <w:t>670,092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January 31, 2011</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281,999</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196,091</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180,507</w:t>
            </w:r>
          </w:p>
        </w:tc>
        <w:tc>
          <w:tcPr>
            <w:tcW w:w="1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5"/>
              </w:rPr>
              <w:t>658,597</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5"/>
              </w:rPr>
              <w:t>658,597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SALES INFORMATION</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Three months ended January 31, 2012:</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ind w:left="420"/>
              <w:spacing w:after="0" w:line="202" w:lineRule="exact"/>
              <w:rPr>
                <w:sz w:val="20"/>
                <w:szCs w:val="20"/>
                <w:color w:val="auto"/>
              </w:rPr>
            </w:pPr>
            <w:r>
              <w:rPr>
                <w:rFonts w:ascii="Arial" w:cs="Arial" w:eastAsia="Arial" w:hAnsi="Arial"/>
                <w:sz w:val="18"/>
                <w:szCs w:val="18"/>
                <w:color w:val="auto"/>
              </w:rPr>
              <w:t>Organic</w:t>
            </w: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Currency</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ind w:left="420"/>
              <w:spacing w:after="0" w:line="202" w:lineRule="exact"/>
              <w:rPr>
                <w:sz w:val="20"/>
                <w:szCs w:val="20"/>
                <w:color w:val="auto"/>
              </w:rPr>
            </w:pPr>
            <w:r>
              <w:rPr>
                <w:rFonts w:ascii="Arial" w:cs="Arial" w:eastAsia="Arial" w:hAnsi="Arial"/>
                <w:sz w:val="18"/>
                <w:szCs w:val="18"/>
                <w:color w:val="auto"/>
              </w:rPr>
              <w:t>Acquisitions/Divestitures</w:t>
            </w: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78"/>
        </w:trPr>
        <w:tc>
          <w:tcPr>
            <w:tcW w:w="4020" w:type="dxa"/>
            <w:vAlign w:val="bottom"/>
            <w:gridSpan w:val="2"/>
          </w:tcPr>
          <w:p>
            <w:pPr>
              <w:spacing w:after="0"/>
              <w:rPr>
                <w:sz w:val="20"/>
                <w:szCs w:val="20"/>
                <w:color w:val="auto"/>
              </w:rPr>
            </w:pPr>
            <w:r>
              <w:rPr>
                <w:rFonts w:ascii="Arial" w:cs="Arial" w:eastAsia="Arial" w:hAnsi="Arial"/>
                <w:sz w:val="18"/>
                <w:szCs w:val="18"/>
                <w:color w:val="auto"/>
              </w:rPr>
              <w:t>Six months ended January 31, 2012:</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Organic</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ind w:left="420"/>
              <w:spacing w:after="0" w:line="202" w:lineRule="exact"/>
              <w:rPr>
                <w:sz w:val="20"/>
                <w:szCs w:val="20"/>
                <w:color w:val="auto"/>
              </w:rPr>
            </w:pPr>
            <w:r>
              <w:rPr>
                <w:rFonts w:ascii="Arial" w:cs="Arial" w:eastAsia="Arial" w:hAnsi="Arial"/>
                <w:sz w:val="18"/>
                <w:szCs w:val="18"/>
                <w:color w:val="auto"/>
              </w:rPr>
              <w:t>Currency</w:t>
            </w: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Acquisitions/Divestitures</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0" w:type="dxa"/>
            <w:vAlign w:val="bottom"/>
          </w:tcPr>
          <w:p>
            <w:pPr>
              <w:ind w:left="86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SEGMENT PROFIT</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gridSpan w:val="2"/>
          </w:tcPr>
          <w:p>
            <w:pPr>
              <w:spacing w:after="0" w:line="202" w:lineRule="exact"/>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January 31, 2012</w:t>
            </w:r>
          </w:p>
        </w:tc>
        <w:tc>
          <w:tcPr>
            <w:tcW w:w="4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35,798</w:t>
            </w:r>
          </w:p>
        </w:tc>
        <w:tc>
          <w:tcPr>
            <w:tcW w:w="3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26,562</w:t>
            </w:r>
          </w:p>
        </w:tc>
        <w:tc>
          <w:tcPr>
            <w:tcW w:w="3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7,733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70,093</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67,734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ind w:left="420"/>
              <w:spacing w:after="0" w:line="202" w:lineRule="exact"/>
              <w:rPr>
                <w:sz w:val="20"/>
                <w:szCs w:val="20"/>
                <w:color w:val="auto"/>
              </w:rPr>
            </w:pPr>
            <w:r>
              <w:rPr>
                <w:rFonts w:ascii="Arial" w:cs="Arial" w:eastAsia="Arial" w:hAnsi="Arial"/>
                <w:sz w:val="18"/>
                <w:szCs w:val="18"/>
                <w:color w:val="auto"/>
              </w:rPr>
              <w:t>January 31, 2011</w:t>
            </w:r>
          </w:p>
        </w:tc>
        <w:tc>
          <w:tcPr>
            <w:tcW w:w="4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31,015</w:t>
            </w:r>
          </w:p>
        </w:tc>
        <w:tc>
          <w:tcPr>
            <w:tcW w:w="3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29,165</w:t>
            </w:r>
          </w:p>
        </w:tc>
        <w:tc>
          <w:tcPr>
            <w:tcW w:w="3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11,524</w:t>
            </w:r>
          </w:p>
        </w:tc>
        <w:tc>
          <w:tcPr>
            <w:tcW w:w="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71,704</w:t>
            </w:r>
          </w:p>
        </w:tc>
        <w:tc>
          <w:tcPr>
            <w:tcW w:w="80" w:type="dxa"/>
            <w:vAlign w:val="bottom"/>
          </w:tcPr>
          <w:p>
            <w:pPr>
              <w:spacing w:after="0"/>
              <w:rPr>
                <w:sz w:val="17"/>
                <w:szCs w:val="17"/>
                <w:color w:val="auto"/>
              </w:rPr>
            </w:pPr>
          </w:p>
        </w:tc>
        <w:tc>
          <w:tcPr>
            <w:tcW w:w="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(5,088)</w:t>
            </w:r>
          </w:p>
        </w:tc>
        <w:tc>
          <w:tcPr>
            <w:tcW w:w="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66,616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i w:val="1"/>
                <w:iCs w:val="1"/>
                <w:color w:val="auto"/>
              </w:rPr>
              <w:t>Percentage change</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-32.9%</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78"/>
        </w:trPr>
        <w:tc>
          <w:tcPr>
            <w:tcW w:w="4020" w:type="dxa"/>
            <w:vAlign w:val="bottom"/>
            <w:gridSpan w:val="2"/>
          </w:tcPr>
          <w:p>
            <w:pPr>
              <w:spacing w:after="0"/>
              <w:rPr>
                <w:sz w:val="20"/>
                <w:szCs w:val="20"/>
                <w:color w:val="auto"/>
              </w:rPr>
            </w:pPr>
            <w:r>
              <w:rPr>
                <w:rFonts w:ascii="Arial" w:cs="Arial" w:eastAsia="Arial" w:hAnsi="Arial"/>
                <w:sz w:val="18"/>
                <w:szCs w:val="18"/>
                <w:color w:val="auto"/>
              </w:rPr>
              <w:t>Six months ended:</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January 31, 2012</w:t>
            </w:r>
          </w:p>
        </w:tc>
        <w:tc>
          <w:tcPr>
            <w:tcW w:w="4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79,028</w:t>
            </w:r>
          </w:p>
        </w:tc>
        <w:tc>
          <w:tcPr>
            <w:tcW w:w="3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52,861</w:t>
            </w:r>
          </w:p>
        </w:tc>
        <w:tc>
          <w:tcPr>
            <w:tcW w:w="3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21,037</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w w:val="98"/>
              </w:rPr>
              <w:t>152,926</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147,304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ind w:left="420"/>
              <w:spacing w:after="0" w:line="202" w:lineRule="exact"/>
              <w:rPr>
                <w:sz w:val="20"/>
                <w:szCs w:val="20"/>
                <w:color w:val="auto"/>
              </w:rPr>
            </w:pPr>
            <w:r>
              <w:rPr>
                <w:rFonts w:ascii="Arial" w:cs="Arial" w:eastAsia="Arial" w:hAnsi="Arial"/>
                <w:sz w:val="18"/>
                <w:szCs w:val="18"/>
                <w:color w:val="auto"/>
              </w:rPr>
              <w:t>January 31, 2011</w:t>
            </w:r>
          </w:p>
        </w:tc>
        <w:tc>
          <w:tcPr>
            <w:tcW w:w="4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70,374</w:t>
            </w:r>
          </w:p>
        </w:tc>
        <w:tc>
          <w:tcPr>
            <w:tcW w:w="3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53,226</w:t>
            </w:r>
          </w:p>
        </w:tc>
        <w:tc>
          <w:tcPr>
            <w:tcW w:w="3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28,353</w:t>
            </w:r>
          </w:p>
        </w:tc>
        <w:tc>
          <w:tcPr>
            <w:tcW w:w="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94"/>
              <w:spacing w:after="0" w:line="202" w:lineRule="exact"/>
              <w:rPr>
                <w:sz w:val="20"/>
                <w:szCs w:val="20"/>
                <w:color w:val="auto"/>
              </w:rPr>
            </w:pPr>
            <w:r>
              <w:rPr>
                <w:rFonts w:ascii="Arial" w:cs="Arial" w:eastAsia="Arial" w:hAnsi="Arial"/>
                <w:sz w:val="18"/>
                <w:szCs w:val="18"/>
                <w:color w:val="auto"/>
                <w:w w:val="98"/>
              </w:rPr>
              <w:t>151,953</w:t>
            </w:r>
          </w:p>
        </w:tc>
        <w:tc>
          <w:tcPr>
            <w:tcW w:w="80" w:type="dxa"/>
            <w:vAlign w:val="bottom"/>
          </w:tcPr>
          <w:p>
            <w:pPr>
              <w:spacing w:after="0"/>
              <w:rPr>
                <w:sz w:val="17"/>
                <w:szCs w:val="17"/>
                <w:color w:val="auto"/>
              </w:rPr>
            </w:pPr>
          </w:p>
        </w:tc>
        <w:tc>
          <w:tcPr>
            <w:tcW w:w="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(8,525)</w:t>
            </w:r>
          </w:p>
        </w:tc>
        <w:tc>
          <w:tcPr>
            <w:tcW w:w="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143,428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i w:val="1"/>
                <w:iCs w:val="1"/>
                <w:color w:val="auto"/>
              </w:rPr>
              <w:t>Percentage change</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-25.8%</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49"/>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NET INCOME RECONCILIATION </w:t>
            </w:r>
            <w:r>
              <w:rPr>
                <w:rFonts w:ascii="Arial" w:cs="Arial" w:eastAsia="Arial" w:hAnsi="Arial"/>
                <w:sz w:val="18"/>
                <w:szCs w:val="18"/>
                <w:color w:val="auto"/>
              </w:rPr>
              <w:t>(in thousands)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120"/>
              <w:spacing w:after="0" w:line="125" w:lineRule="exact"/>
              <w:rPr>
                <w:sz w:val="20"/>
                <w:szCs w:val="20"/>
                <w:color w:val="auto"/>
              </w:rPr>
            </w:pPr>
            <w:r>
              <w:rPr>
                <w:rFonts w:ascii="Arial" w:cs="Arial" w:eastAsia="Arial" w:hAnsi="Arial"/>
                <w:sz w:val="14"/>
                <w:szCs w:val="14"/>
                <w:b w:val="1"/>
                <w:bCs w:val="1"/>
                <w:color w:val="auto"/>
                <w:w w:val="93"/>
              </w:rPr>
              <w:t>January 31,</w:t>
            </w:r>
          </w:p>
        </w:tc>
        <w:tc>
          <w:tcPr>
            <w:tcW w:w="1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4"/>
              <w:spacing w:after="0" w:line="125" w:lineRule="exact"/>
              <w:rPr>
                <w:sz w:val="20"/>
                <w:szCs w:val="20"/>
                <w:color w:val="auto"/>
              </w:rPr>
            </w:pPr>
            <w:r>
              <w:rPr>
                <w:rFonts w:ascii="Arial" w:cs="Arial" w:eastAsia="Arial" w:hAnsi="Arial"/>
                <w:sz w:val="14"/>
                <w:szCs w:val="14"/>
                <w:b w:val="1"/>
                <w:bCs w:val="1"/>
                <w:color w:val="auto"/>
                <w:w w:val="93"/>
              </w:rPr>
              <w:t>January 31,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180"/>
              <w:spacing w:after="0" w:line="125" w:lineRule="exact"/>
              <w:rPr>
                <w:sz w:val="20"/>
                <w:szCs w:val="20"/>
                <w:color w:val="auto"/>
              </w:rPr>
            </w:pPr>
            <w:r>
              <w:rPr>
                <w:rFonts w:ascii="Arial" w:cs="Arial" w:eastAsia="Arial" w:hAnsi="Arial"/>
                <w:sz w:val="14"/>
                <w:szCs w:val="14"/>
                <w:b w:val="1"/>
                <w:bCs w:val="1"/>
                <w:color w:val="auto"/>
                <w:w w:val="93"/>
              </w:rPr>
              <w:t>January 31,</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4"/>
              <w:spacing w:after="0" w:line="125" w:lineRule="exact"/>
              <w:rPr>
                <w:sz w:val="20"/>
                <w:szCs w:val="20"/>
                <w:color w:val="auto"/>
              </w:rPr>
            </w:pPr>
            <w:r>
              <w:rPr>
                <w:rFonts w:ascii="Arial" w:cs="Arial" w:eastAsia="Arial" w:hAnsi="Arial"/>
                <w:sz w:val="14"/>
                <w:szCs w:val="14"/>
                <w:b w:val="1"/>
                <w:bCs w:val="1"/>
                <w:color w:val="auto"/>
                <w:w w:val="95"/>
              </w:rPr>
              <w:t>January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Total profit for reportable segments</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70,093</w:t>
            </w:r>
          </w:p>
        </w:tc>
        <w:tc>
          <w:tcPr>
            <w:tcW w:w="1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71,704</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152,926</w:t>
            </w:r>
          </w:p>
        </w:tc>
        <w:tc>
          <w:tcPr>
            <w:tcW w:w="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151,953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gridSpan w:val="2"/>
          </w:tcPr>
          <w:p>
            <w:pPr>
              <w:spacing w:after="0" w:line="202" w:lineRule="exact"/>
              <w:rPr>
                <w:sz w:val="20"/>
                <w:szCs w:val="20"/>
                <w:color w:val="auto"/>
              </w:rPr>
            </w:pPr>
            <w:r>
              <w:rPr>
                <w:rFonts w:ascii="Arial" w:cs="Arial" w:eastAsia="Arial" w:hAnsi="Arial"/>
                <w:sz w:val="18"/>
                <w:szCs w:val="18"/>
                <w:color w:val="auto"/>
              </w:rPr>
              <w:t>Corporate and eliminations</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32"/>
              <w:spacing w:after="0" w:line="202" w:lineRule="exact"/>
              <w:rPr>
                <w:sz w:val="20"/>
                <w:szCs w:val="20"/>
                <w:color w:val="auto"/>
              </w:rPr>
            </w:pPr>
            <w:r>
              <w:rPr>
                <w:rFonts w:ascii="Arial" w:cs="Arial" w:eastAsia="Arial" w:hAnsi="Arial"/>
                <w:sz w:val="18"/>
                <w:szCs w:val="18"/>
                <w:color w:val="auto"/>
              </w:rPr>
              <w:t>(2,359)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(5,088)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(8,525)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Unallocated amounts:</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ind w:left="420"/>
              <w:spacing w:after="0" w:line="202" w:lineRule="exact"/>
              <w:rPr>
                <w:sz w:val="20"/>
                <w:szCs w:val="20"/>
                <w:color w:val="auto"/>
              </w:rPr>
            </w:pPr>
            <w:r>
              <w:rPr>
                <w:rFonts w:ascii="Arial" w:cs="Arial" w:eastAsia="Arial" w:hAnsi="Arial"/>
                <w:sz w:val="18"/>
                <w:szCs w:val="18"/>
                <w:color w:val="auto"/>
              </w:rPr>
              <w:t>Administrative costs</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32"/>
              <w:spacing w:after="0" w:line="202" w:lineRule="exact"/>
              <w:rPr>
                <w:sz w:val="20"/>
                <w:szCs w:val="20"/>
                <w:color w:val="auto"/>
              </w:rPr>
            </w:pPr>
            <w:r>
              <w:rPr>
                <w:rFonts w:ascii="Arial" w:cs="Arial" w:eastAsia="Arial" w:hAnsi="Arial"/>
                <w:sz w:val="18"/>
                <w:szCs w:val="18"/>
                <w:color w:val="auto"/>
              </w:rPr>
              <w:t>(29,244)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(27,402)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(59,724)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(58,970)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Restructuring charges</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(2,134)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(5,775)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ind w:left="420"/>
              <w:spacing w:after="0" w:line="202" w:lineRule="exact"/>
              <w:rPr>
                <w:sz w:val="20"/>
                <w:szCs w:val="20"/>
                <w:color w:val="auto"/>
              </w:rPr>
            </w:pPr>
            <w:r>
              <w:rPr>
                <w:rFonts w:ascii="Arial" w:cs="Arial" w:eastAsia="Arial" w:hAnsi="Arial"/>
                <w:sz w:val="18"/>
                <w:szCs w:val="18"/>
                <w:color w:val="auto"/>
              </w:rPr>
              <w:t>Impairment charge</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32"/>
              <w:spacing w:after="0" w:line="202" w:lineRule="exact"/>
              <w:rPr>
                <w:sz w:val="20"/>
                <w:szCs w:val="20"/>
                <w:color w:val="auto"/>
              </w:rPr>
            </w:pPr>
            <w:r>
              <w:rPr>
                <w:rFonts w:ascii="Arial" w:cs="Arial" w:eastAsia="Arial" w:hAnsi="Arial"/>
                <w:sz w:val="18"/>
                <w:szCs w:val="18"/>
                <w:color w:val="auto"/>
              </w:rPr>
              <w:t>(115,688)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(115,688)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Investment and other income</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ind w:left="420"/>
              <w:spacing w:after="0" w:line="202" w:lineRule="exact"/>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32"/>
              <w:spacing w:after="0" w:line="202" w:lineRule="exact"/>
              <w:rPr>
                <w:sz w:val="20"/>
                <w:szCs w:val="20"/>
                <w:color w:val="auto"/>
              </w:rPr>
            </w:pPr>
            <w:r>
              <w:rPr>
                <w:rFonts w:ascii="Arial" w:cs="Arial" w:eastAsia="Arial" w:hAnsi="Arial"/>
                <w:sz w:val="18"/>
                <w:szCs w:val="18"/>
                <w:color w:val="auto"/>
              </w:rPr>
              <w:t>(4,933)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(5,850)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(9,980)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(11,537)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income before income taxes</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(81,319)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32,404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(37,478)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68,610</w:t>
            </w:r>
          </w:p>
        </w:tc>
        <w:tc>
          <w:tcPr>
            <w:tcW w:w="0" w:type="dxa"/>
            <w:vAlign w:val="bottom"/>
          </w:tcPr>
          <w:p>
            <w:pPr>
              <w:spacing w:after="0"/>
              <w:rPr>
                <w:sz w:val="1"/>
                <w:szCs w:val="1"/>
                <w:color w:val="auto"/>
              </w:rPr>
            </w:pPr>
          </w:p>
        </w:tc>
      </w:tr>
      <w:tr>
        <w:trPr>
          <w:trHeight w:val="203"/>
        </w:trPr>
        <w:tc>
          <w:tcPr>
            <w:tcW w:w="4020" w:type="dxa"/>
            <w:vAlign w:val="bottom"/>
            <w:gridSpan w:val="2"/>
          </w:tcPr>
          <w:p>
            <w:pPr>
              <w:spacing w:after="0" w:line="202" w:lineRule="exact"/>
              <w:rPr>
                <w:sz w:val="20"/>
                <w:szCs w:val="20"/>
                <w:color w:val="auto"/>
              </w:rPr>
            </w:pPr>
            <w:r>
              <w:rPr>
                <w:rFonts w:ascii="Arial" w:cs="Arial" w:eastAsia="Arial" w:hAnsi="Arial"/>
                <w:sz w:val="18"/>
                <w:szCs w:val="18"/>
                <w:color w:val="auto"/>
              </w:rPr>
              <w:t>Income taxes</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32"/>
              <w:spacing w:after="0" w:line="202" w:lineRule="exact"/>
              <w:rPr>
                <w:sz w:val="20"/>
                <w:szCs w:val="20"/>
                <w:color w:val="auto"/>
              </w:rPr>
            </w:pPr>
            <w:r>
              <w:rPr>
                <w:rFonts w:ascii="Arial" w:cs="Arial" w:eastAsia="Arial" w:hAnsi="Arial"/>
                <w:sz w:val="18"/>
                <w:szCs w:val="18"/>
                <w:color w:val="auto"/>
              </w:rPr>
              <w:t>(8,635)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(8,205)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(19,744)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(18,130)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Net (loss) income</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(89,954)</w:t>
            </w:r>
          </w:p>
        </w:tc>
        <w:tc>
          <w:tcPr>
            <w:tcW w:w="1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24,199</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(57,222)</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9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MEASURES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31"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w:t>
      </w:r>
    </w:p>
    <w:p>
      <w:pPr>
        <w:spacing w:after="0" w:line="15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Brady is presenting EBITDA because it is used by many of our investors and lenders, and is presented as a convenience to them. EBITDA represents net income before interest expense, income taxes, depreciation and amortization and non-cash impairment charges. EBITDA is not a calculation based on generally accepted accounting principles (“GAAP”). The amounts included in the EBITDA calculation, however, are derived from amounts included in the Condensed Consolidated Statements of Income data. EBITDA should not be considered as an alternative to net income or operating income as an indicator of the Company’s operating performance, or as an alternative to operating cash flows as a measure of liquidity. The EBITDA measure presented may not always be comparable to similarly titled measures reported by other companies due to differences in the components of the calculation.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Fiscal 2012</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Q1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6"/>
              </w:rPr>
              <w:t>Q3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Q4</w:t>
            </w:r>
          </w:p>
        </w:tc>
        <w:tc>
          <w:tcPr>
            <w:tcW w:w="220" w:type="dxa"/>
            <w:vAlign w:val="bottom"/>
          </w:tcPr>
          <w:p>
            <w:pPr>
              <w:spacing w:after="0"/>
              <w:rPr>
                <w:sz w:val="12"/>
                <w:szCs w:val="12"/>
                <w:color w:val="auto"/>
              </w:rPr>
            </w:pPr>
          </w:p>
        </w:tc>
        <w:tc>
          <w:tcPr>
            <w:tcW w:w="74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83"/>
        </w:trPr>
        <w:tc>
          <w:tcPr>
            <w:tcW w:w="5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EBITDA:</w:t>
            </w:r>
          </w:p>
        </w:tc>
        <w:tc>
          <w:tcPr>
            <w:tcW w:w="2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3"/>
        </w:trPr>
        <w:tc>
          <w:tcPr>
            <w:tcW w:w="5660" w:type="dxa"/>
            <w:vAlign w:val="bottom"/>
          </w:tcPr>
          <w:p>
            <w:pPr>
              <w:ind w:left="440"/>
              <w:spacing w:after="0" w:line="202" w:lineRule="exact"/>
              <w:rPr>
                <w:sz w:val="20"/>
                <w:szCs w:val="20"/>
                <w:color w:val="auto"/>
              </w:rPr>
            </w:pPr>
            <w:r>
              <w:rPr>
                <w:rFonts w:ascii="Arial" w:cs="Arial" w:eastAsia="Arial" w:hAnsi="Arial"/>
                <w:sz w:val="18"/>
                <w:szCs w:val="18"/>
                <w:color w:val="auto"/>
              </w:rPr>
              <w:t>Net (loss) income</w:t>
            </w:r>
          </w:p>
        </w:tc>
        <w:tc>
          <w:tcPr>
            <w:tcW w:w="240" w:type="dxa"/>
            <w:vAlign w:val="bottom"/>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32,732</w:t>
            </w:r>
          </w:p>
        </w:tc>
        <w:tc>
          <w:tcPr>
            <w:tcW w:w="44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(89,954)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(57,222)</w:t>
            </w:r>
          </w:p>
        </w:tc>
      </w:tr>
      <w:tr>
        <w:trPr>
          <w:trHeight w:val="203"/>
        </w:trPr>
        <w:tc>
          <w:tcPr>
            <w:tcW w:w="56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5,047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4,933</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9,980</w:t>
            </w:r>
          </w:p>
        </w:tc>
        <w:tc>
          <w:tcPr>
            <w:tcW w:w="100" w:type="dxa"/>
            <w:vAlign w:val="bottom"/>
            <w:shd w:val="clear" w:color="auto" w:fill="CCEEFF"/>
          </w:tcPr>
          <w:p>
            <w:pPr>
              <w:spacing w:after="0"/>
              <w:rPr>
                <w:sz w:val="17"/>
                <w:szCs w:val="17"/>
                <w:color w:val="auto"/>
              </w:rPr>
            </w:pPr>
          </w:p>
        </w:tc>
      </w:tr>
      <w:tr>
        <w:trPr>
          <w:trHeight w:val="203"/>
        </w:trPr>
        <w:tc>
          <w:tcPr>
            <w:tcW w:w="5660" w:type="dxa"/>
            <w:vAlign w:val="bottom"/>
          </w:tcPr>
          <w:p>
            <w:pPr>
              <w:ind w:left="880"/>
              <w:spacing w:after="0" w:line="202" w:lineRule="exact"/>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11,109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8,635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19,744</w:t>
            </w:r>
          </w:p>
        </w:tc>
      </w:tr>
      <w:tr>
        <w:trPr>
          <w:trHeight w:val="203"/>
        </w:trPr>
        <w:tc>
          <w:tcPr>
            <w:tcW w:w="56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11,241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10,935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22,176</w:t>
            </w:r>
          </w:p>
        </w:tc>
      </w:tr>
      <w:tr>
        <w:trPr>
          <w:trHeight w:val="203"/>
        </w:trPr>
        <w:tc>
          <w:tcPr>
            <w:tcW w:w="5660" w:type="dxa"/>
            <w:vAlign w:val="bottom"/>
          </w:tcPr>
          <w:p>
            <w:pPr>
              <w:ind w:left="880"/>
              <w:spacing w:after="0" w:line="202" w:lineRule="exact"/>
              <w:rPr>
                <w:sz w:val="20"/>
                <w:szCs w:val="20"/>
                <w:color w:val="auto"/>
              </w:rPr>
            </w:pPr>
            <w:r>
              <w:rPr>
                <w:rFonts w:ascii="Arial" w:cs="Arial" w:eastAsia="Arial" w:hAnsi="Arial"/>
                <w:sz w:val="18"/>
                <w:szCs w:val="18"/>
                <w:color w:val="auto"/>
              </w:rPr>
              <w:t>Impairment charge</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115,688</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115,688</w:t>
            </w:r>
          </w:p>
        </w:tc>
        <w:tc>
          <w:tcPr>
            <w:tcW w:w="100" w:type="dxa"/>
            <w:vAlign w:val="bottom"/>
          </w:tcPr>
          <w:p>
            <w:pPr>
              <w:spacing w:after="0"/>
              <w:rPr>
                <w:sz w:val="17"/>
                <w:szCs w:val="17"/>
                <w:color w:val="auto"/>
              </w:rPr>
            </w:pPr>
          </w:p>
        </w:tc>
      </w:tr>
      <w:tr>
        <w:trPr>
          <w:trHeight w:val="183"/>
        </w:trPr>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6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EBITDA (non-GAAP measure)</w:t>
            </w:r>
          </w:p>
        </w:tc>
        <w:tc>
          <w:tcPr>
            <w:tcW w:w="2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60,129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50,237</w:t>
            </w:r>
          </w:p>
        </w:tc>
        <w:tc>
          <w:tcPr>
            <w:tcW w:w="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110,366</w:t>
            </w:r>
          </w:p>
        </w:tc>
        <w:tc>
          <w:tcPr>
            <w:tcW w:w="100" w:type="dxa"/>
            <w:vAlign w:val="bottom"/>
            <w:shd w:val="clear" w:color="auto" w:fill="CCEEFF"/>
          </w:tcPr>
          <w:p>
            <w:pPr>
              <w:spacing w:after="0"/>
              <w:rPr>
                <w:sz w:val="17"/>
                <w:szCs w:val="17"/>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5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Fiscal 2011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Q1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6"/>
              </w:rPr>
              <w:t>Q3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Q4</w:t>
            </w:r>
          </w:p>
        </w:tc>
        <w:tc>
          <w:tcPr>
            <w:tcW w:w="220" w:type="dxa"/>
            <w:vAlign w:val="bottom"/>
          </w:tcPr>
          <w:p>
            <w:pPr>
              <w:spacing w:after="0"/>
              <w:rPr>
                <w:sz w:val="12"/>
                <w:szCs w:val="12"/>
                <w:color w:val="auto"/>
              </w:rPr>
            </w:pPr>
          </w:p>
        </w:tc>
        <w:tc>
          <w:tcPr>
            <w:tcW w:w="74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83"/>
        </w:trPr>
        <w:tc>
          <w:tcPr>
            <w:tcW w:w="5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EBITDA:</w:t>
            </w:r>
          </w:p>
        </w:tc>
        <w:tc>
          <w:tcPr>
            <w:tcW w:w="2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3"/>
        </w:trPr>
        <w:tc>
          <w:tcPr>
            <w:tcW w:w="5660" w:type="dxa"/>
            <w:vAlign w:val="bottom"/>
          </w:tcPr>
          <w:p>
            <w:pPr>
              <w:ind w:left="440"/>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26,281</w:t>
            </w:r>
          </w:p>
        </w:tc>
        <w:tc>
          <w:tcPr>
            <w:tcW w:w="44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24,199</w:t>
            </w:r>
          </w:p>
        </w:tc>
        <w:tc>
          <w:tcPr>
            <w:tcW w:w="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28,589</w:t>
            </w:r>
          </w:p>
        </w:tc>
        <w:tc>
          <w:tcPr>
            <w:tcW w:w="3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29,583</w:t>
            </w:r>
          </w:p>
        </w:tc>
        <w:tc>
          <w:tcPr>
            <w:tcW w:w="220" w:type="dxa"/>
            <w:vAlign w:val="bottom"/>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108,652</w:t>
            </w:r>
          </w:p>
        </w:tc>
        <w:tc>
          <w:tcPr>
            <w:tcW w:w="100" w:type="dxa"/>
            <w:vAlign w:val="bottom"/>
          </w:tcPr>
          <w:p>
            <w:pPr>
              <w:spacing w:after="0"/>
              <w:rPr>
                <w:sz w:val="17"/>
                <w:szCs w:val="17"/>
                <w:color w:val="auto"/>
              </w:rPr>
            </w:pPr>
          </w:p>
        </w:tc>
      </w:tr>
      <w:tr>
        <w:trPr>
          <w:trHeight w:val="203"/>
        </w:trPr>
        <w:tc>
          <w:tcPr>
            <w:tcW w:w="56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5,687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5,850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5,103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5,484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22,124</w:t>
            </w:r>
          </w:p>
        </w:tc>
      </w:tr>
      <w:tr>
        <w:trPr>
          <w:trHeight w:val="203"/>
        </w:trPr>
        <w:tc>
          <w:tcPr>
            <w:tcW w:w="5660" w:type="dxa"/>
            <w:vAlign w:val="bottom"/>
          </w:tcPr>
          <w:p>
            <w:pPr>
              <w:ind w:left="880"/>
              <w:spacing w:after="0" w:line="202" w:lineRule="exact"/>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9,925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8,205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8,607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8,669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35,406</w:t>
            </w:r>
          </w:p>
        </w:tc>
      </w:tr>
      <w:tr>
        <w:trPr>
          <w:trHeight w:val="203"/>
        </w:trPr>
        <w:tc>
          <w:tcPr>
            <w:tcW w:w="56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12,594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12,908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12,020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11,305</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48,827</w:t>
            </w:r>
          </w:p>
        </w:tc>
      </w:tr>
      <w:tr>
        <w:trPr>
          <w:trHeight w:val="20"/>
        </w:trPr>
        <w:tc>
          <w:tcPr>
            <w:tcW w:w="5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5660" w:type="dxa"/>
            <w:vAlign w:val="bottom"/>
          </w:tcPr>
          <w:p>
            <w:pPr>
              <w:ind w:left="440"/>
              <w:spacing w:after="0"/>
              <w:rPr>
                <w:sz w:val="20"/>
                <w:szCs w:val="20"/>
                <w:color w:val="auto"/>
              </w:rPr>
            </w:pPr>
            <w:r>
              <w:rPr>
                <w:rFonts w:ascii="Arial" w:cs="Arial" w:eastAsia="Arial" w:hAnsi="Arial"/>
                <w:sz w:val="18"/>
                <w:szCs w:val="18"/>
                <w:color w:val="auto"/>
              </w:rPr>
              <w:t>EBITDA (non-GAAP measure)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54,487</w:t>
            </w:r>
          </w:p>
        </w:tc>
        <w:tc>
          <w:tcPr>
            <w:tcW w:w="24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51,162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54,319</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55,041</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215,009</w:t>
            </w:r>
          </w:p>
        </w:tc>
        <w:tc>
          <w:tcPr>
            <w:tcW w:w="100" w:type="dxa"/>
            <w:vAlign w:val="bottom"/>
          </w:tcPr>
          <w:p>
            <w:pPr>
              <w:spacing w:after="0"/>
              <w:rPr>
                <w:sz w:val="24"/>
                <w:szCs w:val="24"/>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6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Diluted Earnings Per Share Excluding Impairment and Restructuring Charges:</w:t>
      </w:r>
    </w:p>
    <w:p>
      <w:pPr>
        <w:spacing w:after="0" w:line="15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This is a measure of the Company’s diluted net earnings per share excluding the current year Asia non-cash goodwill impairment charge and prior year restructuring charges. We do not view these items to be part of our sustainable results. We believe this earnings per share measure provides an important perspective of underlying business trends and results and provides a more comparable measure of year-on-year earnings per share growth. The table below provides a reconciliation of diluted net earnings per share to diluted earnings per share excluding the impairment and restructuring charges: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w:t>
            </w:r>
          </w:p>
        </w:tc>
      </w:tr>
      <w:tr>
        <w:trPr>
          <w:trHeight w:val="165"/>
        </w:trPr>
        <w:tc>
          <w:tcPr>
            <w:tcW w:w="6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January 31,</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5"/>
              </w:rPr>
              <w:t>January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68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Diluted (Loss) Earnings per Share</w:t>
            </w:r>
          </w:p>
        </w:tc>
        <w:tc>
          <w:tcPr>
            <w:tcW w:w="2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center"/>
              <w:ind w:left="81"/>
              <w:spacing w:after="0" w:line="196" w:lineRule="exact"/>
              <w:rPr>
                <w:sz w:val="20"/>
                <w:szCs w:val="20"/>
                <w:color w:val="auto"/>
              </w:rPr>
            </w:pPr>
            <w:r>
              <w:rPr>
                <w:rFonts w:ascii="Arial" w:cs="Arial" w:eastAsia="Arial" w:hAnsi="Arial"/>
                <w:sz w:val="18"/>
                <w:szCs w:val="18"/>
                <w:color w:val="auto"/>
                <w:w w:val="97"/>
              </w:rPr>
              <w:t>(1.72)</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center"/>
              <w:ind w:left="116"/>
              <w:spacing w:after="0" w:line="196" w:lineRule="exact"/>
              <w:rPr>
                <w:sz w:val="20"/>
                <w:szCs w:val="20"/>
                <w:color w:val="auto"/>
              </w:rPr>
            </w:pPr>
            <w:r>
              <w:rPr>
                <w:rFonts w:ascii="Arial" w:cs="Arial" w:eastAsia="Arial" w:hAnsi="Arial"/>
                <w:sz w:val="18"/>
                <w:szCs w:val="18"/>
                <w:color w:val="auto"/>
                <w:w w:val="96"/>
              </w:rPr>
              <w:t>0.46</w:t>
            </w:r>
          </w:p>
        </w:tc>
        <w:tc>
          <w:tcPr>
            <w:tcW w:w="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(1.09)</w:t>
            </w:r>
          </w:p>
        </w:tc>
        <w:tc>
          <w:tcPr>
            <w:tcW w:w="30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center"/>
              <w:ind w:left="136"/>
              <w:spacing w:after="0" w:line="196" w:lineRule="exact"/>
              <w:rPr>
                <w:sz w:val="20"/>
                <w:szCs w:val="20"/>
                <w:color w:val="auto"/>
              </w:rPr>
            </w:pPr>
            <w:r>
              <w:rPr>
                <w:rFonts w:ascii="Arial" w:cs="Arial" w:eastAsia="Arial" w:hAnsi="Arial"/>
                <w:sz w:val="18"/>
                <w:szCs w:val="18"/>
                <w:color w:val="auto"/>
                <w:w w:val="96"/>
              </w:rPr>
              <w:t>0.95</w:t>
            </w:r>
          </w:p>
        </w:tc>
      </w:tr>
      <w:tr>
        <w:trPr>
          <w:trHeight w:val="203"/>
        </w:trPr>
        <w:tc>
          <w:tcPr>
            <w:tcW w:w="6880" w:type="dxa"/>
            <w:vAlign w:val="bottom"/>
          </w:tcPr>
          <w:p>
            <w:pPr>
              <w:ind w:left="440"/>
              <w:spacing w:after="0" w:line="202" w:lineRule="exact"/>
              <w:rPr>
                <w:sz w:val="20"/>
                <w:szCs w:val="20"/>
                <w:color w:val="auto"/>
              </w:rPr>
            </w:pPr>
            <w:r>
              <w:rPr>
                <w:rFonts w:ascii="Arial" w:cs="Arial" w:eastAsia="Arial" w:hAnsi="Arial"/>
                <w:sz w:val="18"/>
                <w:szCs w:val="18"/>
                <w:color w:val="auto"/>
              </w:rPr>
              <w:t>Non-Cash Goodwill Impairment</w:t>
            </w:r>
          </w:p>
        </w:tc>
        <w:tc>
          <w:tcPr>
            <w:tcW w:w="220" w:type="dxa"/>
            <w:vAlign w:val="bottom"/>
          </w:tcPr>
          <w:p>
            <w:pPr>
              <w:spacing w:after="0"/>
              <w:rPr>
                <w:sz w:val="17"/>
                <w:szCs w:val="17"/>
                <w:color w:val="auto"/>
              </w:rPr>
            </w:pPr>
          </w:p>
        </w:tc>
        <w:tc>
          <w:tcPr>
            <w:tcW w:w="740" w:type="dxa"/>
            <w:vAlign w:val="bottom"/>
            <w:gridSpan w:val="2"/>
          </w:tcPr>
          <w:p>
            <w:pPr>
              <w:jc w:val="center"/>
              <w:ind w:left="281"/>
              <w:spacing w:after="0" w:line="202" w:lineRule="exact"/>
              <w:rPr>
                <w:sz w:val="20"/>
                <w:szCs w:val="20"/>
                <w:color w:val="auto"/>
              </w:rPr>
            </w:pPr>
            <w:r>
              <w:rPr>
                <w:rFonts w:ascii="Arial" w:cs="Arial" w:eastAsia="Arial" w:hAnsi="Arial"/>
                <w:sz w:val="18"/>
                <w:szCs w:val="18"/>
                <w:color w:val="auto"/>
                <w:w w:val="96"/>
              </w:rPr>
              <w:t>2.21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center"/>
              <w:ind w:left="76"/>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2.21</w:t>
            </w:r>
          </w:p>
        </w:tc>
        <w:tc>
          <w:tcPr>
            <w:tcW w:w="300" w:type="dxa"/>
            <w:vAlign w:val="bottom"/>
          </w:tcPr>
          <w:p>
            <w:pPr>
              <w:spacing w:after="0"/>
              <w:rPr>
                <w:sz w:val="17"/>
                <w:szCs w:val="17"/>
                <w:color w:val="auto"/>
              </w:rPr>
            </w:pPr>
          </w:p>
        </w:tc>
        <w:tc>
          <w:tcPr>
            <w:tcW w:w="760" w:type="dxa"/>
            <w:vAlign w:val="bottom"/>
            <w:gridSpan w:val="2"/>
          </w:tcPr>
          <w:p>
            <w:pPr>
              <w:jc w:val="center"/>
              <w:ind w:left="96"/>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68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Restructuring Charges</w:t>
            </w:r>
          </w:p>
        </w:tc>
        <w:tc>
          <w:tcPr>
            <w:tcW w:w="2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center"/>
              <w:ind w:left="81"/>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left="116"/>
              <w:spacing w:after="0" w:line="202" w:lineRule="exact"/>
              <w:rPr>
                <w:sz w:val="20"/>
                <w:szCs w:val="20"/>
                <w:color w:val="auto"/>
              </w:rPr>
            </w:pPr>
            <w:r>
              <w:rPr>
                <w:rFonts w:ascii="Arial" w:cs="Arial" w:eastAsia="Arial" w:hAnsi="Arial"/>
                <w:sz w:val="18"/>
                <w:szCs w:val="18"/>
                <w:color w:val="auto"/>
                <w:w w:val="96"/>
              </w:rPr>
              <w:t>0.02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left="136"/>
              <w:spacing w:after="0" w:line="202" w:lineRule="exact"/>
              <w:rPr>
                <w:sz w:val="20"/>
                <w:szCs w:val="20"/>
                <w:color w:val="auto"/>
              </w:rPr>
            </w:pPr>
            <w:r>
              <w:rPr>
                <w:rFonts w:ascii="Arial" w:cs="Arial" w:eastAsia="Arial" w:hAnsi="Arial"/>
                <w:sz w:val="18"/>
                <w:szCs w:val="18"/>
                <w:color w:val="auto"/>
                <w:w w:val="96"/>
              </w:rPr>
              <w:t>0.08</w:t>
            </w:r>
          </w:p>
        </w:tc>
      </w:tr>
      <w:tr>
        <w:trPr>
          <w:trHeight w:val="191"/>
        </w:trPr>
        <w:tc>
          <w:tcPr>
            <w:tcW w:w="6880" w:type="dxa"/>
            <w:vAlign w:val="bottom"/>
          </w:tcPr>
          <w:p>
            <w:pPr>
              <w:ind w:left="440"/>
              <w:spacing w:after="0" w:line="191" w:lineRule="exact"/>
              <w:rPr>
                <w:sz w:val="20"/>
                <w:szCs w:val="20"/>
                <w:color w:val="auto"/>
              </w:rPr>
            </w:pPr>
            <w:r>
              <w:rPr>
                <w:rFonts w:ascii="Arial" w:cs="Arial" w:eastAsia="Arial" w:hAnsi="Arial"/>
                <w:sz w:val="18"/>
                <w:szCs w:val="18"/>
                <w:b w:val="1"/>
                <w:bCs w:val="1"/>
                <w:color w:val="auto"/>
              </w:rPr>
              <w:t>Diluted Earnings per Share Excluding Impairment and Restructuring</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1"/>
        </w:trPr>
        <w:tc>
          <w:tcPr>
            <w:tcW w:w="6880" w:type="dxa"/>
            <w:vAlign w:val="bottom"/>
          </w:tcPr>
          <w:p>
            <w:pPr>
              <w:ind w:left="660"/>
              <w:spacing w:after="0"/>
              <w:rPr>
                <w:sz w:val="20"/>
                <w:szCs w:val="20"/>
                <w:color w:val="auto"/>
              </w:rPr>
            </w:pPr>
            <w:r>
              <w:rPr>
                <w:rFonts w:ascii="Arial" w:cs="Arial" w:eastAsia="Arial" w:hAnsi="Arial"/>
                <w:sz w:val="18"/>
                <w:szCs w:val="18"/>
                <w:b w:val="1"/>
                <w:bCs w:val="1"/>
                <w:color w:val="auto"/>
              </w:rPr>
              <w:t>Charges</w:t>
            </w:r>
          </w:p>
        </w:tc>
        <w:tc>
          <w:tcPr>
            <w:tcW w:w="220" w:type="dxa"/>
            <w:vAlign w:val="bottom"/>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tcPr>
          <w:p>
            <w:pPr>
              <w:jc w:val="center"/>
              <w:ind w:left="281"/>
              <w:spacing w:after="0"/>
              <w:rPr>
                <w:sz w:val="20"/>
                <w:szCs w:val="20"/>
                <w:color w:val="auto"/>
              </w:rPr>
            </w:pPr>
            <w:r>
              <w:rPr>
                <w:rFonts w:ascii="Arial" w:cs="Arial" w:eastAsia="Arial" w:hAnsi="Arial"/>
                <w:sz w:val="18"/>
                <w:szCs w:val="18"/>
                <w:b w:val="1"/>
                <w:bCs w:val="1"/>
                <w:color w:val="auto"/>
                <w:w w:val="96"/>
              </w:rPr>
              <w:t>0.49</w:t>
            </w:r>
          </w:p>
        </w:tc>
        <w:tc>
          <w:tcPr>
            <w:tcW w:w="200" w:type="dxa"/>
            <w:vAlign w:val="bottom"/>
          </w:tcPr>
          <w:p>
            <w:pPr>
              <w:spacing w:after="0"/>
              <w:rPr>
                <w:sz w:val="19"/>
                <w:szCs w:val="19"/>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jc w:val="center"/>
              <w:ind w:left="116"/>
              <w:spacing w:after="0"/>
              <w:rPr>
                <w:sz w:val="20"/>
                <w:szCs w:val="20"/>
                <w:color w:val="auto"/>
              </w:rPr>
            </w:pPr>
            <w:r>
              <w:rPr>
                <w:rFonts w:ascii="Arial" w:cs="Arial" w:eastAsia="Arial" w:hAnsi="Arial"/>
                <w:sz w:val="18"/>
                <w:szCs w:val="18"/>
                <w:b w:val="1"/>
                <w:bCs w:val="1"/>
                <w:color w:val="auto"/>
                <w:w w:val="96"/>
              </w:rPr>
              <w:t>0.48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1.12</w:t>
            </w:r>
          </w:p>
        </w:tc>
        <w:tc>
          <w:tcPr>
            <w:tcW w:w="300" w:type="dxa"/>
            <w:vAlign w:val="bottom"/>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tcPr>
          <w:p>
            <w:pPr>
              <w:jc w:val="center"/>
              <w:ind w:left="136"/>
              <w:spacing w:after="0"/>
              <w:rPr>
                <w:sz w:val="20"/>
                <w:szCs w:val="20"/>
                <w:color w:val="auto"/>
              </w:rPr>
            </w:pPr>
            <w:r>
              <w:rPr>
                <w:rFonts w:ascii="Arial" w:cs="Arial" w:eastAsia="Arial" w:hAnsi="Arial"/>
                <w:sz w:val="18"/>
                <w:szCs w:val="18"/>
                <w:b w:val="1"/>
                <w:bCs w:val="1"/>
                <w:color w:val="auto"/>
                <w:w w:val="96"/>
              </w:rPr>
              <w:t>1.03</w:t>
            </w:r>
          </w:p>
        </w:tc>
      </w:tr>
      <w:tr>
        <w:trPr>
          <w:trHeight w:val="20"/>
        </w:trPr>
        <w:tc>
          <w:tcPr>
            <w:tcW w:w="6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Excluding Impairment and Restructuring Charges:</w:t>
      </w:r>
    </w:p>
    <w:p>
      <w:pPr>
        <w:spacing w:after="0" w:line="153"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This is a measure of the Company’s net income excluding the current year Asia non-cash goodwill impairment charge and prior year restructuring charges. We do not view these items to be part of our sustainable results. We believe this net income measure provides an important perspective of underlying business trends and results and provides a more comparable measure of year-on-year net income growth. The table below provides a reconciliation of net income to net income excluding the impairment charge and restructuring charges: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w:t>
            </w:r>
          </w:p>
        </w:tc>
      </w:tr>
      <w:tr>
        <w:trPr>
          <w:trHeight w:val="165"/>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95"/>
              </w:rPr>
              <w:t>January 31,</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5"/>
              </w:rPr>
              <w:t>January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68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(Loss) Income</w:t>
            </w:r>
          </w:p>
        </w:tc>
        <w:tc>
          <w:tcPr>
            <w:tcW w:w="200" w:type="dxa"/>
            <w:vAlign w:val="bottom"/>
            <w:gridSpan w:val="2"/>
            <w:shd w:val="clear" w:color="auto" w:fill="CCEEFF"/>
          </w:tcPr>
          <w:p>
            <w:pPr>
              <w:jc w:val="right"/>
              <w:ind w:right="23"/>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(89,954)</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24,199</w:t>
            </w:r>
          </w:p>
        </w:tc>
        <w:tc>
          <w:tcPr>
            <w:tcW w:w="320" w:type="dxa"/>
            <w:vAlign w:val="bottom"/>
            <w:gridSpan w:val="2"/>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(57,222)</w:t>
            </w:r>
          </w:p>
        </w:tc>
        <w:tc>
          <w:tcPr>
            <w:tcW w:w="30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50,480</w:t>
            </w:r>
          </w:p>
        </w:tc>
      </w:tr>
      <w:tr>
        <w:trPr>
          <w:trHeight w:val="203"/>
        </w:trPr>
        <w:tc>
          <w:tcPr>
            <w:tcW w:w="6880" w:type="dxa"/>
            <w:vAlign w:val="bottom"/>
          </w:tcPr>
          <w:p>
            <w:pPr>
              <w:ind w:left="440"/>
              <w:spacing w:after="0" w:line="202" w:lineRule="exact"/>
              <w:rPr>
                <w:sz w:val="20"/>
                <w:szCs w:val="20"/>
                <w:color w:val="auto"/>
              </w:rPr>
            </w:pPr>
            <w:r>
              <w:rPr>
                <w:rFonts w:ascii="Arial" w:cs="Arial" w:eastAsia="Arial" w:hAnsi="Arial"/>
                <w:sz w:val="18"/>
                <w:szCs w:val="18"/>
                <w:color w:val="auto"/>
              </w:rPr>
              <w:t>Non-Cash Goodwill Impairment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115,688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115,688</w:t>
            </w:r>
          </w:p>
        </w:tc>
        <w:tc>
          <w:tcPr>
            <w:tcW w:w="300" w:type="dxa"/>
            <w:vAlign w:val="bottom"/>
          </w:tcPr>
          <w:p>
            <w:pPr>
              <w:spacing w:after="0"/>
              <w:rPr>
                <w:sz w:val="17"/>
                <w:szCs w:val="17"/>
                <w:color w:val="auto"/>
              </w:rPr>
            </w:pPr>
          </w:p>
        </w:tc>
        <w:tc>
          <w:tcPr>
            <w:tcW w:w="76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r>
      <w:tr>
        <w:trPr>
          <w:trHeight w:val="203"/>
        </w:trPr>
        <w:tc>
          <w:tcPr>
            <w:tcW w:w="68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Restructuring Charges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4,122</w:t>
            </w:r>
          </w:p>
        </w:tc>
        <w:tc>
          <w:tcPr>
            <w:tcW w:w="100" w:type="dxa"/>
            <w:vAlign w:val="bottom"/>
            <w:shd w:val="clear" w:color="auto" w:fill="CCEEFF"/>
          </w:tcPr>
          <w:p>
            <w:pPr>
              <w:spacing w:after="0"/>
              <w:rPr>
                <w:sz w:val="17"/>
                <w:szCs w:val="17"/>
                <w:color w:val="auto"/>
              </w:rPr>
            </w:pPr>
          </w:p>
        </w:tc>
      </w:tr>
      <w:tr>
        <w:trPr>
          <w:trHeight w:val="210"/>
        </w:trPr>
        <w:tc>
          <w:tcPr>
            <w:tcW w:w="6880" w:type="dxa"/>
            <w:vAlign w:val="bottom"/>
          </w:tcPr>
          <w:p>
            <w:pPr>
              <w:ind w:left="440"/>
              <w:spacing w:after="0"/>
              <w:rPr>
                <w:sz w:val="20"/>
                <w:szCs w:val="20"/>
                <w:color w:val="auto"/>
              </w:rPr>
            </w:pPr>
            <w:r>
              <w:rPr>
                <w:rFonts w:ascii="Arial" w:cs="Arial" w:eastAsia="Arial" w:hAnsi="Arial"/>
                <w:sz w:val="18"/>
                <w:szCs w:val="18"/>
                <w:b w:val="1"/>
                <w:bCs w:val="1"/>
                <w:color w:val="auto"/>
              </w:rPr>
              <w:t>Net Income Excluding Impairment and Restructuring Charges</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25,734</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58,466</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54,602</w:t>
            </w:r>
          </w:p>
        </w:tc>
        <w:tc>
          <w:tcPr>
            <w:tcW w:w="100" w:type="dxa"/>
            <w:vAlign w:val="bottom"/>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All reconciling items are presented net of tax. Tax effects are calculated consistent with the nature of the underlying transaction.</w:t>
      </w:r>
    </w:p>
    <w:p>
      <w:pPr>
        <w:sectPr>
          <w:pgSz w:w="11900" w:h="16838" w:orient="portrait"/>
          <w:cols w:equalWidth="0" w:num="1">
            <w:col w:w="11420"/>
          </w:cols>
          <w:pgMar w:left="240" w:top="269" w:right="239" w:bottom="1440" w:gutter="0" w:footer="0" w:header="0"/>
        </w:sectPr>
      </w:pPr>
    </w:p>
    <w:bookmarkStart w:id="32" w:name="page33"/>
    <w:bookmarkEnd w:id="32"/>
    <w:p>
      <w:pPr>
        <w:ind w:left="922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267335</wp:posOffset>
            </wp:positionV>
            <wp:extent cx="6174740" cy="9321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46310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3"/>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2019-12-09T08:51:00Z</dcterms:created>
  <dcterms:modified xsi:type="dcterms:W3CDTF">2019-12-09T08:51:00Z</dcterms:modified>
</cp:coreProperties>
</file>