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0"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Date of Report (Date of earliest event reported): September 24, 2010</w:t>
      </w:r>
    </w:p>
    <w:p>
      <w:pPr>
        <w:spacing w:after="0" w:line="181" w:lineRule="exact"/>
        <w:rPr>
          <w:sz w:val="24"/>
          <w:szCs w:val="24"/>
          <w:color w:val="auto"/>
        </w:rPr>
      </w:pPr>
    </w:p>
    <w:p>
      <w:pPr>
        <w:jc w:val="center"/>
        <w:ind w:right="551"/>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4"/>
          <w:szCs w:val="24"/>
          <w:color w:val="auto"/>
        </w:rPr>
      </w:pPr>
    </w:p>
    <w:p>
      <w:pPr>
        <w:ind w:left="2608"/>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8" w:type="dxa"/>
        <w:tblCellMar>
          <w:top w:w="0" w:type="dxa"/>
          <w:left w:w="0" w:type="dxa"/>
          <w:bottom w:w="0" w:type="dxa"/>
          <w:right w:w="0" w:type="dxa"/>
        </w:tblCellMar>
      </w:tblPr>
      <w:tr>
        <w:trPr>
          <w:trHeight w:val="225"/>
        </w:trPr>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Wisconsin</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3"/>
          </w:tcPr>
          <w:p>
            <w:pPr>
              <w:jc w:val="right"/>
              <w:ind w:right="1160"/>
              <w:spacing w:after="0"/>
              <w:rPr>
                <w:sz w:val="20"/>
                <w:szCs w:val="20"/>
                <w:color w:val="auto"/>
              </w:rPr>
            </w:pPr>
            <w:r>
              <w:rPr>
                <w:rFonts w:ascii="Arial" w:cs="Arial" w:eastAsia="Arial" w:hAnsi="Arial"/>
                <w:sz w:val="18"/>
                <w:szCs w:val="18"/>
                <w:b w:val="1"/>
                <w:bCs w:val="1"/>
                <w:color w:val="auto"/>
              </w:rPr>
              <w:t>1-14959</w:t>
            </w:r>
          </w:p>
        </w:tc>
        <w:tc>
          <w:tcPr>
            <w:tcW w:w="180" w:type="dxa"/>
            <w:vAlign w:val="bottom"/>
          </w:tcPr>
          <w:p>
            <w:pPr>
              <w:spacing w:after="0"/>
              <w:rPr>
                <w:sz w:val="19"/>
                <w:szCs w:val="19"/>
                <w:color w:val="auto"/>
              </w:rPr>
            </w:pPr>
          </w:p>
        </w:tc>
        <w:tc>
          <w:tcPr>
            <w:tcW w:w="29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39-0971239</w:t>
            </w:r>
          </w:p>
        </w:tc>
      </w:tr>
      <w:tr>
        <w:trPr>
          <w:trHeight w:val="209"/>
        </w:trPr>
        <w:tc>
          <w:tcPr>
            <w:tcW w:w="3540" w:type="dxa"/>
            <w:vAlign w:val="bottom"/>
            <w:gridSpan w:val="3"/>
          </w:tcPr>
          <w:p>
            <w:pPr>
              <w:jc w:val="center"/>
              <w:ind w:right="560"/>
              <w:spacing w:after="0"/>
              <w:rPr>
                <w:sz w:val="20"/>
                <w:szCs w:val="20"/>
                <w:color w:val="auto"/>
              </w:rPr>
            </w:pPr>
            <w:r>
              <w:rPr>
                <w:rFonts w:ascii="Arial" w:cs="Arial" w:eastAsia="Arial" w:hAnsi="Arial"/>
                <w:sz w:val="18"/>
                <w:szCs w:val="18"/>
                <w:color w:val="auto"/>
              </w:rPr>
              <w:t>(State or other jurisdiction</w:t>
            </w:r>
          </w:p>
        </w:tc>
        <w:tc>
          <w:tcPr>
            <w:tcW w:w="2620" w:type="dxa"/>
            <w:vAlign w:val="bottom"/>
            <w:gridSpan w:val="3"/>
          </w:tcPr>
          <w:p>
            <w:pPr>
              <w:jc w:val="center"/>
              <w:ind w:right="360"/>
              <w:spacing w:after="0"/>
              <w:rPr>
                <w:sz w:val="20"/>
                <w:szCs w:val="20"/>
                <w:color w:val="auto"/>
              </w:rPr>
            </w:pPr>
            <w:r>
              <w:rPr>
                <w:rFonts w:ascii="Arial" w:cs="Arial" w:eastAsia="Arial" w:hAnsi="Arial"/>
                <w:sz w:val="18"/>
                <w:szCs w:val="18"/>
                <w:color w:val="auto"/>
                <w:w w:val="99"/>
              </w:rPr>
              <w:t>(Commission File Number)</w:t>
            </w:r>
          </w:p>
        </w:tc>
        <w:tc>
          <w:tcPr>
            <w:tcW w:w="18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r>
        <w:trPr>
          <w:trHeight w:val="217"/>
        </w:trPr>
        <w:tc>
          <w:tcPr>
            <w:tcW w:w="3540" w:type="dxa"/>
            <w:vAlign w:val="bottom"/>
            <w:gridSpan w:val="3"/>
          </w:tcPr>
          <w:p>
            <w:pPr>
              <w:jc w:val="center"/>
              <w:ind w:right="560"/>
              <w:spacing w:after="0"/>
              <w:rPr>
                <w:sz w:val="20"/>
                <w:szCs w:val="20"/>
                <w:color w:val="auto"/>
              </w:rPr>
            </w:pPr>
            <w:r>
              <w:rPr>
                <w:rFonts w:ascii="Arial" w:cs="Arial" w:eastAsia="Arial" w:hAnsi="Arial"/>
                <w:sz w:val="18"/>
                <w:szCs w:val="18"/>
                <w:color w:val="auto"/>
                <w:w w:val="99"/>
              </w:rPr>
              <w:t>of incorporation)</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369"/>
        </w:trPr>
        <w:tc>
          <w:tcPr>
            <w:tcW w:w="354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9"/>
              </w:rPr>
              <w:t>6555 West Good Hope Road</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25"/>
        </w:trPr>
        <w:tc>
          <w:tcPr>
            <w:tcW w:w="354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b w:val="1"/>
                <w:bCs w:val="1"/>
                <w:color w:val="auto"/>
                <w:w w:val="99"/>
              </w:rPr>
              <w:t>Milwaukee, Wisconsin</w:t>
            </w: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2"/>
          </w:tcPr>
          <w:p>
            <w:pPr>
              <w:jc w:val="right"/>
              <w:ind w:right="1950"/>
              <w:spacing w:after="0"/>
              <w:rPr>
                <w:sz w:val="20"/>
                <w:szCs w:val="20"/>
                <w:color w:val="auto"/>
              </w:rPr>
            </w:pPr>
            <w:r>
              <w:rPr>
                <w:rFonts w:ascii="Arial" w:cs="Arial" w:eastAsia="Arial" w:hAnsi="Arial"/>
                <w:sz w:val="18"/>
                <w:szCs w:val="18"/>
                <w:b w:val="1"/>
                <w:bCs w:val="1"/>
                <w:color w:val="auto"/>
              </w:rPr>
              <w:t>53223</w:t>
            </w:r>
          </w:p>
        </w:tc>
      </w:tr>
      <w:tr>
        <w:trPr>
          <w:trHeight w:val="223"/>
        </w:trPr>
        <w:tc>
          <w:tcPr>
            <w:tcW w:w="6160" w:type="dxa"/>
            <w:vAlign w:val="bottom"/>
            <w:gridSpan w:val="6"/>
          </w:tcPr>
          <w:p>
            <w:pPr>
              <w:jc w:val="center"/>
              <w:ind w:right="1600"/>
              <w:spacing w:after="0"/>
              <w:rPr>
                <w:sz w:val="20"/>
                <w:szCs w:val="20"/>
                <w:color w:val="auto"/>
              </w:rPr>
            </w:pPr>
            <w:r>
              <w:rPr>
                <w:rFonts w:ascii="Arial" w:cs="Arial" w:eastAsia="Arial" w:hAnsi="Arial"/>
                <w:sz w:val="18"/>
                <w:szCs w:val="18"/>
                <w:color w:val="auto"/>
                <w:w w:val="99"/>
              </w:rPr>
              <w:t>(Address of principal executive offices)</w:t>
            </w:r>
          </w:p>
        </w:tc>
        <w:tc>
          <w:tcPr>
            <w:tcW w:w="180" w:type="dxa"/>
            <w:vAlign w:val="bottom"/>
          </w:tcPr>
          <w:p>
            <w:pPr>
              <w:spacing w:after="0"/>
              <w:rPr>
                <w:sz w:val="19"/>
                <w:szCs w:val="19"/>
                <w:color w:val="auto"/>
              </w:rPr>
            </w:pPr>
          </w:p>
        </w:tc>
        <w:tc>
          <w:tcPr>
            <w:tcW w:w="2980" w:type="dxa"/>
            <w:vAlign w:val="bottom"/>
          </w:tcPr>
          <w:p>
            <w:pPr>
              <w:jc w:val="center"/>
              <w:ind w:right="1510"/>
              <w:spacing w:after="0"/>
              <w:rPr>
                <w:sz w:val="20"/>
                <w:szCs w:val="20"/>
                <w:color w:val="auto"/>
              </w:rPr>
            </w:pPr>
            <w:r>
              <w:rPr>
                <w:rFonts w:ascii="Arial" w:cs="Arial" w:eastAsia="Arial" w:hAnsi="Arial"/>
                <w:sz w:val="18"/>
                <w:szCs w:val="18"/>
                <w:color w:val="auto"/>
              </w:rPr>
              <w:t>(Zip Code)</w:t>
            </w:r>
          </w:p>
        </w:tc>
      </w:tr>
    </w:tbl>
    <w:p>
      <w:pPr>
        <w:spacing w:after="0" w:line="180"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358-6600</w:t>
      </w:r>
    </w:p>
    <w:p>
      <w:pPr>
        <w:spacing w:after="0" w:line="234" w:lineRule="exact"/>
        <w:rPr>
          <w:sz w:val="24"/>
          <w:szCs w:val="24"/>
          <w:color w:val="auto"/>
        </w:rPr>
      </w:pPr>
    </w:p>
    <w:p>
      <w:pPr>
        <w:ind w:left="8" w:right="639"/>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348" w:hanging="348"/>
        <w:spacing w:after="0"/>
        <w:tabs>
          <w:tab w:leader="none" w:pos="3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59258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342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304165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14" w:right="1440" w:bottom="1440" w:gutter="0" w:footer="0" w:header="0"/>
        </w:sectPr>
      </w:pPr>
    </w:p>
    <w:bookmarkStart w:id="1" w:name="page2"/>
    <w:bookmarkEnd w:id="1"/>
    <w:p>
      <w:pPr>
        <w:ind w:left="1160" w:right="1840" w:hanging="836"/>
        <w:spacing w:after="0" w:line="246" w:lineRule="auto"/>
        <w:rPr>
          <w:sz w:val="20"/>
          <w:szCs w:val="20"/>
          <w:color w:val="auto"/>
        </w:rPr>
      </w:pPr>
      <w:r>
        <w:rPr>
          <w:rFonts w:ascii="Arial" w:cs="Arial" w:eastAsia="Arial" w:hAnsi="Arial"/>
          <w:sz w:val="18"/>
          <w:szCs w:val="18"/>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ind w:left="340" w:right="1960" w:firstLine="373"/>
        <w:spacing w:after="0" w:line="238" w:lineRule="auto"/>
        <w:rPr>
          <w:sz w:val="20"/>
          <w:szCs w:val="20"/>
          <w:color w:val="auto"/>
        </w:rPr>
      </w:pPr>
      <w:r>
        <w:rPr>
          <w:rFonts w:ascii="Arial" w:cs="Arial" w:eastAsia="Arial" w:hAnsi="Arial"/>
          <w:sz w:val="18"/>
          <w:szCs w:val="18"/>
          <w:color w:val="auto"/>
        </w:rPr>
        <w:t>Effective September 24, 2010, the holders of the Corporation’s Class B Common Stock, by unanimous written consent covering 100% of the 3,538,628 outstanding shares, approved an amendment to the Brady Corporation 2010 Omnibus Incentive Stock Plan (the “Plan”) increasing the annual limitation on the number of awards made to any individual under the Plan from 200,000 shares to 400,000 shares. A copy of the Plan, as amended, is attached hereto as Exhibit 10.1 and is incorporated herein by reference.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set forth above under Item 5.02 is incorporated herein by reference.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9.01 FINANCIAL STATEMENTS AND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filed as an Exhibit to this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No.</w:t>
            </w:r>
          </w:p>
        </w:tc>
        <w:tc>
          <w:tcPr>
            <w:tcW w:w="280" w:type="dxa"/>
            <w:vAlign w:val="bottom"/>
          </w:tcPr>
          <w:p>
            <w:pPr>
              <w:spacing w:after="0"/>
              <w:rPr>
                <w:sz w:val="17"/>
                <w:szCs w:val="17"/>
                <w:color w:val="auto"/>
              </w:rPr>
            </w:pPr>
          </w:p>
        </w:tc>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c>
          <w:tcPr>
            <w:tcW w:w="1760" w:type="dxa"/>
            <w:vAlign w:val="bottom"/>
          </w:tcPr>
          <w:p>
            <w:pPr>
              <w:spacing w:after="0"/>
              <w:rPr>
                <w:sz w:val="17"/>
                <w:szCs w:val="17"/>
                <w:color w:val="auto"/>
              </w:rPr>
            </w:pPr>
          </w:p>
        </w:tc>
      </w:tr>
      <w:tr>
        <w:trPr>
          <w:trHeight w:val="412"/>
        </w:trPr>
        <w:tc>
          <w:tcPr>
            <w:tcW w:w="34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Brady Corporation 2010 Omnibus Incentive Stock Plan, amended as of September 24, 2010</w:t>
            </w:r>
          </w:p>
        </w:tc>
        <w:tc>
          <w:tcPr>
            <w:tcW w:w="1760" w:type="dxa"/>
            <w:vAlign w:val="bottom"/>
          </w:tcPr>
          <w:p>
            <w:pPr>
              <w:spacing w:after="0"/>
              <w:rPr>
                <w:sz w:val="24"/>
                <w:szCs w:val="24"/>
                <w:color w:val="auto"/>
              </w:rPr>
            </w:pPr>
          </w:p>
        </w:tc>
      </w:tr>
      <w:tr>
        <w:trPr>
          <w:trHeight w:val="983"/>
        </w:trPr>
        <w:tc>
          <w:tcPr>
            <w:tcW w:w="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right="79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Date: September 27, 2010</w:t>
      </w:r>
      <w:r>
        <w:rPr>
          <w:sz w:val="20"/>
          <w:szCs w:val="20"/>
          <w:color w:val="auto"/>
        </w:rPr>
        <w:tab/>
      </w:r>
      <w:r>
        <w:rPr>
          <w:rFonts w:ascii="Arial" w:cs="Arial" w:eastAsia="Arial" w:hAnsi="Arial"/>
          <w:sz w:val="17"/>
          <w:szCs w:val="17"/>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-1905</wp:posOffset>
            </wp:positionV>
            <wp:extent cx="2667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ind w:left="3740"/>
        <w:spacing w:after="0"/>
        <w:rPr>
          <w:sz w:val="20"/>
          <w:szCs w:val="20"/>
          <w:color w:val="auto"/>
        </w:rPr>
      </w:pPr>
      <w:r>
        <w:rPr>
          <w:rFonts w:ascii="Arial" w:cs="Arial" w:eastAsia="Arial" w:hAnsi="Arial"/>
          <w:sz w:val="18"/>
          <w:szCs w:val="18"/>
          <w:color w:val="auto"/>
        </w:rPr>
        <w:t>Thomas J. Felmer</w:t>
      </w:r>
    </w:p>
    <w:p>
      <w:pPr>
        <w:ind w:left="374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613410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720" w:type="dxa"/>
            <w:vAlign w:val="bottom"/>
          </w:tcPr>
          <w:p>
            <w:pPr>
              <w:ind w:left="2400"/>
              <w:spacing w:after="0"/>
              <w:rPr>
                <w:sz w:val="20"/>
                <w:szCs w:val="20"/>
                <w:color w:val="auto"/>
              </w:rPr>
            </w:pPr>
            <w:r>
              <w:rPr>
                <w:rFonts w:ascii="Arial" w:cs="Arial" w:eastAsia="Arial" w:hAnsi="Arial"/>
                <w:sz w:val="18"/>
                <w:szCs w:val="18"/>
                <w:color w:val="auto"/>
              </w:rPr>
              <w:t>EXHIBIT INDEX</w:t>
            </w:r>
          </w:p>
        </w:tc>
      </w:tr>
      <w:tr>
        <w:trPr>
          <w:trHeight w:val="392"/>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Exhibit No.</w:t>
            </w:r>
          </w:p>
        </w:tc>
        <w:tc>
          <w:tcPr>
            <w:tcW w:w="280" w:type="dxa"/>
            <w:vAlign w:val="bottom"/>
          </w:tcPr>
          <w:p>
            <w:pPr>
              <w:spacing w:after="0"/>
              <w:rPr>
                <w:sz w:val="24"/>
                <w:szCs w:val="24"/>
                <w:color w:val="auto"/>
              </w:rPr>
            </w:pPr>
          </w:p>
        </w:tc>
        <w:tc>
          <w:tcPr>
            <w:tcW w:w="7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2"/>
        </w:trPr>
        <w:tc>
          <w:tcPr>
            <w:tcW w:w="132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Brady Corporation 2010 Omnibus Incentive Stock Plan, amended as of September 24, 2010</w:t>
            </w:r>
          </w:p>
        </w:tc>
      </w:tr>
    </w:tbl>
    <w:p>
      <w:pPr>
        <w:sectPr>
          <w:pgSz w:w="11900" w:h="16838" w:orient="portrait"/>
          <w:cols w:equalWidth="0" w:num="1">
            <w:col w:w="9879"/>
          </w:cols>
          <w:pgMar w:left="580" w:top="1341"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2010 OMNIBUS INCENTIVE STOCK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89"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Purpose</w:t>
      </w:r>
      <w:r>
        <w:rPr>
          <w:rFonts w:ascii="Arial" w:cs="Arial" w:eastAsia="Arial" w:hAnsi="Arial"/>
          <w:sz w:val="17"/>
          <w:szCs w:val="17"/>
          <w:color w:val="auto"/>
        </w:rPr>
        <w:t>. This plan shall be known as the Brady Corporation 2010 Omnibus Incentive Stock Plan. The purpose of the Plan is to provide an incentive for employees of Brady Corporation and its Affiliates to improve corporate performance on a long-term basis, and to attract and retain employees by enabling employees to participate in the future successes of the Corporation, and by associating the long term interests of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and Restricted Stock Units. The proceeds received by the Corporation from the sale of Corporation Stock pursuant to the Plan shall be used for general corporate purposes.</w:t>
      </w:r>
    </w:p>
    <w:p>
      <w:pPr>
        <w:spacing w:after="0" w:line="138"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July 21, 2009, subject to approval of the Plan by holders of a majority of the outstanding voting common stock of the Corporation provided that such approval is given within 12 months of the effective date. Any Award granted prior to such shareholder approval shall be expressly conditioned upon shareholder approval of the Plan.</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Effect on Prior Plans</w:t>
      </w:r>
      <w:r>
        <w:rPr>
          <w:rFonts w:ascii="Arial" w:cs="Arial" w:eastAsia="Arial" w:hAnsi="Arial"/>
          <w:sz w:val="16"/>
          <w:szCs w:val="16"/>
          <w:color w:val="auto"/>
        </w:rPr>
        <w:t>. After December 31, 2009, no further awards or grants will be made under the Brady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2006 Omnibus Incentive Stock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PLAN DEFINITIONS</w:t>
      </w:r>
    </w:p>
    <w:p>
      <w:pPr>
        <w:spacing w:after="0" w:line="189"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43" w:lineRule="exact"/>
        <w:rPr>
          <w:sz w:val="20"/>
          <w:szCs w:val="20"/>
          <w:color w:val="auto"/>
        </w:rPr>
      </w:pPr>
    </w:p>
    <w:p>
      <w:pPr>
        <w:ind w:left="1080" w:right="559" w:hanging="345"/>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29" w:lineRule="exact"/>
        <w:rPr>
          <w:rFonts w:ascii="Arial" w:cs="Arial" w:eastAsia="Arial" w:hAnsi="Arial"/>
          <w:sz w:val="18"/>
          <w:szCs w:val="18"/>
          <w:color w:val="auto"/>
        </w:rPr>
      </w:pPr>
    </w:p>
    <w:p>
      <w:pPr>
        <w:ind w:left="1080" w:right="559" w:hanging="345"/>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129" w:lineRule="exact"/>
        <w:rPr>
          <w:rFonts w:ascii="Arial" w:cs="Arial" w:eastAsia="Arial" w:hAnsi="Arial"/>
          <w:sz w:val="18"/>
          <w:szCs w:val="18"/>
          <w:color w:val="auto"/>
        </w:rPr>
      </w:pPr>
    </w:p>
    <w:p>
      <w:pPr>
        <w:ind w:left="1080" w:hanging="345"/>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or Restricted Stock Units.</w:t>
      </w:r>
    </w:p>
    <w:p>
      <w:pPr>
        <w:spacing w:after="0" w:line="198" w:lineRule="exact"/>
        <w:rPr>
          <w:rFonts w:ascii="Arial" w:cs="Arial" w:eastAsia="Arial" w:hAnsi="Arial"/>
          <w:sz w:val="18"/>
          <w:szCs w:val="18"/>
          <w:color w:val="auto"/>
        </w:rPr>
      </w:pPr>
    </w:p>
    <w:p>
      <w:pPr>
        <w:ind w:left="1080" w:hanging="345"/>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184" w:lineRule="exact"/>
        <w:rPr>
          <w:rFonts w:ascii="Arial" w:cs="Arial" w:eastAsia="Arial" w:hAnsi="Arial"/>
          <w:sz w:val="18"/>
          <w:szCs w:val="18"/>
          <w:color w:val="auto"/>
        </w:rPr>
      </w:pPr>
    </w:p>
    <w:p>
      <w:pPr>
        <w:ind w:left="1080" w:hanging="345"/>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5" w:name="page6"/>
    <w:bookmarkEnd w:id="5"/>
    <w:p>
      <w:pPr>
        <w:ind w:left="345" w:hanging="345"/>
        <w:spacing w:after="0"/>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84" w:lineRule="exact"/>
        <w:rPr>
          <w:rFonts w:ascii="Arial" w:cs="Arial" w:eastAsia="Arial" w:hAnsi="Arial"/>
          <w:sz w:val="18"/>
          <w:szCs w:val="18"/>
          <w:color w:val="auto"/>
        </w:rPr>
      </w:pPr>
    </w:p>
    <w:p>
      <w:pPr>
        <w:ind w:left="345" w:hanging="345"/>
        <w:spacing w:after="0"/>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84" w:lineRule="exact"/>
        <w:rPr>
          <w:rFonts w:ascii="Arial" w:cs="Arial" w:eastAsia="Arial" w:hAnsi="Arial"/>
          <w:sz w:val="18"/>
          <w:szCs w:val="18"/>
          <w:color w:val="auto"/>
        </w:rPr>
      </w:pPr>
    </w:p>
    <w:p>
      <w:pPr>
        <w:ind w:left="345" w:right="559" w:hanging="345"/>
        <w:spacing w:after="0" w:line="277"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143" w:lineRule="exact"/>
        <w:rPr>
          <w:rFonts w:ascii="Arial" w:cs="Arial" w:eastAsia="Arial" w:hAnsi="Arial"/>
          <w:sz w:val="18"/>
          <w:szCs w:val="18"/>
          <w:color w:val="auto"/>
        </w:rPr>
      </w:pPr>
    </w:p>
    <w:p>
      <w:pPr>
        <w:ind w:left="345" w:right="559" w:hanging="345"/>
        <w:spacing w:after="0" w:line="277"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any regular salaried employee of the Corporation or an Affiliate, including an employee who is a member of the Board, who satisfies the requirements of Section 5.01.</w:t>
      </w:r>
    </w:p>
    <w:p>
      <w:pPr>
        <w:spacing w:after="0" w:line="129" w:lineRule="exact"/>
        <w:rPr>
          <w:rFonts w:ascii="Arial" w:cs="Arial" w:eastAsia="Arial" w:hAnsi="Arial"/>
          <w:sz w:val="18"/>
          <w:szCs w:val="18"/>
          <w:color w:val="auto"/>
        </w:rPr>
      </w:pPr>
    </w:p>
    <w:p>
      <w:pPr>
        <w:ind w:left="345" w:right="559" w:hanging="345"/>
        <w:spacing w:after="0" w:line="277"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29" w:lineRule="exact"/>
        <w:rPr>
          <w:rFonts w:ascii="Arial" w:cs="Arial" w:eastAsia="Arial" w:hAnsi="Arial"/>
          <w:sz w:val="18"/>
          <w:szCs w:val="18"/>
          <w:color w:val="auto"/>
        </w:rPr>
      </w:pPr>
    </w:p>
    <w:p>
      <w:pPr>
        <w:jc w:val="both"/>
        <w:ind w:left="345" w:right="559" w:hanging="345"/>
        <w:spacing w:after="0" w:line="272" w:lineRule="auto"/>
        <w:tabs>
          <w:tab w:leader="none" w:pos="34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50" w:lineRule="exact"/>
        <w:rPr>
          <w:rFonts w:ascii="Arial" w:cs="Arial" w:eastAsia="Arial" w:hAnsi="Arial"/>
          <w:sz w:val="17"/>
          <w:szCs w:val="17"/>
          <w:color w:val="auto"/>
        </w:rPr>
      </w:pPr>
    </w:p>
    <w:p>
      <w:pPr>
        <w:ind w:left="345" w:hanging="345"/>
        <w:spacing w:after="0"/>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been granted an Award under this Plan.</w:t>
      </w:r>
    </w:p>
    <w:p>
      <w:pPr>
        <w:spacing w:after="0" w:line="184" w:lineRule="exact"/>
        <w:rPr>
          <w:rFonts w:ascii="Arial" w:cs="Arial" w:eastAsia="Arial" w:hAnsi="Arial"/>
          <w:sz w:val="18"/>
          <w:szCs w:val="18"/>
          <w:color w:val="auto"/>
        </w:rPr>
      </w:pPr>
    </w:p>
    <w:p>
      <w:pPr>
        <w:jc w:val="both"/>
        <w:ind w:left="345" w:right="559" w:hanging="345"/>
        <w:spacing w:after="0" w:line="270" w:lineRule="auto"/>
        <w:tabs>
          <w:tab w:leader="none" w:pos="345" w:val="left"/>
        </w:tabs>
        <w:numPr>
          <w:ilvl w:val="0"/>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Goals</w:t>
      </w:r>
      <w:r>
        <w:rPr>
          <w:rFonts w:ascii="Arial" w:cs="Arial" w:eastAsia="Arial" w:hAnsi="Arial"/>
          <w:sz w:val="17"/>
          <w:szCs w:val="17"/>
          <w:color w:val="auto"/>
        </w:rPr>
        <w:t>” means the performance goals established by the Committee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and with adjustments as stipulated), earnings per share, return on equity, return on assets, return on tangible book value, operating income, earnings before depreciation, interest, taxes and amortization (EBDITA), loss ratio, expense ratio, increase in stock price, total shareholder return, economic value added and operating cash flow. The Committee may establish other subjective or objective performance goals, including individual goals, which it deems appropriate.</w:t>
      </w:r>
    </w:p>
    <w:p>
      <w:pPr>
        <w:spacing w:after="0" w:line="200" w:lineRule="exact"/>
        <w:rPr>
          <w:sz w:val="20"/>
          <w:szCs w:val="20"/>
          <w:color w:val="auto"/>
        </w:rPr>
      </w:pPr>
    </w:p>
    <w:p>
      <w:pPr>
        <w:spacing w:after="0" w:line="342" w:lineRule="exact"/>
        <w:rPr>
          <w:sz w:val="20"/>
          <w:szCs w:val="20"/>
          <w:color w:val="auto"/>
        </w:rPr>
      </w:pPr>
    </w:p>
    <w:p>
      <w:pPr>
        <w:ind w:left="3825"/>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4"/>
          </w:cols>
          <w:pgMar w:left="1315" w:top="1125" w:right="1440" w:bottom="1440" w:gutter="0" w:footer="0" w:header="0"/>
        </w:sectPr>
      </w:pPr>
    </w:p>
    <w:bookmarkStart w:id="6" w:name="page7"/>
    <w:bookmarkEnd w:id="6"/>
    <w:p>
      <w:pPr>
        <w:ind w:left="1088" w:right="559" w:hanging="345"/>
        <w:spacing w:after="0" w:line="308" w:lineRule="auto"/>
        <w:tabs>
          <w:tab w:leader="none" w:pos="1088" w:val="left"/>
        </w:tabs>
        <w:numPr>
          <w:ilvl w:val="1"/>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or entity, and the heirs, personal representatives, executors, administrators, legal representatives, successors and assigns of such Person as the context may require.</w:t>
      </w:r>
    </w:p>
    <w:p>
      <w:pPr>
        <w:spacing w:after="0" w:line="106" w:lineRule="exact"/>
        <w:rPr>
          <w:rFonts w:ascii="Arial" w:cs="Arial" w:eastAsia="Arial" w:hAnsi="Arial"/>
          <w:sz w:val="17"/>
          <w:szCs w:val="17"/>
          <w:color w:val="auto"/>
        </w:rPr>
      </w:pPr>
    </w:p>
    <w:p>
      <w:pPr>
        <w:ind w:left="1088" w:right="559" w:hanging="345"/>
        <w:spacing w:after="0" w:line="277" w:lineRule="auto"/>
        <w:tabs>
          <w:tab w:leader="none" w:pos="1088"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the Brady Corporation 2010 Omnibus Incentive Stock Plan, as set forth herein, as it may be amended from time to time.</w:t>
      </w:r>
    </w:p>
    <w:p>
      <w:pPr>
        <w:spacing w:after="0" w:line="129" w:lineRule="exact"/>
        <w:rPr>
          <w:rFonts w:ascii="Arial" w:cs="Arial" w:eastAsia="Arial" w:hAnsi="Arial"/>
          <w:sz w:val="18"/>
          <w:szCs w:val="18"/>
          <w:color w:val="auto"/>
        </w:rPr>
      </w:pPr>
    </w:p>
    <w:p>
      <w:pPr>
        <w:ind w:left="1088" w:hanging="345"/>
        <w:spacing w:after="0"/>
        <w:tabs>
          <w:tab w:leader="none" w:pos="1088"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98" w:lineRule="exact"/>
        <w:rPr>
          <w:rFonts w:ascii="Arial" w:cs="Arial" w:eastAsia="Arial" w:hAnsi="Arial"/>
          <w:sz w:val="18"/>
          <w:szCs w:val="18"/>
          <w:color w:val="auto"/>
        </w:rPr>
      </w:pPr>
    </w:p>
    <w:p>
      <w:pPr>
        <w:ind w:left="1088" w:hanging="345"/>
        <w:spacing w:after="0"/>
        <w:tabs>
          <w:tab w:leader="none" w:pos="1088"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84" w:lineRule="exact"/>
        <w:rPr>
          <w:rFonts w:ascii="Arial" w:cs="Arial" w:eastAsia="Arial" w:hAnsi="Arial"/>
          <w:sz w:val="18"/>
          <w:szCs w:val="18"/>
          <w:color w:val="auto"/>
        </w:rPr>
      </w:pPr>
    </w:p>
    <w:p>
      <w:pPr>
        <w:ind w:left="1088" w:right="559" w:hanging="345"/>
        <w:spacing w:after="0" w:line="342" w:lineRule="auto"/>
        <w:tabs>
          <w:tab w:leader="none" w:pos="1088" w:val="left"/>
        </w:tabs>
        <w:numPr>
          <w:ilvl w:val="1"/>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Option</w:t>
      </w:r>
      <w:r>
        <w:rPr>
          <w:rFonts w:ascii="Arial" w:cs="Arial" w:eastAsia="Arial" w:hAnsi="Arial"/>
          <w:sz w:val="16"/>
          <w:szCs w:val="16"/>
          <w:color w:val="auto"/>
        </w:rPr>
        <w:t>” means an option to purchase a stated number of shares of Corporation Stock at the price set forth in an Agreement. A Stock Option may be either a Nonqualified Stock Option or an Incentive Stock Option.</w:t>
      </w:r>
    </w:p>
    <w:p>
      <w:pPr>
        <w:spacing w:after="0" w:line="79" w:lineRule="exact"/>
        <w:rPr>
          <w:rFonts w:ascii="Arial" w:cs="Arial" w:eastAsia="Arial" w:hAnsi="Arial"/>
          <w:sz w:val="16"/>
          <w:szCs w:val="16"/>
          <w:color w:val="auto"/>
        </w:rPr>
      </w:pPr>
    </w:p>
    <w:p>
      <w:pPr>
        <w:ind w:left="308" w:hanging="308"/>
        <w:spacing w:after="0"/>
        <w:tabs>
          <w:tab w:leader="none" w:pos="30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AWARD</w:t>
      </w:r>
    </w:p>
    <w:p>
      <w:pPr>
        <w:spacing w:after="0" w:line="202" w:lineRule="exact"/>
        <w:rPr>
          <w:sz w:val="20"/>
          <w:szCs w:val="20"/>
          <w:color w:val="auto"/>
        </w:rPr>
      </w:pPr>
    </w:p>
    <w:p>
      <w:pPr>
        <w:jc w:val="both"/>
        <w:ind w:left="8" w:right="559" w:firstLine="373"/>
        <w:spacing w:after="0" w:line="272" w:lineRule="auto"/>
        <w:rPr>
          <w:sz w:val="20"/>
          <w:szCs w:val="20"/>
          <w:color w:val="auto"/>
        </w:rPr>
      </w:pPr>
      <w:r>
        <w:rPr>
          <w:rFonts w:ascii="Arial" w:cs="Arial" w:eastAsia="Arial" w:hAnsi="Arial"/>
          <w:sz w:val="17"/>
          <w:szCs w:val="17"/>
          <w:color w:val="auto"/>
        </w:rPr>
        <w:t xml:space="preserve">3.01 </w:t>
      </w:r>
      <w:r>
        <w:rPr>
          <w:rFonts w:ascii="Arial" w:cs="Arial" w:eastAsia="Arial" w:hAnsi="Arial"/>
          <w:sz w:val="17"/>
          <w:szCs w:val="17"/>
          <w:u w:val="single" w:color="auto"/>
          <w:color w:val="auto"/>
        </w:rPr>
        <w:t>Available Shares</w:t>
      </w:r>
      <w:r>
        <w:rPr>
          <w:rFonts w:ascii="Arial" w:cs="Arial" w:eastAsia="Arial" w:hAnsi="Arial"/>
          <w:sz w:val="17"/>
          <w:szCs w:val="17"/>
          <w:color w:val="auto"/>
        </w:rPr>
        <w:t>. Subject to adjustments under Section 3.02, the total number of shares of Corporation Stock authorized for issuance shall not exceed three million (3,000,000) shares, provided that no individual Eligible Employee may be granted an Award or Awards under the Plan covering more than four hundred thousand (400,000)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137" w:lineRule="exact"/>
        <w:rPr>
          <w:sz w:val="20"/>
          <w:szCs w:val="20"/>
          <w:color w:val="auto"/>
        </w:rPr>
      </w:pPr>
    </w:p>
    <w:p>
      <w:pPr>
        <w:jc w:val="both"/>
        <w:ind w:left="8" w:right="559" w:firstLine="373"/>
        <w:spacing w:after="0" w:line="288"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Changes in Corporation Stock</w:t>
      </w:r>
      <w:r>
        <w:rPr>
          <w:rFonts w:ascii="Arial" w:cs="Arial" w:eastAsia="Arial" w:hAnsi="Arial"/>
          <w:sz w:val="16"/>
          <w:szCs w:val="16"/>
          <w:color w:val="auto"/>
        </w:rPr>
        <w:t>. In the event of any change in the Corporation Stock resulting from a reorganization, recapitalization, stock split, stock dividend, merger, consolidation, rights offering or like transaction, the Committee shall proportionately and appropriately adjust: (a) the aggregate number and kind of shares authorized for issuance under the Plan; and</w:t>
      </w:r>
    </w:p>
    <w:p>
      <w:pPr>
        <w:ind w:left="8" w:right="559" w:hanging="8"/>
        <w:spacing w:after="0" w:line="261" w:lineRule="auto"/>
        <w:tabs>
          <w:tab w:leader="none" w:pos="28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previously-granted Stock Options, the option price and the number and kind of shares subject to the Stock Options, without any change in the aggregate purchase price to be paid for the Stock Options.</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IV. ADMINISTRATION</w:t>
      </w:r>
    </w:p>
    <w:p>
      <w:pPr>
        <w:spacing w:after="0" w:line="202" w:lineRule="exact"/>
        <w:rPr>
          <w:sz w:val="20"/>
          <w:szCs w:val="20"/>
          <w:color w:val="auto"/>
        </w:rPr>
      </w:pPr>
    </w:p>
    <w:p>
      <w:pPr>
        <w:jc w:val="both"/>
        <w:ind w:left="8" w:right="559" w:firstLine="373"/>
        <w:spacing w:after="0" w:line="272"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u w:val="single" w:color="auto"/>
          <w:color w:val="auto"/>
        </w:rPr>
        <w:t>Administration by the Committee</w:t>
      </w:r>
      <w:r>
        <w:rPr>
          <w:rFonts w:ascii="Arial" w:cs="Arial" w:eastAsia="Arial" w:hAnsi="Arial"/>
          <w:sz w:val="17"/>
          <w:szCs w:val="17"/>
          <w:color w:val="auto"/>
        </w:rPr>
        <w:t>. The Plan shall be administered by the Committee. The Committee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200" w:lineRule="exact"/>
        <w:rPr>
          <w:sz w:val="20"/>
          <w:szCs w:val="20"/>
          <w:color w:val="auto"/>
        </w:rPr>
      </w:pPr>
    </w:p>
    <w:p>
      <w:pPr>
        <w:spacing w:after="0" w:line="329"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7" w:name="page8"/>
    <w:bookmarkEnd w:id="7"/>
    <w:p>
      <w:pPr>
        <w:jc w:val="both"/>
        <w:ind w:right="559" w:firstLine="373"/>
        <w:spacing w:after="0" w:line="255"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Committee Powers</w:t>
      </w:r>
      <w:r>
        <w:rPr>
          <w:rFonts w:ascii="Arial" w:cs="Arial" w:eastAsia="Arial" w:hAnsi="Arial"/>
          <w:sz w:val="18"/>
          <w:szCs w:val="18"/>
          <w:color w:val="auto"/>
        </w:rPr>
        <w:t>. Subject to Section 10.06, the Committee is empowered to adopt, amend and rescind such rules, regulations and procedures and take such other action as it shall deem necessary or proper for the administration of the Plan and, in its discretion, may modify, extend or renew any Award theretofore granted. The Committee shall also have authority to interpret the Plan, and the decision of the Committee on any questions concerning the interpretation of the Plan shall be final and conclusive. The express grant in the Plan of any specific power to the Committee shall not be construed as limiting any power or authority of the Committee. The Committee shall not incur any liability for any action taken in good faith with respect to the Plan or any Award.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the provisions of the Plan, the Committee shall have full and final authority to:</w:t>
      </w:r>
    </w:p>
    <w:p>
      <w:pPr>
        <w:spacing w:after="0" w:line="185" w:lineRule="exact"/>
        <w:rPr>
          <w:sz w:val="20"/>
          <w:szCs w:val="20"/>
          <w:color w:val="auto"/>
        </w:rPr>
      </w:pPr>
    </w:p>
    <w:p>
      <w:pPr>
        <w:ind w:left="1080" w:hanging="345"/>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designate the Eligible Employees to whom Awards shall be granted;</w:t>
      </w:r>
    </w:p>
    <w:p>
      <w:pPr>
        <w:spacing w:after="0" w:line="184" w:lineRule="exact"/>
        <w:rPr>
          <w:rFonts w:ascii="Arial" w:cs="Arial" w:eastAsia="Arial" w:hAnsi="Arial"/>
          <w:sz w:val="18"/>
          <w:szCs w:val="18"/>
          <w:color w:val="auto"/>
        </w:rPr>
      </w:pPr>
    </w:p>
    <w:p>
      <w:pPr>
        <w:ind w:left="1080" w:hanging="345"/>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 Awards in such form and amount as the Committee shall determine;</w:t>
      </w:r>
    </w:p>
    <w:p>
      <w:pPr>
        <w:spacing w:after="0" w:line="198" w:lineRule="exact"/>
        <w:rPr>
          <w:rFonts w:ascii="Arial" w:cs="Arial" w:eastAsia="Arial" w:hAnsi="Arial"/>
          <w:sz w:val="18"/>
          <w:szCs w:val="18"/>
          <w:color w:val="auto"/>
        </w:rPr>
      </w:pPr>
    </w:p>
    <w:p>
      <w:pPr>
        <w:jc w:val="both"/>
        <w:ind w:left="1080" w:right="559" w:hanging="345"/>
        <w:spacing w:after="0" w:line="276"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impose such limitations, restrictions and conditions upon any such Award as the Committee shall deem appropriate, including conditions (in addition to those contained in this Plan) (i) on the exercisability of all or any portion of a Stock Option, (ii) on the transferability or forfeitability of Restricted Stock or (iii) requiring an Eligible Employee to retain all or a portion of the Corporation Stock for a period of time following the exercise of a Stock Option, the vesting of Restricted Stock or the payment of Restricted Stock Units;</w:t>
      </w:r>
    </w:p>
    <w:p>
      <w:pPr>
        <w:spacing w:after="0" w:line="132" w:lineRule="exact"/>
        <w:rPr>
          <w:rFonts w:ascii="Arial" w:cs="Arial" w:eastAsia="Arial" w:hAnsi="Arial"/>
          <w:sz w:val="17"/>
          <w:szCs w:val="17"/>
          <w:color w:val="auto"/>
        </w:rPr>
      </w:pPr>
    </w:p>
    <w:p>
      <w:pPr>
        <w:ind w:left="1080" w:hanging="345"/>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84"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Committee shall deem appropriate (including accelerating the time at which any Stock Option may be exercised or the time at which Restricted Stock may become transferable or nonforfeitable);</w:t>
      </w:r>
    </w:p>
    <w:p>
      <w:pPr>
        <w:spacing w:after="0" w:line="154" w:lineRule="exact"/>
        <w:rPr>
          <w:rFonts w:ascii="Arial" w:cs="Arial" w:eastAsia="Arial" w:hAnsi="Arial"/>
          <w:sz w:val="18"/>
          <w:szCs w:val="18"/>
          <w:color w:val="auto"/>
        </w:rPr>
      </w:pPr>
    </w:p>
    <w:p>
      <w:pPr>
        <w:jc w:val="both"/>
        <w:ind w:left="1080" w:right="559" w:hanging="345"/>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148" w:lineRule="exact"/>
        <w:rPr>
          <w:rFonts w:ascii="Arial" w:cs="Arial" w:eastAsia="Arial" w:hAnsi="Arial"/>
          <w:sz w:val="18"/>
          <w:szCs w:val="18"/>
          <w:color w:val="auto"/>
        </w:rPr>
      </w:pPr>
    </w:p>
    <w:p>
      <w:pPr>
        <w:ind w:left="1080" w:right="559" w:hanging="345"/>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employment.</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V. PARTICIPATION</w:t>
      </w:r>
    </w:p>
    <w:p>
      <w:pPr>
        <w:spacing w:after="0" w:line="189" w:lineRule="exact"/>
        <w:rPr>
          <w:sz w:val="20"/>
          <w:szCs w:val="20"/>
          <w:color w:val="auto"/>
        </w:rPr>
      </w:pPr>
    </w:p>
    <w:p>
      <w:pPr>
        <w:jc w:val="both"/>
        <w:ind w:right="559" w:firstLine="373"/>
        <w:spacing w:after="0" w:line="276"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Eligibility</w:t>
      </w:r>
      <w:r>
        <w:rPr>
          <w:rFonts w:ascii="Arial" w:cs="Arial" w:eastAsia="Arial" w:hAnsi="Arial"/>
          <w:sz w:val="17"/>
          <w:szCs w:val="17"/>
          <w:color w:val="auto"/>
        </w:rPr>
        <w:t>. Any employee of the Corporation and its Affiliates (including officers and employees who may be members of the Board) who, in the sole opinion of the Committee, has contributed or can be expected to contribute to the profits, growth and success of the Corporation shall be eligible for Awards under the Plan. From among all such Eligible Employees, the Committee shall determine from time to time those Eligible Employees to whom Awards shall be granted. No Eligible Employee shall have any right whatsoever to receive an Award unless so determined by the Committee.</w:t>
      </w:r>
    </w:p>
    <w:p>
      <w:pPr>
        <w:spacing w:after="0" w:line="132"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No Employment Rights</w:t>
      </w:r>
      <w:r>
        <w:rPr>
          <w:rFonts w:ascii="Arial" w:cs="Arial" w:eastAsia="Arial" w:hAnsi="Arial"/>
          <w:sz w:val="18"/>
          <w:szCs w:val="18"/>
          <w:color w:val="auto"/>
        </w:rPr>
        <w:t>. The Plan shall not be construed as conferring any rights upon any person for a continuation of employment, nor shall it interfere with the rights of the Corporation or any Affiliates to terminate the employment of any person or to take any other action affecting such person.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89"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Each Stock Option granted under the Plan shall be evidenced by an Agreement which shall contain the terms and conditions required by this Article VI, and such other terms and conditions, not inconsistent herewith, as the Committee may deem appropriate in each case. A Stock Option granted under the Plan shall not be treated as an Incentive Stock Option unless the Stock Option Agreement specifically designates the option as an Incentive Stock Option.</w:t>
      </w:r>
    </w:p>
    <w:p>
      <w:pPr>
        <w:spacing w:after="0" w:line="153" w:lineRule="exact"/>
        <w:rPr>
          <w:sz w:val="20"/>
          <w:szCs w:val="20"/>
          <w:color w:val="auto"/>
        </w:rPr>
      </w:pPr>
    </w:p>
    <w:p>
      <w:pPr>
        <w:jc w:val="both"/>
        <w:ind w:right="559" w:firstLine="373"/>
        <w:spacing w:after="0" w:line="308" w:lineRule="auto"/>
        <w:rPr>
          <w:sz w:val="20"/>
          <w:szCs w:val="20"/>
          <w:color w:val="auto"/>
        </w:rPr>
      </w:pPr>
      <w:r>
        <w:rPr>
          <w:rFonts w:ascii="Arial" w:cs="Arial" w:eastAsia="Arial" w:hAnsi="Arial"/>
          <w:sz w:val="17"/>
          <w:szCs w:val="17"/>
          <w:color w:val="auto"/>
        </w:rPr>
        <w:t xml:space="preserve">6.02 </w:t>
      </w:r>
      <w:r>
        <w:rPr>
          <w:rFonts w:ascii="Arial" w:cs="Arial" w:eastAsia="Arial" w:hAnsi="Arial"/>
          <w:sz w:val="17"/>
          <w:szCs w:val="17"/>
          <w:u w:val="single" w:color="auto"/>
          <w:color w:val="auto"/>
        </w:rPr>
        <w:t>Stock Option Holder’s Rights as a Shareholder</w:t>
      </w:r>
      <w:r>
        <w:rPr>
          <w:rFonts w:ascii="Arial" w:cs="Arial" w:eastAsia="Arial" w:hAnsi="Arial"/>
          <w:sz w:val="17"/>
          <w:szCs w:val="17"/>
          <w:color w:val="auto"/>
        </w:rPr>
        <w:t>. The holder of a Stock Option shall not have any rights as a shareholder with respect to the shares covered by a Stock Option until such shares have been delivered to him or her.</w:t>
      </w:r>
    </w:p>
    <w:p>
      <w:pPr>
        <w:spacing w:after="0" w:line="120"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Option Price</w:t>
      </w:r>
      <w:r>
        <w:rPr>
          <w:rFonts w:ascii="Arial" w:cs="Arial" w:eastAsia="Arial" w:hAnsi="Arial"/>
          <w:sz w:val="18"/>
          <w:szCs w:val="18"/>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41"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 xml:space="preserve">6.04 </w:t>
      </w:r>
      <w:r>
        <w:rPr>
          <w:rFonts w:ascii="Arial" w:cs="Arial" w:eastAsia="Arial" w:hAnsi="Arial"/>
          <w:sz w:val="17"/>
          <w:szCs w:val="17"/>
          <w:u w:val="single" w:color="auto"/>
          <w:color w:val="auto"/>
        </w:rPr>
        <w:t>Date Stock Option Granted</w:t>
      </w:r>
      <w:r>
        <w:rPr>
          <w:rFonts w:ascii="Arial" w:cs="Arial" w:eastAsia="Arial" w:hAnsi="Arial"/>
          <w:sz w:val="17"/>
          <w:szCs w:val="17"/>
          <w:color w:val="auto"/>
        </w:rPr>
        <w:t>. For purposes of the Plan, a Stock Option shall be considered as having been granted on the date on which the Committee authorized the grant of the Stock Option except where the Committee has designated a later date, in which event the later date shall constitute the date of grant of the Stock Option; provided, however, that notice of the grant of the Stock Option shall be given to the Participant within a reasonable time.</w:t>
      </w:r>
    </w:p>
    <w:p>
      <w:pPr>
        <w:spacing w:after="0" w:line="131"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 xml:space="preserve">6.05 </w:t>
      </w:r>
      <w:r>
        <w:rPr>
          <w:rFonts w:ascii="Arial" w:cs="Arial" w:eastAsia="Arial" w:hAnsi="Arial"/>
          <w:sz w:val="16"/>
          <w:szCs w:val="16"/>
          <w:u w:val="single" w:color="auto"/>
          <w:color w:val="auto"/>
        </w:rPr>
        <w:t>Exercise Period</w:t>
      </w:r>
      <w:r>
        <w:rPr>
          <w:rFonts w:ascii="Arial" w:cs="Arial" w:eastAsia="Arial" w:hAnsi="Arial"/>
          <w:sz w:val="16"/>
          <w:szCs w:val="16"/>
          <w:color w:val="auto"/>
        </w:rPr>
        <w:t>. The Committee shall have the power to set the time or times within which each Option shall be exercisable, and to accelerate the time or times of exercise; provided, however, that 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9" w:name="page10"/>
    <w:bookmarkEnd w:id="9"/>
    <w:p>
      <w:pPr>
        <w:jc w:val="both"/>
        <w:ind w:left="8" w:right="559" w:firstLine="373"/>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Years After</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Date of Grant</w:t>
            </w:r>
          </w:p>
        </w:tc>
        <w:tc>
          <w:tcPr>
            <w:tcW w:w="260" w:type="dxa"/>
            <w:vAlign w:val="bottom"/>
          </w:tcPr>
          <w:p>
            <w:pPr>
              <w:spacing w:after="0"/>
              <w:rPr>
                <w:sz w:val="20"/>
                <w:szCs w:val="20"/>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Percentage of Shares</w:t>
            </w:r>
          </w:p>
        </w:tc>
      </w:tr>
      <w:tr>
        <w:trPr>
          <w:trHeight w:val="210"/>
        </w:trPr>
        <w:tc>
          <w:tcPr>
            <w:tcW w:w="7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1 but less than 2</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33-1/3%</w:t>
            </w:r>
          </w:p>
        </w:tc>
      </w:tr>
      <w:tr>
        <w:trPr>
          <w:trHeight w:val="216"/>
        </w:trPr>
        <w:tc>
          <w:tcPr>
            <w:tcW w:w="7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1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66-2/3%</w:t>
            </w:r>
          </w:p>
        </w:tc>
      </w:tr>
      <w:tr>
        <w:trPr>
          <w:trHeight w:val="432"/>
        </w:trPr>
        <w:tc>
          <w:tcPr>
            <w:tcW w:w="7360" w:type="dxa"/>
            <w:vAlign w:val="bottom"/>
          </w:tcPr>
          <w:p>
            <w:pPr>
              <w:spacing w:after="0"/>
              <w:rPr>
                <w:sz w:val="20"/>
                <w:szCs w:val="20"/>
                <w:color w:val="auto"/>
              </w:rPr>
            </w:pPr>
            <w:r>
              <w:rPr>
                <w:rFonts w:ascii="Arial" w:cs="Arial" w:eastAsia="Arial" w:hAnsi="Arial"/>
                <w:sz w:val="18"/>
                <w:szCs w:val="18"/>
                <w:color w:val="auto"/>
              </w:rPr>
              <w:t>3 or more</w:t>
            </w:r>
          </w:p>
        </w:tc>
        <w:tc>
          <w:tcPr>
            <w:tcW w:w="19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75" w:lineRule="exact"/>
        <w:rPr>
          <w:sz w:val="20"/>
          <w:szCs w:val="20"/>
          <w:color w:val="auto"/>
        </w:rPr>
      </w:pPr>
    </w:p>
    <w:p>
      <w:pPr>
        <w:jc w:val="both"/>
        <w:ind w:left="8" w:right="559" w:firstLine="373"/>
        <w:spacing w:after="0" w:line="284" w:lineRule="auto"/>
        <w:rPr>
          <w:sz w:val="20"/>
          <w:szCs w:val="20"/>
          <w:color w:val="auto"/>
        </w:rPr>
      </w:pPr>
      <w:r>
        <w:rPr>
          <w:rFonts w:ascii="Arial" w:cs="Arial" w:eastAsia="Arial" w:hAnsi="Arial"/>
          <w:sz w:val="16"/>
          <w:szCs w:val="16"/>
          <w:color w:val="auto"/>
        </w:rPr>
        <w:t xml:space="preserve">6.06 </w:t>
      </w:r>
      <w:r>
        <w:rPr>
          <w:rFonts w:ascii="Arial" w:cs="Arial" w:eastAsia="Arial" w:hAnsi="Arial"/>
          <w:sz w:val="16"/>
          <w:szCs w:val="16"/>
          <w:u w:val="single" w:color="auto"/>
          <w:color w:val="auto"/>
        </w:rPr>
        <w:t>Method of Exercise</w:t>
      </w:r>
      <w:r>
        <w:rPr>
          <w:rFonts w:ascii="Arial" w:cs="Arial" w:eastAsia="Arial" w:hAnsi="Arial"/>
          <w:sz w:val="16"/>
          <w:szCs w:val="16"/>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 (b) by check, (c) with the approval of the Committee, or if the applicable Agreement so provides, by delivering shares of Corporation Stock (“Delivered Stock”), (d) by surrendering to the Corporation shares of Corporation Stock otherwise receivable upon exercise of the Stock Option (a “Net Exercise”), or</w:t>
      </w:r>
    </w:p>
    <w:p>
      <w:pPr>
        <w:spacing w:after="0" w:line="5" w:lineRule="exact"/>
        <w:rPr>
          <w:sz w:val="20"/>
          <w:szCs w:val="20"/>
          <w:color w:val="auto"/>
        </w:rPr>
      </w:pPr>
    </w:p>
    <w:p>
      <w:pPr>
        <w:jc w:val="both"/>
        <w:ind w:left="8" w:right="559" w:hanging="8"/>
        <w:spacing w:after="0" w:line="273" w:lineRule="auto"/>
        <w:tabs>
          <w:tab w:leader="none" w:pos="269"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136"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10.04.</w:t>
      </w:r>
    </w:p>
    <w:p>
      <w:pPr>
        <w:spacing w:after="0" w:line="141"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Special Rules for Incentive Stock Options</w:t>
      </w:r>
      <w:r>
        <w:rPr>
          <w:rFonts w:ascii="Arial" w:cs="Arial" w:eastAsia="Arial" w:hAnsi="Arial"/>
          <w:sz w:val="18"/>
          <w:szCs w:val="18"/>
          <w:color w:val="auto"/>
        </w:rPr>
        <w:t>. For so long as Section 422 ( or any successor provision) of the Code so provides:</w:t>
      </w:r>
    </w:p>
    <w:p>
      <w:pPr>
        <w:spacing w:after="0" w:line="143" w:lineRule="exact"/>
        <w:rPr>
          <w:sz w:val="20"/>
          <w:szCs w:val="20"/>
          <w:color w:val="auto"/>
        </w:rPr>
      </w:pPr>
    </w:p>
    <w:p>
      <w:pPr>
        <w:jc w:val="both"/>
        <w:ind w:left="1088" w:right="559" w:hanging="345"/>
        <w:spacing w:after="0" w:line="279" w:lineRule="auto"/>
        <w:tabs>
          <w:tab w:leader="none" w:pos="108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130" w:lineRule="exact"/>
        <w:rPr>
          <w:rFonts w:ascii="Arial" w:cs="Arial" w:eastAsia="Arial" w:hAnsi="Arial"/>
          <w:sz w:val="17"/>
          <w:szCs w:val="17"/>
          <w:color w:val="auto"/>
        </w:rPr>
      </w:pPr>
    </w:p>
    <w:p>
      <w:pPr>
        <w:jc w:val="both"/>
        <w:ind w:left="1088" w:right="559" w:hanging="345"/>
        <w:spacing w:after="0" w:line="257" w:lineRule="auto"/>
        <w:tabs>
          <w:tab w:leader="none" w:pos="1088" w:val="left"/>
        </w:tabs>
        <w:numPr>
          <w:ilvl w:val="0"/>
          <w:numId w:val="9"/>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147" w:lineRule="exact"/>
        <w:rPr>
          <w:rFonts w:ascii="Arial" w:cs="Arial" w:eastAsia="Arial" w:hAnsi="Arial"/>
          <w:sz w:val="18"/>
          <w:szCs w:val="18"/>
          <w:color w:val="auto"/>
        </w:rPr>
      </w:pPr>
    </w:p>
    <w:p>
      <w:pPr>
        <w:jc w:val="both"/>
        <w:ind w:left="1088" w:right="559" w:hanging="345"/>
        <w:spacing w:after="0" w:line="302" w:lineRule="auto"/>
        <w:tabs>
          <w:tab w:leader="none" w:pos="1088"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200" w:lineRule="exact"/>
        <w:rPr>
          <w:sz w:val="20"/>
          <w:szCs w:val="20"/>
          <w:color w:val="auto"/>
        </w:rPr>
      </w:pPr>
    </w:p>
    <w:p>
      <w:pPr>
        <w:spacing w:after="0" w:line="319"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VII. RESTRICTED STOCK</w:t>
      </w:r>
    </w:p>
    <w:p>
      <w:pPr>
        <w:spacing w:after="0" w:line="189"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Committee shall determine the Eligible Employees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Subject to Sections 7.02 and 7.03 hereof the provisions of Restricted Stock Awards need not be the same with respect to each recipient.</w:t>
      </w:r>
    </w:p>
    <w:p>
      <w:pPr>
        <w:spacing w:after="0" w:line="149" w:lineRule="exact"/>
        <w:rPr>
          <w:sz w:val="20"/>
          <w:szCs w:val="20"/>
          <w:color w:val="auto"/>
        </w:rPr>
      </w:pPr>
    </w:p>
    <w:p>
      <w:pPr>
        <w:jc w:val="both"/>
        <w:ind w:right="559" w:firstLine="373"/>
        <w:spacing w:after="0" w:line="272" w:lineRule="auto"/>
        <w:rPr>
          <w:sz w:val="20"/>
          <w:szCs w:val="20"/>
          <w:color w:val="auto"/>
        </w:rPr>
      </w:pPr>
      <w:r>
        <w:rPr>
          <w:rFonts w:ascii="Arial" w:cs="Arial" w:eastAsia="Arial" w:hAnsi="Arial"/>
          <w:sz w:val="17"/>
          <w:szCs w:val="17"/>
          <w:color w:val="auto"/>
        </w:rPr>
        <w:t xml:space="preserve">7.02 </w:t>
      </w:r>
      <w:r>
        <w:rPr>
          <w:rFonts w:ascii="Arial" w:cs="Arial" w:eastAsia="Arial" w:hAnsi="Arial"/>
          <w:sz w:val="17"/>
          <w:szCs w:val="17"/>
          <w:u w:val="single" w:color="auto"/>
          <w:color w:val="auto"/>
        </w:rPr>
        <w:t>Certificates</w:t>
      </w:r>
      <w:r>
        <w:rPr>
          <w:rFonts w:ascii="Arial" w:cs="Arial" w:eastAsia="Arial" w:hAnsi="Arial"/>
          <w:sz w:val="17"/>
          <w:szCs w:val="17"/>
          <w:color w:val="auto"/>
        </w:rPr>
        <w:t>. Each individual receiving a Restricted Stock Award shall be issued a certificate in respect of such shares of Restricted Stock which certificate shall be held in custody by the Corporation until the restrictions thereon shall have lapsed. In addition, each individual receiving a Restricted Stock Award shall, as a condition of any such Restricted Stock Award, have delivered to the Corporation a stock power, endorsed in blank, with respect to the Corporation Stock covered by such Award. Each certificate in respect of shares of Restricted Stock shall be registered in the name of the Participant to whom such Restricted Stock has been granted and shall bear an appropriate legend referring to the terms, conditions, and restrictions applicable to such Award, substantially in the following form:</w:t>
      </w:r>
    </w:p>
    <w:p>
      <w:pPr>
        <w:spacing w:after="0" w:line="151" w:lineRule="exact"/>
        <w:rPr>
          <w:sz w:val="20"/>
          <w:szCs w:val="20"/>
          <w:color w:val="auto"/>
        </w:rPr>
      </w:pPr>
    </w:p>
    <w:p>
      <w:pPr>
        <w:jc w:val="both"/>
        <w:ind w:left="360" w:right="559"/>
        <w:spacing w:after="0" w:line="264" w:lineRule="auto"/>
        <w:rPr>
          <w:sz w:val="20"/>
          <w:szCs w:val="20"/>
          <w:color w:val="auto"/>
        </w:rPr>
      </w:pPr>
      <w:r>
        <w:rPr>
          <w:rFonts w:ascii="Arial" w:cs="Arial" w:eastAsia="Arial" w:hAnsi="Arial"/>
          <w:sz w:val="18"/>
          <w:szCs w:val="18"/>
          <w:color w:val="auto"/>
        </w:rPr>
        <w:t>“The transferability of this certificate and the shares of stock represented hereby are subject to the terms and conditions (including forfeiture) of the Brady Corporation 2010 Omnibus Incentive Stock Plan and a Restricted Stock Agreement. Copies of such Plan and Agreement are on file at the offices of the Brady Corporation.”</w:t>
      </w:r>
    </w:p>
    <w:p>
      <w:pPr>
        <w:spacing w:after="0" w:line="14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In addition each certificate in respect of shares of Restricted Stock may bear such legends and statements as the Committee may deem advisable to assure compliance with the federal and state laws and regulations.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1" w:right="1440" w:bottom="1440" w:gutter="0" w:footer="0" w:header="0"/>
        </w:sectPr>
      </w:pPr>
    </w:p>
    <w:bookmarkStart w:id="11" w:name="page12"/>
    <w:bookmarkEnd w:id="11"/>
    <w:p>
      <w:pPr>
        <w:ind w:left="360"/>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98" w:lineRule="exact"/>
        <w:rPr>
          <w:sz w:val="20"/>
          <w:szCs w:val="20"/>
          <w:color w:val="auto"/>
        </w:rPr>
      </w:pPr>
    </w:p>
    <w:p>
      <w:pPr>
        <w:ind w:left="1080" w:right="559" w:hanging="345"/>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129" w:lineRule="exact"/>
        <w:rPr>
          <w:rFonts w:ascii="Arial" w:cs="Arial" w:eastAsia="Arial" w:hAnsi="Arial"/>
          <w:sz w:val="18"/>
          <w:szCs w:val="18"/>
          <w:color w:val="auto"/>
        </w:rPr>
      </w:pPr>
    </w:p>
    <w:p>
      <w:pPr>
        <w:jc w:val="both"/>
        <w:ind w:left="1080" w:right="559" w:hanging="345"/>
        <w:spacing w:after="0" w:line="25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Committee, cash dividends shall be automatically paid in cash and dividends payable in Corporation Stock shall be paid in the form of additional Restricted Stock.</w:t>
      </w:r>
    </w:p>
    <w:p>
      <w:pPr>
        <w:spacing w:after="0" w:line="147"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to the extent otherwise provided in the applicable Restricted Stock Agreement and (d) below, all shares still subject to restriction shall be forfeited by the Participant upon termination of a Participant’s employment for any reason.</w:t>
      </w:r>
    </w:p>
    <w:p>
      <w:pPr>
        <w:spacing w:after="0" w:line="154" w:lineRule="exact"/>
        <w:rPr>
          <w:rFonts w:ascii="Arial" w:cs="Arial" w:eastAsia="Arial" w:hAnsi="Arial"/>
          <w:sz w:val="18"/>
          <w:szCs w:val="18"/>
          <w:color w:val="auto"/>
        </w:rPr>
      </w:pPr>
    </w:p>
    <w:p>
      <w:pPr>
        <w:jc w:val="both"/>
        <w:ind w:left="1080" w:right="559" w:hanging="345"/>
        <w:spacing w:after="0" w:line="26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hardship or other special circumstances of a Participant whose employment is involuntarily terminated (other than for cause), the Committee may waive in whole or in part any or all remaining restrictions with respect to such Participant’s shares of Restricted Stock.</w:t>
      </w:r>
    </w:p>
    <w:p>
      <w:pPr>
        <w:spacing w:after="0" w:line="140" w:lineRule="exact"/>
        <w:rPr>
          <w:rFonts w:ascii="Arial" w:cs="Arial" w:eastAsia="Arial" w:hAnsi="Arial"/>
          <w:sz w:val="18"/>
          <w:szCs w:val="18"/>
          <w:color w:val="auto"/>
        </w:rPr>
      </w:pPr>
    </w:p>
    <w:p>
      <w:pPr>
        <w:ind w:left="1080" w:right="559" w:hanging="345"/>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29" w:lineRule="exact"/>
        <w:rPr>
          <w:rFonts w:ascii="Arial" w:cs="Arial" w:eastAsia="Arial" w:hAnsi="Arial"/>
          <w:sz w:val="18"/>
          <w:szCs w:val="18"/>
          <w:color w:val="auto"/>
        </w:rPr>
      </w:pPr>
    </w:p>
    <w:p>
      <w:pPr>
        <w:ind w:left="1080" w:hanging="345"/>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89"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Administration</w:t>
      </w:r>
      <w:r>
        <w:rPr>
          <w:rFonts w:ascii="Arial" w:cs="Arial" w:eastAsia="Arial" w:hAnsi="Arial"/>
          <w:sz w:val="18"/>
          <w:szCs w:val="18"/>
          <w:color w:val="auto"/>
        </w:rPr>
        <w:t>. Restricted Stock Units may be issued either alone or in addition to other Awards granted under the Plan. The Committee shall determine the Eligible Employees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employment with the Corporation or its Affiliates or such other factors or criteria as the Committee shall determine. The provisions of Restricted Stock Awards need not be the same with respect to each recipient.</w:t>
      </w:r>
    </w:p>
    <w:p>
      <w:pPr>
        <w:spacing w:after="0" w:line="149"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Form and Timing of Payment of Restricted Stock Units</w:t>
      </w:r>
      <w:r>
        <w:rPr>
          <w:rFonts w:ascii="Arial" w:cs="Arial" w:eastAsia="Arial" w:hAnsi="Arial"/>
          <w:sz w:val="18"/>
          <w:szCs w:val="18"/>
          <w:color w:val="auto"/>
        </w:rPr>
        <w:t>. Timing of payment of earned Restricted Stock Units shall be determined by the Committee at its sole discretion. The Committee,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IX. WITHHOLDING TAXES</w:t>
      </w:r>
    </w:p>
    <w:p>
      <w:pPr>
        <w:spacing w:after="0" w:line="202"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General Rule</w:t>
      </w:r>
      <w:r>
        <w:rPr>
          <w:rFonts w:ascii="Arial" w:cs="Arial" w:eastAsia="Arial" w:hAnsi="Arial"/>
          <w:sz w:val="17"/>
          <w:szCs w:val="17"/>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Committee may adopt from time to time, in shares of Delivered Stock) the entire amount or a portion of any taxes which the Corporation is required to withhold by reason of such exercise or lapse of restrictions, in such amount as the Committee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142"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Special Rule for Insiders</w:t>
      </w:r>
      <w:r>
        <w:rPr>
          <w:rFonts w:ascii="Arial" w:cs="Arial" w:eastAsia="Arial" w:hAnsi="Arial"/>
          <w:sz w:val="17"/>
          <w:szCs w:val="17"/>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GENERAL</w:t>
      </w:r>
    </w:p>
    <w:p>
      <w:pPr>
        <w:spacing w:after="0" w:line="202" w:lineRule="exact"/>
        <w:rPr>
          <w:sz w:val="20"/>
          <w:szCs w:val="20"/>
          <w:color w:val="auto"/>
        </w:rPr>
      </w:pPr>
    </w:p>
    <w:p>
      <w:pPr>
        <w:jc w:val="both"/>
        <w:ind w:right="559" w:firstLine="373"/>
        <w:spacing w:after="0" w:line="253"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Nontransferability</w:t>
      </w:r>
      <w:r>
        <w:rPr>
          <w:rFonts w:ascii="Arial" w:cs="Arial" w:eastAsia="Arial" w:hAnsi="Arial"/>
          <w:sz w:val="18"/>
          <w:szCs w:val="18"/>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57" w:lineRule="exact"/>
        <w:rPr>
          <w:sz w:val="20"/>
          <w:szCs w:val="20"/>
          <w:color w:val="auto"/>
        </w:rPr>
      </w:pPr>
    </w:p>
    <w:p>
      <w:pPr>
        <w:jc w:val="both"/>
        <w:ind w:right="559" w:firstLine="373"/>
        <w:spacing w:after="0" w:line="254"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General Restriction</w:t>
      </w:r>
      <w:r>
        <w:rPr>
          <w:rFonts w:ascii="Arial" w:cs="Arial" w:eastAsia="Arial" w:hAnsi="Arial"/>
          <w:sz w:val="18"/>
          <w:szCs w:val="18"/>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Committee shall have the right to rely on an opinion of its counsel as to whether any such listing, registration, qualification, consent or approval shall have been effected or obtained.</w:t>
      </w:r>
    </w:p>
    <w:p>
      <w:pPr>
        <w:spacing w:after="0" w:line="200" w:lineRule="exact"/>
        <w:rPr>
          <w:sz w:val="20"/>
          <w:szCs w:val="20"/>
          <w:color w:val="auto"/>
        </w:rPr>
      </w:pPr>
    </w:p>
    <w:p>
      <w:pPr>
        <w:spacing w:after="0" w:line="3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3" w:name="page14"/>
    <w:bookmarkEnd w:id="13"/>
    <w:p>
      <w:pPr>
        <w:jc w:val="both"/>
        <w:ind w:right="559" w:firstLine="373"/>
        <w:spacing w:after="0" w:line="259" w:lineRule="auto"/>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Effect of Termination of Employment, Disability or Death</w:t>
      </w:r>
      <w:r>
        <w:rPr>
          <w:rFonts w:ascii="Arial" w:cs="Arial" w:eastAsia="Arial" w:hAnsi="Arial"/>
          <w:sz w:val="18"/>
          <w:szCs w:val="18"/>
          <w:color w:val="auto"/>
        </w:rPr>
        <w:t>. Except as otherwise provided by the Committee upon any Award, all rights under any Stock Option granted to a Participant shall terminate and any Restricted Stock or Restricted Stock Unit granted to a Participant shall be forfeited on the date such Participant ceases to be employed by the Corporation or its subsidiaries, except that</w:t>
      </w:r>
    </w:p>
    <w:p>
      <w:pPr>
        <w:spacing w:after="0" w:line="160" w:lineRule="exact"/>
        <w:rPr>
          <w:sz w:val="20"/>
          <w:szCs w:val="20"/>
          <w:color w:val="auto"/>
        </w:rPr>
      </w:pPr>
    </w:p>
    <w:p>
      <w:pPr>
        <w:jc w:val="both"/>
        <w:ind w:left="1080" w:right="559" w:hanging="345"/>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147" w:lineRule="exact"/>
        <w:rPr>
          <w:rFonts w:ascii="Arial" w:cs="Arial" w:eastAsia="Arial" w:hAnsi="Arial"/>
          <w:sz w:val="18"/>
          <w:szCs w:val="18"/>
          <w:color w:val="auto"/>
        </w:rPr>
      </w:pPr>
    </w:p>
    <w:p>
      <w:pPr>
        <w:jc w:val="both"/>
        <w:ind w:left="1080" w:right="559" w:hanging="345"/>
        <w:spacing w:after="0" w:line="255"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Participant dies within 90 days after termination of employment by the Corporation or its Affiliates, other than for cause, any unexercised, unexpired Stock Options granted hereunder to the Participant and exercisable as of the date of such termination of employment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152" w:lineRule="exact"/>
        <w:rPr>
          <w:rFonts w:ascii="Arial" w:cs="Arial" w:eastAsia="Arial" w:hAnsi="Arial"/>
          <w:sz w:val="18"/>
          <w:szCs w:val="18"/>
          <w:color w:val="auto"/>
        </w:rPr>
      </w:pPr>
    </w:p>
    <w:p>
      <w:pPr>
        <w:jc w:val="both"/>
        <w:ind w:left="1080" w:right="559" w:hanging="345"/>
        <w:spacing w:after="0" w:line="297"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Participant’s employment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131" w:lineRule="exact"/>
        <w:rPr>
          <w:rFonts w:ascii="Arial" w:cs="Arial" w:eastAsia="Arial" w:hAnsi="Arial"/>
          <w:sz w:val="16"/>
          <w:szCs w:val="16"/>
          <w:color w:val="auto"/>
        </w:rPr>
      </w:pPr>
    </w:p>
    <w:p>
      <w:pPr>
        <w:jc w:val="both"/>
        <w:ind w:left="1080" w:right="559" w:hanging="345"/>
        <w:spacing w:after="0" w:line="25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Participant’s employment is terminated as a result of the Participant’s retirement (after age 55 with ten years of employment with the Corporation or an Affiliate or after age 65), any unexercised, unexpired Stock Options granted hereunder to the Participant shall continue to vest as provided in Section 6.05 hereof and any Stock Option that is or becomes vested may be exercised in whole or in part prior to the expiration date of such Stock Option; and</w:t>
      </w:r>
    </w:p>
    <w:p>
      <w:pPr>
        <w:spacing w:after="0" w:line="147" w:lineRule="exact"/>
        <w:rPr>
          <w:rFonts w:ascii="Arial" w:cs="Arial" w:eastAsia="Arial" w:hAnsi="Arial"/>
          <w:sz w:val="18"/>
          <w:szCs w:val="18"/>
          <w:color w:val="auto"/>
        </w:rPr>
      </w:pPr>
    </w:p>
    <w:p>
      <w:pPr>
        <w:jc w:val="both"/>
        <w:ind w:left="1080" w:right="559" w:hanging="345"/>
        <w:spacing w:after="0" w:line="279"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Participant’s employment is terminated by the Company or an Affiliate for any reason other than the Participant’s death, disability or retirement of the Participant or for cause, any unexercised, unexpired Stock Options granted hereunder and exercisable as of the date of such termination of employment shall be exercisable in whole or in part at any time within 90 days after such date of termination.</w:t>
      </w:r>
    </w:p>
    <w:p>
      <w:pPr>
        <w:spacing w:after="0" w:line="200" w:lineRule="exact"/>
        <w:rPr>
          <w:sz w:val="20"/>
          <w:szCs w:val="20"/>
          <w:color w:val="auto"/>
        </w:rPr>
      </w:pPr>
    </w:p>
    <w:p>
      <w:pPr>
        <w:spacing w:after="0" w:line="3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4" w:name="page15"/>
    <w:bookmarkEnd w:id="14"/>
    <w:p>
      <w:pPr>
        <w:jc w:val="both"/>
        <w:ind w:right="559"/>
        <w:spacing w:after="0" w:line="286" w:lineRule="auto"/>
        <w:rPr>
          <w:sz w:val="20"/>
          <w:szCs w:val="20"/>
          <w:color w:val="auto"/>
        </w:rPr>
      </w:pPr>
      <w:r>
        <w:rPr>
          <w:rFonts w:ascii="Arial" w:cs="Arial" w:eastAsia="Arial" w:hAnsi="Arial"/>
          <w:sz w:val="17"/>
          <w:szCs w:val="17"/>
          <w:color w:val="auto"/>
        </w:rPr>
        <w:t>If a Participant’s employment is terminated for cause (as determined by the Committee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125"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color w:val="auto"/>
        </w:rPr>
        <w:t xml:space="preserve">10.04 </w:t>
      </w:r>
      <w:r>
        <w:rPr>
          <w:rFonts w:ascii="Arial" w:cs="Arial" w:eastAsia="Arial" w:hAnsi="Arial"/>
          <w:sz w:val="17"/>
          <w:szCs w:val="17"/>
          <w:u w:val="single" w:color="auto"/>
          <w:color w:val="auto"/>
        </w:rPr>
        <w:t>Merger, Consolidation or Reorganization</w:t>
      </w:r>
      <w:r>
        <w:rPr>
          <w:rFonts w:ascii="Arial" w:cs="Arial" w:eastAsia="Arial" w:hAnsi="Arial"/>
          <w:sz w:val="17"/>
          <w:szCs w:val="17"/>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and Restricted Stock Units shall terminate (such that any Restricted Stock shall become fully transferable) immediately prior to any such merger or consolidation in which the Corporation is not the surviving corporation. The Committee may elect to cancel any then-unexercised Stock Options. If any Stock Option is canceled, the Corporation, or the corporation assuming the obligations of the Corporation hereunder, shall pay the Participant an amount of cash or stock, as determined by the Committee, equal to the Fair Market Value per share of the Corporation Stock immediately preceding such cancellation over the option price, multiplied by the number of shares subject to such cancelled Stock Option.</w:t>
      </w:r>
    </w:p>
    <w:p>
      <w:pPr>
        <w:spacing w:after="0" w:line="142"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 xml:space="preserve">10.05 </w:t>
      </w:r>
      <w:r>
        <w:rPr>
          <w:rFonts w:ascii="Arial" w:cs="Arial" w:eastAsia="Arial" w:hAnsi="Arial"/>
          <w:sz w:val="17"/>
          <w:szCs w:val="17"/>
          <w:u w:val="single" w:color="auto"/>
          <w:color w:val="auto"/>
        </w:rPr>
        <w:t>Expiration and Termination of the Plan</w:t>
      </w:r>
      <w:r>
        <w:rPr>
          <w:rFonts w:ascii="Arial" w:cs="Arial" w:eastAsia="Arial" w:hAnsi="Arial"/>
          <w:sz w:val="17"/>
          <w:szCs w:val="17"/>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144" w:lineRule="exact"/>
        <w:rPr>
          <w:sz w:val="20"/>
          <w:szCs w:val="20"/>
          <w:color w:val="auto"/>
        </w:rPr>
      </w:pPr>
    </w:p>
    <w:p>
      <w:pPr>
        <w:jc w:val="both"/>
        <w:ind w:right="559" w:firstLine="373"/>
        <w:spacing w:after="0" w:line="302"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Amendments</w:t>
      </w:r>
      <w:r>
        <w:rPr>
          <w:rFonts w:ascii="Arial" w:cs="Arial" w:eastAsia="Arial" w:hAnsi="Arial"/>
          <w:sz w:val="16"/>
          <w:szCs w:val="16"/>
          <w:color w:val="auto"/>
        </w:rPr>
        <w:t>. The Board may from time to time amend, modify, suspend or terminate the Plan; provided, however, that no such action shall (a) 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114"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130" w:lineRule="exact"/>
        <w:rPr>
          <w:sz w:val="20"/>
          <w:szCs w:val="20"/>
          <w:color w:val="auto"/>
        </w:rPr>
      </w:pPr>
    </w:p>
    <w:p>
      <w:pPr>
        <w:jc w:val="both"/>
        <w:ind w:right="559" w:firstLine="373"/>
        <w:spacing w:after="0" w:line="257" w:lineRule="auto"/>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161"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15" w:name="page16"/>
    <w:bookmarkEnd w:id="15"/>
    <w:p>
      <w:pPr>
        <w:jc w:val="both"/>
        <w:ind w:right="559" w:firstLine="373"/>
        <w:spacing w:after="0" w:line="277"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Section 409A Compliance</w:t>
      </w:r>
      <w:r>
        <w:rPr>
          <w:rFonts w:ascii="Arial" w:cs="Arial" w:eastAsia="Arial" w:hAnsi="Arial"/>
          <w:sz w:val="16"/>
          <w:szCs w:val="16"/>
          <w:color w:val="auto"/>
        </w:rPr>
        <w:t>. To the extent applicable, it is intended that the Plan and all Awards hereunder comply with the requirements of Section 409A of the Code, and the Plan and all Agreements shall be interpreted and applied by the Committee in a manner consistent with this intent in order to avoid the imposition of any additional tax under Section 409A of the Code. In the event that any provision of the Plan or an Agreement is determined by the Committee to not comply with the applicable requirements of Section 409A of the Code, the Committee shall have the authority to take such actions and to make such changes to the Plan or an Agreement as the Committee deems necessary to comply with such requirements, provided that no such action shall adversely affect any outstanding Award without the consent of the affected Participant.</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-12-</w:t>
      </w:r>
    </w:p>
    <w:sectPr>
      <w:pgSz w:w="11900" w:h="16838" w:orient="portrait"/>
      <w:cols w:equalWidth="0" w:num="1">
        <w:col w:w="9879"/>
      </w:cols>
      <w:pgMar w:left="58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6"/>
    </w:lvl>
  </w:abstractNum>
  <w:abstractNum w:abstractNumId="3">
    <w:nsid w:val="79E2A9E3"/>
    <w:multiLevelType w:val="hybridMultilevel"/>
    <w:lvl w:ilvl="0">
      <w:lvlJc w:val="left"/>
      <w:lvlText w:val="%1"/>
      <w:numFmt w:val="upperLetter"/>
      <w:start w:val="1"/>
    </w:lvl>
    <w:lvl w:ilvl="1">
      <w:lvlJc w:val="left"/>
      <w:lvlText w:val="(%2)"/>
      <w:numFmt w:val="lowerLetter"/>
      <w:start w:val="14"/>
    </w:lvl>
  </w:abstractNum>
  <w:abstractNum w:abstractNumId="4">
    <w:nsid w:val="7545E146"/>
    <w:multiLevelType w:val="hybridMultilevel"/>
    <w:lvl w:ilvl="0">
      <w:lvlJc w:val="left"/>
      <w:lvlText w:val="%1."/>
      <w:numFmt w:val="upperLetter"/>
      <w:start w:val="61"/>
    </w:lvl>
    <w:lvl w:ilvl="1">
      <w:lvlJc w:val="left"/>
      <w:lvlText w:val="%2"/>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2019-12-10T05:46:37Z</dcterms:created>
  <dcterms:modified xsi:type="dcterms:W3CDTF">2019-12-10T05:46:37Z</dcterms:modified>
</cp:coreProperties>
</file>