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8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2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1831975</wp:posOffset>
            </wp:positionH>
            <wp:positionV relativeFrom="paragraph">
              <wp:posOffset>-224155</wp:posOffset>
            </wp:positionV>
            <wp:extent cx="35845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584575" cy="8890"/>
                    </a:xfrm>
                    <a:prstGeom prst="rect">
                      <a:avLst/>
                    </a:prstGeom>
                    <a:noFill/>
                  </pic:spPr>
                </pic:pic>
              </a:graphicData>
            </a:graphic>
          </wp:anchor>
        </w:drawing>
        <w:drawing>
          <wp:anchor simplePos="0" relativeHeight="251657728" behindDoc="1" locked="0" layoutInCell="0" allowOverlap="1">
            <wp:simplePos x="0" y="0"/>
            <wp:positionH relativeFrom="column">
              <wp:posOffset>1849120</wp:posOffset>
            </wp:positionH>
            <wp:positionV relativeFrom="paragraph">
              <wp:posOffset>186690</wp:posOffset>
            </wp:positionV>
            <wp:extent cx="35502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ind w:left="680" w:right="800" w:hanging="645"/>
        <w:spacing w:after="0" w:line="256" w:lineRule="auto"/>
        <w:tabs>
          <w:tab w:leader="none" w:pos="6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January 31, 2013</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680" w:right="800" w:hanging="645"/>
        <w:spacing w:after="0" w:line="256" w:lineRule="auto"/>
        <w:tabs>
          <w:tab w:leader="none" w:pos="6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5" w:lineRule="exact"/>
        <w:rPr>
          <w:sz w:val="24"/>
          <w:szCs w:val="24"/>
          <w:color w:val="auto"/>
        </w:rPr>
      </w:pPr>
    </w:p>
    <w:p>
      <w:pPr>
        <w:ind w:left="3500"/>
        <w:spacing w:after="0"/>
        <w:tabs>
          <w:tab w:leader="none" w:pos="68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1-14959</w:t>
      </w:r>
    </w:p>
    <w:p>
      <w:pPr>
        <w:spacing w:after="0" w:line="33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BRADY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1849120</wp:posOffset>
            </wp:positionH>
            <wp:positionV relativeFrom="paragraph">
              <wp:posOffset>-302895</wp:posOffset>
            </wp:positionV>
            <wp:extent cx="35674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67430" cy="8890"/>
                    </a:xfrm>
                    <a:prstGeom prst="rect">
                      <a:avLst/>
                    </a:prstGeom>
                    <a:noFill/>
                  </pic:spPr>
                </pic:pic>
              </a:graphicData>
            </a:graphic>
          </wp:anchor>
        </w:drawing>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1849120</wp:posOffset>
            </wp:positionH>
            <wp:positionV relativeFrom="paragraph">
              <wp:posOffset>167640</wp:posOffset>
            </wp:positionV>
            <wp:extent cx="35502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tbl>
      <w:tblPr>
        <w:tblLayout w:type="fixed"/>
        <w:tblInd w:w="640" w:type="dxa"/>
        <w:tblCellMar>
          <w:top w:w="0" w:type="dxa"/>
          <w:left w:w="0" w:type="dxa"/>
          <w:bottom w:w="0" w:type="dxa"/>
          <w:right w:w="0" w:type="dxa"/>
        </w:tblCellMar>
      </w:tblPr>
      <w:tr>
        <w:trPr>
          <w:trHeight w:val="234"/>
        </w:trPr>
        <w:tc>
          <w:tcPr>
            <w:tcW w:w="6800" w:type="dxa"/>
            <w:vAlign w:val="bottom"/>
          </w:tcPr>
          <w:p>
            <w:pPr>
              <w:jc w:val="center"/>
              <w:ind w:right="2760"/>
              <w:spacing w:after="0"/>
              <w:rPr>
                <w:sz w:val="20"/>
                <w:szCs w:val="20"/>
                <w:color w:val="auto"/>
              </w:rPr>
            </w:pPr>
            <w:r>
              <w:rPr>
                <w:rFonts w:ascii="Arial" w:cs="Arial" w:eastAsia="Arial" w:hAnsi="Arial"/>
                <w:sz w:val="18"/>
                <w:szCs w:val="18"/>
                <w:b w:val="1"/>
                <w:bCs w:val="1"/>
                <w:color w:val="auto"/>
                <w:w w:val="88"/>
              </w:rPr>
              <w:t>Wisconsin</w:t>
            </w:r>
          </w:p>
        </w:tc>
        <w:tc>
          <w:tcPr>
            <w:tcW w:w="1240" w:type="dxa"/>
            <w:vAlign w:val="bottom"/>
          </w:tcPr>
          <w:p>
            <w:pPr>
              <w:jc w:val="right"/>
              <w:ind w:right="61"/>
              <w:spacing w:after="0"/>
              <w:rPr>
                <w:sz w:val="20"/>
                <w:szCs w:val="20"/>
                <w:color w:val="auto"/>
              </w:rPr>
            </w:pPr>
            <w:r>
              <w:rPr>
                <w:rFonts w:ascii="Arial" w:cs="Arial" w:eastAsia="Arial" w:hAnsi="Arial"/>
                <w:sz w:val="18"/>
                <w:szCs w:val="18"/>
                <w:b w:val="1"/>
                <w:bCs w:val="1"/>
                <w:color w:val="auto"/>
              </w:rPr>
              <w:t>39-0178960</w:t>
            </w:r>
          </w:p>
        </w:tc>
      </w:tr>
      <w:tr>
        <w:trPr>
          <w:trHeight w:val="180"/>
        </w:trPr>
        <w:tc>
          <w:tcPr>
            <w:tcW w:w="6800" w:type="dxa"/>
            <w:vAlign w:val="bottom"/>
          </w:tcPr>
          <w:p>
            <w:pPr>
              <w:jc w:val="center"/>
              <w:ind w:right="2760"/>
              <w:spacing w:after="0"/>
              <w:rPr>
                <w:sz w:val="20"/>
                <w:szCs w:val="20"/>
                <w:color w:val="auto"/>
              </w:rPr>
            </w:pPr>
            <w:r>
              <w:rPr>
                <w:rFonts w:ascii="Arial" w:cs="Arial" w:eastAsia="Arial" w:hAnsi="Arial"/>
                <w:sz w:val="14"/>
                <w:szCs w:val="14"/>
                <w:b w:val="1"/>
                <w:bCs w:val="1"/>
                <w:color w:val="auto"/>
                <w:w w:val="93"/>
              </w:rPr>
              <w:t>(State or other jurisdiction of</w:t>
            </w:r>
          </w:p>
        </w:tc>
        <w:tc>
          <w:tcPr>
            <w:tcW w:w="1240" w:type="dxa"/>
            <w:vAlign w:val="bottom"/>
          </w:tcPr>
          <w:p>
            <w:pPr>
              <w:jc w:val="center"/>
              <w:ind w:left="4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800" w:type="dxa"/>
            <w:vAlign w:val="bottom"/>
          </w:tcPr>
          <w:p>
            <w:pPr>
              <w:jc w:val="center"/>
              <w:ind w:right="2760"/>
              <w:spacing w:after="0"/>
              <w:rPr>
                <w:sz w:val="20"/>
                <w:szCs w:val="20"/>
                <w:color w:val="auto"/>
              </w:rPr>
            </w:pPr>
            <w:r>
              <w:rPr>
                <w:rFonts w:ascii="Arial" w:cs="Arial" w:eastAsia="Arial" w:hAnsi="Arial"/>
                <w:sz w:val="14"/>
                <w:szCs w:val="14"/>
                <w:b w:val="1"/>
                <w:bCs w:val="1"/>
                <w:color w:val="auto"/>
                <w:w w:val="94"/>
              </w:rPr>
              <w:t>incorporation or organization)</w:t>
            </w:r>
          </w:p>
        </w:tc>
        <w:tc>
          <w:tcPr>
            <w:tcW w:w="1240" w:type="dxa"/>
            <w:vAlign w:val="bottom"/>
          </w:tcPr>
          <w:p>
            <w:pPr>
              <w:jc w:val="center"/>
              <w:ind w:left="21"/>
              <w:spacing w:after="0"/>
              <w:rPr>
                <w:sz w:val="20"/>
                <w:szCs w:val="20"/>
                <w:color w:val="auto"/>
              </w:rPr>
            </w:pPr>
            <w:r>
              <w:rPr>
                <w:rFonts w:ascii="Arial" w:cs="Arial" w:eastAsia="Arial" w:hAnsi="Arial"/>
                <w:sz w:val="14"/>
                <w:szCs w:val="14"/>
                <w:b w:val="1"/>
                <w:bCs w:val="1"/>
                <w:color w:val="auto"/>
                <w:w w:val="96"/>
              </w:rPr>
              <w:t>Identification No.)</w:t>
            </w:r>
          </w:p>
        </w:tc>
      </w:tr>
      <w:tr>
        <w:trPr>
          <w:trHeight w:val="579"/>
        </w:trPr>
        <w:tc>
          <w:tcPr>
            <w:tcW w:w="6800" w:type="dxa"/>
            <w:vAlign w:val="bottom"/>
          </w:tcPr>
          <w:p>
            <w:pPr>
              <w:jc w:val="center"/>
              <w:ind w:right="2760"/>
              <w:spacing w:after="0"/>
              <w:rPr>
                <w:sz w:val="20"/>
                <w:szCs w:val="20"/>
                <w:color w:val="auto"/>
              </w:rPr>
            </w:pPr>
            <w:r>
              <w:rPr>
                <w:rFonts w:ascii="Arial" w:cs="Arial" w:eastAsia="Arial" w:hAnsi="Arial"/>
                <w:sz w:val="18"/>
                <w:szCs w:val="18"/>
                <w:b w:val="1"/>
                <w:bCs w:val="1"/>
                <w:color w:val="auto"/>
                <w:w w:val="89"/>
              </w:rPr>
              <w:t>6555 West Good Hope Road, Milwaukee, Wisconsin</w:t>
            </w:r>
          </w:p>
        </w:tc>
        <w:tc>
          <w:tcPr>
            <w:tcW w:w="1240" w:type="dxa"/>
            <w:vAlign w:val="bottom"/>
          </w:tcPr>
          <w:p>
            <w:pPr>
              <w:jc w:val="right"/>
              <w:ind w:right="261"/>
              <w:spacing w:after="0"/>
              <w:rPr>
                <w:sz w:val="20"/>
                <w:szCs w:val="20"/>
                <w:color w:val="auto"/>
              </w:rPr>
            </w:pPr>
            <w:r>
              <w:rPr>
                <w:rFonts w:ascii="Arial" w:cs="Arial" w:eastAsia="Arial" w:hAnsi="Arial"/>
                <w:sz w:val="18"/>
                <w:szCs w:val="18"/>
                <w:b w:val="1"/>
                <w:bCs w:val="1"/>
                <w:color w:val="auto"/>
              </w:rPr>
              <w:t>53223</w:t>
            </w:r>
          </w:p>
        </w:tc>
      </w:tr>
      <w:tr>
        <w:trPr>
          <w:trHeight w:val="218"/>
        </w:trPr>
        <w:tc>
          <w:tcPr>
            <w:tcW w:w="6800" w:type="dxa"/>
            <w:vAlign w:val="bottom"/>
          </w:tcPr>
          <w:p>
            <w:pPr>
              <w:jc w:val="center"/>
              <w:ind w:right="274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240" w:type="dxa"/>
            <w:vAlign w:val="bottom"/>
          </w:tcPr>
          <w:p>
            <w:pPr>
              <w:jc w:val="center"/>
              <w:ind w:left="21"/>
              <w:spacing w:after="0"/>
              <w:rPr>
                <w:sz w:val="20"/>
                <w:szCs w:val="20"/>
                <w:color w:val="auto"/>
              </w:rPr>
            </w:pPr>
            <w:r>
              <w:rPr>
                <w:rFonts w:ascii="Arial" w:cs="Arial" w:eastAsia="Arial" w:hAnsi="Arial"/>
                <w:sz w:val="14"/>
                <w:szCs w:val="14"/>
                <w:b w:val="1"/>
                <w:bCs w:val="1"/>
                <w:color w:val="auto"/>
                <w:w w:val="95"/>
              </w:rPr>
              <w:t>(Zip Code)</w:t>
            </w:r>
          </w:p>
        </w:tc>
      </w:tr>
      <w:tr>
        <w:trPr>
          <w:trHeight w:val="390"/>
        </w:trPr>
        <w:tc>
          <w:tcPr>
            <w:tcW w:w="6800" w:type="dxa"/>
            <w:vAlign w:val="bottom"/>
          </w:tcPr>
          <w:p>
            <w:pPr>
              <w:jc w:val="right"/>
              <w:ind w:right="1080"/>
              <w:spacing w:after="0"/>
              <w:rPr>
                <w:sz w:val="20"/>
                <w:szCs w:val="20"/>
                <w:color w:val="auto"/>
              </w:rPr>
            </w:pPr>
            <w:r>
              <w:rPr>
                <w:rFonts w:ascii="Arial" w:cs="Arial" w:eastAsia="Arial" w:hAnsi="Arial"/>
                <w:sz w:val="18"/>
                <w:szCs w:val="18"/>
                <w:b w:val="1"/>
                <w:bCs w:val="1"/>
                <w:color w:val="auto"/>
              </w:rPr>
              <w:t>(414) 358-6600</w:t>
            </w:r>
          </w:p>
        </w:tc>
        <w:tc>
          <w:tcPr>
            <w:tcW w:w="1240" w:type="dxa"/>
            <w:vAlign w:val="bottom"/>
          </w:tcPr>
          <w:p>
            <w:pPr>
              <w:spacing w:after="0"/>
              <w:rPr>
                <w:sz w:val="24"/>
                <w:szCs w:val="24"/>
                <w:color w:val="auto"/>
              </w:rPr>
            </w:pPr>
          </w:p>
        </w:tc>
      </w:tr>
      <w:tr>
        <w:trPr>
          <w:trHeight w:val="191"/>
        </w:trPr>
        <w:tc>
          <w:tcPr>
            <w:tcW w:w="6800" w:type="dxa"/>
            <w:vAlign w:val="bottom"/>
          </w:tcPr>
          <w:p>
            <w:pPr>
              <w:jc w:val="center"/>
              <w:ind w:left="326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24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1849120</wp:posOffset>
            </wp:positionH>
            <wp:positionV relativeFrom="paragraph">
              <wp:posOffset>179070</wp:posOffset>
            </wp:positionV>
            <wp:extent cx="35502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38"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7" w:lineRule="exact"/>
        <w:rPr>
          <w:sz w:val="24"/>
          <w:szCs w:val="24"/>
          <w:color w:val="auto"/>
        </w:rPr>
      </w:pPr>
    </w:p>
    <w:p>
      <w:pPr>
        <w:ind w:right="2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7"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29" w:right="239" w:bottom="1440" w:gutter="0" w:footer="0" w:header="0"/>
        </w:sectPr>
      </w:pPr>
    </w:p>
    <w:p>
      <w:pPr>
        <w:spacing w:after="0" w:line="200" w:lineRule="exact"/>
        <w:rPr>
          <w:sz w:val="24"/>
          <w:szCs w:val="24"/>
          <w:color w:val="auto"/>
        </w:rPr>
      </w:pPr>
    </w:p>
    <w:p>
      <w:pPr>
        <w:spacing w:after="0" w:line="271" w:lineRule="exact"/>
        <w:rPr>
          <w:sz w:val="24"/>
          <w:szCs w:val="24"/>
          <w:color w:val="auto"/>
        </w:rPr>
      </w:pPr>
    </w:p>
    <w:p>
      <w:pPr>
        <w:ind w:left="40"/>
        <w:spacing w:after="0"/>
        <w:rPr>
          <w:sz w:val="20"/>
          <w:szCs w:val="20"/>
          <w:color w:val="auto"/>
        </w:rPr>
      </w:pPr>
      <w:r>
        <w:rPr>
          <w:rFonts w:ascii="Arial" w:cs="Arial" w:eastAsia="Arial" w:hAnsi="Arial"/>
          <w:sz w:val="12"/>
          <w:szCs w:val="12"/>
          <w:color w:val="auto"/>
        </w:rPr>
        <w:t>Large accelerated filer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0"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1" w:lineRule="exact"/>
        <w:rPr>
          <w:sz w:val="24"/>
          <w:szCs w:val="24"/>
          <w:color w:val="auto"/>
        </w:rPr>
      </w:pPr>
    </w:p>
    <w:p>
      <w:pPr>
        <w:spacing w:after="0"/>
        <w:rPr>
          <w:sz w:val="20"/>
          <w:szCs w:val="20"/>
          <w:color w:val="auto"/>
        </w:rPr>
      </w:pPr>
      <w:r>
        <w:rPr>
          <w:rFonts w:ascii="Arial" w:cs="Arial" w:eastAsia="Arial" w:hAnsi="Arial"/>
          <w:sz w:val="13"/>
          <w:szCs w:val="13"/>
          <w:color w:val="auto"/>
        </w:rPr>
        <w:t>Accelerated filer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0"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70" w:lineRule="exact"/>
        <w:rPr>
          <w:sz w:val="24"/>
          <w:szCs w:val="24"/>
          <w:color w:val="auto"/>
        </w:rPr>
      </w:pPr>
    </w:p>
    <w:p>
      <w:pPr>
        <w:sectPr>
          <w:pgSz w:w="11900" w:h="16838" w:orient="portrait"/>
          <w:cols w:equalWidth="0" w:num="4">
            <w:col w:w="1360" w:space="720"/>
            <w:col w:w="5260" w:space="720"/>
            <w:col w:w="1600" w:space="720"/>
            <w:col w:w="1040"/>
          </w:cols>
          <w:pgMar w:left="240" w:top="229" w:right="239" w:bottom="1440" w:gutter="0" w:footer="0" w:header="0"/>
          <w:type w:val="continuous"/>
        </w:sectPr>
      </w:pPr>
    </w:p>
    <w:p>
      <w:pPr>
        <w:spacing w:after="0" w:line="204" w:lineRule="exact"/>
        <w:rPr>
          <w:sz w:val="24"/>
          <w:szCs w:val="24"/>
          <w:color w:val="auto"/>
        </w:rPr>
      </w:pPr>
    </w:p>
    <w:p>
      <w:pPr>
        <w:ind w:left="40"/>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143"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line="143"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31" w:lineRule="exact"/>
        <w:rPr>
          <w:sz w:val="24"/>
          <w:szCs w:val="24"/>
          <w:color w:val="auto"/>
        </w:rPr>
      </w:pPr>
    </w:p>
    <w:p>
      <w:pPr>
        <w:sectPr>
          <w:pgSz w:w="11900" w:h="16838" w:orient="portrait"/>
          <w:cols w:equalWidth="0" w:num="4">
            <w:col w:w="1360" w:space="720"/>
            <w:col w:w="5260" w:space="720"/>
            <w:col w:w="1600" w:space="720"/>
            <w:col w:w="1040"/>
          </w:cols>
          <w:pgMar w:left="240" w:top="229" w:right="239" w:bottom="1440" w:gutter="0" w:footer="0" w:header="0"/>
          <w:type w:val="continuous"/>
        </w:sectPr>
      </w:pPr>
    </w:p>
    <w:p>
      <w:pPr>
        <w:spacing w:after="0" w:line="27"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2"/>
          <w:szCs w:val="12"/>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31" w:lineRule="exact"/>
        <w:rPr>
          <w:sz w:val="24"/>
          <w:szCs w:val="24"/>
          <w:color w:val="auto"/>
        </w:rPr>
      </w:pPr>
    </w:p>
    <w:p>
      <w:pPr>
        <w:sectPr>
          <w:pgSz w:w="11900" w:h="16838" w:orient="portrait"/>
          <w:cols w:equalWidth="0" w:num="5">
            <w:col w:w="6540" w:space="140"/>
            <w:col w:w="220" w:space="60"/>
            <w:col w:w="140" w:space="140"/>
            <w:col w:w="180" w:space="80"/>
            <w:col w:w="3920"/>
          </w:cols>
          <w:pgMar w:left="240" w:top="229" w:right="239" w:bottom="1440" w:gutter="0" w:footer="0" w:header="0"/>
          <w:type w:val="continuous"/>
        </w:sectPr>
      </w:pPr>
    </w:p>
    <w:p>
      <w:pPr>
        <w:ind w:left="4220"/>
        <w:spacing w:after="0"/>
        <w:rPr>
          <w:sz w:val="20"/>
          <w:szCs w:val="20"/>
          <w:color w:val="auto"/>
        </w:rPr>
      </w:pPr>
      <w:r>
        <w:rPr>
          <w:rFonts w:ascii="Arial" w:cs="Arial" w:eastAsia="Arial" w:hAnsi="Arial"/>
          <w:sz w:val="14"/>
          <w:szCs w:val="14"/>
          <w:color w:val="auto"/>
        </w:rPr>
        <w:t>APPLICABLE ONLY TO CORPORATE ISSUERS</w:t>
      </w:r>
    </w:p>
    <w:p>
      <w:pPr>
        <w:spacing w:after="0" w:line="163" w:lineRule="exact"/>
        <w:rPr>
          <w:sz w:val="24"/>
          <w:szCs w:val="24"/>
          <w:color w:val="auto"/>
        </w:rPr>
      </w:pPr>
    </w:p>
    <w:p>
      <w:pPr>
        <w:spacing w:after="0"/>
        <w:rPr>
          <w:sz w:val="20"/>
          <w:szCs w:val="20"/>
          <w:color w:val="auto"/>
        </w:rPr>
      </w:pPr>
      <w:r>
        <w:rPr>
          <w:rFonts w:ascii="Arial" w:cs="Arial" w:eastAsia="Arial" w:hAnsi="Arial"/>
          <w:sz w:val="14"/>
          <w:szCs w:val="14"/>
          <w:color w:val="auto"/>
        </w:rPr>
        <w:t>Indicate the number of shares outstanding of each of the issuer’s classes of common stock, as of the latest practicable date.</w:t>
      </w:r>
    </w:p>
    <w:p>
      <w:pPr>
        <w:spacing w:after="0" w:line="163"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As of March 6, 2013, there were 47,823,642 outstanding shares of Class A Nonvoting Common Stock and 3,538,628 shares of Class B Voting Common Stock. The Class B Voting Common Stock, all of which is held by affiliates of the Registrant, is the only voting stock.</w:t>
      </w:r>
    </w:p>
    <w:p>
      <w:pPr>
        <w:sectPr>
          <w:pgSz w:w="11900" w:h="16838" w:orient="portrait"/>
          <w:cols w:equalWidth="0" w:num="1">
            <w:col w:w="11420"/>
          </w:cols>
          <w:pgMar w:left="240" w:top="229" w:right="239" w:bottom="1440" w:gutter="0" w:footer="0" w:header="0"/>
          <w:type w:val="continuous"/>
        </w:sectPr>
      </w:pPr>
    </w:p>
    <w:bookmarkStart w:id="1" w:name="page2"/>
    <w:bookmarkEnd w:id="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60" w:type="dxa"/>
            <w:vAlign w:val="bottom"/>
            <w:gridSpan w:val="2"/>
          </w:tcPr>
          <w:p>
            <w:pPr>
              <w:jc w:val="center"/>
              <w:ind w:right="3580"/>
              <w:spacing w:after="0"/>
              <w:rPr>
                <w:sz w:val="20"/>
                <w:szCs w:val="20"/>
                <w:color w:val="auto"/>
              </w:rPr>
            </w:pPr>
            <w:r>
              <w:rPr>
                <w:rFonts w:ascii="Arial" w:cs="Arial" w:eastAsia="Arial" w:hAnsi="Arial"/>
                <w:sz w:val="18"/>
                <w:szCs w:val="18"/>
                <w:color w:val="auto"/>
                <w:w w:val="93"/>
              </w:rPr>
              <w:t>FORM 10-Q</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560" w:type="dxa"/>
            <w:vAlign w:val="bottom"/>
            <w:gridSpan w:val="4"/>
          </w:tcPr>
          <w:p>
            <w:pPr>
              <w:jc w:val="center"/>
              <w:ind w:right="2900"/>
              <w:spacing w:after="0"/>
              <w:rPr>
                <w:sz w:val="20"/>
                <w:szCs w:val="20"/>
                <w:color w:val="auto"/>
              </w:rPr>
            </w:pPr>
            <w:r>
              <w:rPr>
                <w:rFonts w:ascii="Arial" w:cs="Arial" w:eastAsia="Arial" w:hAnsi="Arial"/>
                <w:sz w:val="18"/>
                <w:szCs w:val="18"/>
                <w:color w:val="auto"/>
                <w:w w:val="96"/>
              </w:rPr>
              <w:t>BRADY CORPORATION</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60" w:type="dxa"/>
            <w:vAlign w:val="bottom"/>
            <w:gridSpan w:val="2"/>
          </w:tcPr>
          <w:p>
            <w:pPr>
              <w:jc w:val="center"/>
              <w:ind w:right="3580"/>
              <w:spacing w:after="0"/>
              <w:rPr>
                <w:sz w:val="20"/>
                <w:szCs w:val="20"/>
                <w:color w:val="auto"/>
              </w:rPr>
            </w:pPr>
            <w:r>
              <w:rPr>
                <w:rFonts w:ascii="Arial" w:cs="Arial" w:eastAsia="Arial" w:hAnsi="Arial"/>
                <w:sz w:val="18"/>
                <w:szCs w:val="18"/>
                <w:color w:val="auto"/>
              </w:rPr>
              <w:t>INDEX</w:t>
            </w: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844"/>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480" w:type="dxa"/>
            <w:vAlign w:val="bottom"/>
            <w:tcBorders>
              <w:bottom w:val="single" w:sz="8" w:color="auto"/>
            </w:tcBorders>
            <w:gridSpan w:val="4"/>
          </w:tcPr>
          <w:p>
            <w:pPr>
              <w:ind w:left="600"/>
              <w:spacing w:after="0"/>
              <w:rPr>
                <w:sz w:val="20"/>
                <w:szCs w:val="20"/>
                <w:color w:val="auto"/>
              </w:rPr>
            </w:pPr>
            <w:r>
              <w:rPr>
                <w:rFonts w:ascii="Arial" w:cs="Arial" w:eastAsia="Arial" w:hAnsi="Arial"/>
                <w:sz w:val="14"/>
                <w:szCs w:val="14"/>
                <w:color w:val="auto"/>
              </w:rPr>
              <w:t>Page</w:t>
            </w:r>
          </w:p>
        </w:tc>
      </w:tr>
      <w:tr>
        <w:trPr>
          <w:trHeight w:val="196"/>
        </w:trPr>
        <w:tc>
          <w:tcPr>
            <w:tcW w:w="2460" w:type="dxa"/>
            <w:vAlign w:val="bottom"/>
            <w:tcBorders>
              <w:bottom w:val="single" w:sz="8" w:color="0000FF"/>
            </w:tcBorders>
            <w:gridSpan w:val="9"/>
          </w:tcPr>
          <w:p>
            <w:pPr>
              <w:spacing w:after="0" w:line="170" w:lineRule="exact"/>
              <w:rPr>
                <w:rFonts w:ascii="Arial" w:cs="Arial" w:eastAsia="Arial" w:hAnsi="Arial"/>
                <w:sz w:val="18"/>
                <w:szCs w:val="18"/>
                <w:color w:val="0000FF"/>
              </w:rPr>
            </w:pPr>
            <w:hyperlink w:anchor="page2">
              <w:r>
                <w:rPr>
                  <w:rFonts w:ascii="Arial" w:cs="Arial" w:eastAsia="Arial" w:hAnsi="Arial"/>
                  <w:sz w:val="18"/>
                  <w:szCs w:val="18"/>
                  <w:color w:val="0000FF"/>
                </w:rPr>
                <w:t>PART I. Financial Information</w:t>
              </w:r>
            </w:hyperlink>
          </w:p>
        </w:tc>
        <w:tc>
          <w:tcPr>
            <w:tcW w:w="7440" w:type="dxa"/>
            <w:vAlign w:val="bottom"/>
            <w:gridSpan w:val="9"/>
          </w:tcPr>
          <w:p>
            <w:pPr>
              <w:spacing w:after="0"/>
              <w:rPr>
                <w:sz w:val="17"/>
                <w:szCs w:val="17"/>
                <w:color w:val="auto"/>
              </w:rPr>
            </w:pPr>
          </w:p>
        </w:tc>
        <w:tc>
          <w:tcPr>
            <w:tcW w:w="136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line="170" w:lineRule="exact"/>
              <w:rPr>
                <w:rFonts w:ascii="Arial" w:cs="Arial" w:eastAsia="Arial" w:hAnsi="Arial"/>
                <w:sz w:val="18"/>
                <w:szCs w:val="18"/>
                <w:color w:val="0000FF"/>
                <w:w w:val="79"/>
              </w:rPr>
            </w:pPr>
            <w:hyperlink w:anchor="page2">
              <w:r>
                <w:rPr>
                  <w:rFonts w:ascii="Arial" w:cs="Arial" w:eastAsia="Arial" w:hAnsi="Arial"/>
                  <w:sz w:val="18"/>
                  <w:szCs w:val="18"/>
                  <w:color w:val="0000FF"/>
                  <w:w w:val="79"/>
                </w:rPr>
                <w:t>3</w:t>
              </w:r>
            </w:hyperlink>
          </w:p>
        </w:tc>
        <w:tc>
          <w:tcPr>
            <w:tcW w:w="20" w:type="dxa"/>
            <w:vAlign w:val="bottom"/>
          </w:tcPr>
          <w:p>
            <w:pPr>
              <w:spacing w:after="0"/>
              <w:rPr>
                <w:sz w:val="17"/>
                <w:szCs w:val="17"/>
                <w:color w:val="auto"/>
              </w:rPr>
            </w:pPr>
          </w:p>
        </w:tc>
      </w:tr>
      <w:tr>
        <w:trPr>
          <w:trHeight w:val="257"/>
        </w:trPr>
        <w:tc>
          <w:tcPr>
            <w:tcW w:w="140" w:type="dxa"/>
            <w:vAlign w:val="bottom"/>
          </w:tcPr>
          <w:p>
            <w:pPr>
              <w:spacing w:after="0"/>
              <w:rPr>
                <w:sz w:val="22"/>
                <w:szCs w:val="22"/>
                <w:color w:val="auto"/>
              </w:rPr>
            </w:pPr>
          </w:p>
        </w:tc>
        <w:tc>
          <w:tcPr>
            <w:tcW w:w="9760" w:type="dxa"/>
            <w:vAlign w:val="bottom"/>
            <w:gridSpan w:val="17"/>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Item 1. Financial Statements (Unaudited)</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1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560" w:type="dxa"/>
            <w:vAlign w:val="bottom"/>
            <w:gridSpan w:val="16"/>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Balance Sheets</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20" w:type="dxa"/>
            <w:vAlign w:val="bottom"/>
            <w:tcBorders>
              <w:bottom w:val="single" w:sz="8" w:color="0000FF"/>
            </w:tcBorders>
            <w:gridSpan w:val="10"/>
          </w:tcPr>
          <w:p>
            <w:pPr>
              <w:spacing w:after="0"/>
              <w:rPr>
                <w:rFonts w:ascii="Arial" w:cs="Arial" w:eastAsia="Arial" w:hAnsi="Arial"/>
                <w:sz w:val="18"/>
                <w:szCs w:val="18"/>
                <w:color w:val="0000FF"/>
                <w:w w:val="88"/>
              </w:rPr>
            </w:pPr>
            <w:hyperlink w:anchor="page3">
              <w:r>
                <w:rPr>
                  <w:rFonts w:ascii="Arial" w:cs="Arial" w:eastAsia="Arial" w:hAnsi="Arial"/>
                  <w:sz w:val="18"/>
                  <w:szCs w:val="18"/>
                  <w:color w:val="0000FF"/>
                  <w:w w:val="88"/>
                </w:rPr>
                <w:t>Condensed Consolidated Statements of Income</w:t>
              </w:r>
            </w:hyperlink>
          </w:p>
        </w:tc>
        <w:tc>
          <w:tcPr>
            <w:tcW w:w="6140" w:type="dxa"/>
            <w:vAlign w:val="bottom"/>
            <w:gridSpan w:val="6"/>
          </w:tcPr>
          <w:p>
            <w:pPr>
              <w:spacing w:after="0"/>
              <w:rPr>
                <w:sz w:val="21"/>
                <w:szCs w:val="21"/>
                <w:color w:val="auto"/>
              </w:rPr>
            </w:pPr>
          </w:p>
        </w:tc>
        <w:tc>
          <w:tcPr>
            <w:tcW w:w="136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4</w:t>
              </w:r>
            </w:hyperlink>
          </w:p>
        </w:tc>
        <w:tc>
          <w:tcPr>
            <w:tcW w:w="2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0" w:type="dxa"/>
            <w:vAlign w:val="bottom"/>
            <w:tcBorders>
              <w:bottom w:val="single" w:sz="8" w:color="0000FF"/>
            </w:tcBorders>
            <w:gridSpan w:val="13"/>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Condensed Consolidated Statements of Comprehensive Income</w:t>
              </w:r>
            </w:hyperlink>
          </w:p>
        </w:tc>
        <w:tc>
          <w:tcPr>
            <w:tcW w:w="4960" w:type="dxa"/>
            <w:vAlign w:val="bottom"/>
            <w:gridSpan w:val="3"/>
          </w:tcPr>
          <w:p>
            <w:pPr>
              <w:spacing w:after="0"/>
              <w:rPr>
                <w:sz w:val="21"/>
                <w:szCs w:val="21"/>
                <w:color w:val="auto"/>
              </w:rPr>
            </w:pPr>
          </w:p>
        </w:tc>
        <w:tc>
          <w:tcPr>
            <w:tcW w:w="136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5</w:t>
              </w:r>
            </w:hyperlink>
          </w:p>
        </w:tc>
        <w:tc>
          <w:tcPr>
            <w:tcW w:w="2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560" w:type="dxa"/>
            <w:vAlign w:val="bottom"/>
            <w:gridSpan w:val="16"/>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Statements of Cash Flows</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6</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60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560" w:type="dxa"/>
            <w:vAlign w:val="bottom"/>
            <w:gridSpan w:val="16"/>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Notes to Condensed Consolidated Financial Statements</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7</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880" w:type="dxa"/>
            <w:vAlign w:val="bottom"/>
            <w:gridSpan w:val="5"/>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520" w:type="dxa"/>
            <w:vAlign w:val="bottom"/>
            <w:gridSpan w:val="2"/>
          </w:tcPr>
          <w:p>
            <w:pPr>
              <w:spacing w:after="0"/>
              <w:rPr>
                <w:rFonts w:ascii="Arial" w:cs="Arial" w:eastAsia="Arial" w:hAnsi="Arial"/>
                <w:sz w:val="18"/>
                <w:szCs w:val="18"/>
                <w:color w:val="0000FF"/>
                <w:w w:val="90"/>
              </w:rPr>
            </w:pPr>
            <w:hyperlink w:anchor="page19">
              <w:r>
                <w:rPr>
                  <w:rFonts w:ascii="Arial" w:cs="Arial" w:eastAsia="Arial" w:hAnsi="Arial"/>
                  <w:sz w:val="18"/>
                  <w:szCs w:val="18"/>
                  <w:color w:val="0000FF"/>
                  <w:w w:val="90"/>
                </w:rPr>
                <w:t>Item 2.</w:t>
              </w:r>
            </w:hyperlink>
          </w:p>
        </w:tc>
        <w:tc>
          <w:tcPr>
            <w:tcW w:w="9240" w:type="dxa"/>
            <w:vAlign w:val="bottom"/>
            <w:gridSpan w:val="15"/>
          </w:tcPr>
          <w:p>
            <w:pPr>
              <w:ind w:left="20"/>
              <w:spacing w:after="0"/>
              <w:rPr>
                <w:rFonts w:ascii="Arial" w:cs="Arial" w:eastAsia="Arial" w:hAnsi="Arial"/>
                <w:sz w:val="18"/>
                <w:szCs w:val="18"/>
                <w:color w:val="0000FF"/>
              </w:rPr>
            </w:pPr>
            <w:hyperlink w:anchor="page19">
              <w:r>
                <w:rPr>
                  <w:rFonts w:ascii="Arial" w:cs="Arial" w:eastAsia="Arial" w:hAnsi="Arial"/>
                  <w:sz w:val="18"/>
                  <w:szCs w:val="18"/>
                  <w:color w:val="0000FF"/>
                </w:rPr>
                <w:t>Management’s Discussion and Analysis of Financial Condition and Results of Operations</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19">
              <w:r>
                <w:rPr>
                  <w:rFonts w:ascii="Arial" w:cs="Arial" w:eastAsia="Arial" w:hAnsi="Arial"/>
                  <w:sz w:val="18"/>
                  <w:szCs w:val="18"/>
                  <w:color w:val="0000FF"/>
                </w:rPr>
                <w:t>20</w:t>
              </w:r>
            </w:hyperlink>
          </w:p>
        </w:tc>
      </w:tr>
      <w:tr>
        <w:trPr>
          <w:trHeight w:val="20"/>
        </w:trPr>
        <w:tc>
          <w:tcPr>
            <w:tcW w:w="14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580" w:type="dxa"/>
            <w:vAlign w:val="bottom"/>
            <w:gridSpan w:val="7"/>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520" w:type="dxa"/>
            <w:vAlign w:val="bottom"/>
            <w:gridSpan w:val="2"/>
          </w:tcPr>
          <w:p>
            <w:pPr>
              <w:spacing w:after="0"/>
              <w:rPr>
                <w:rFonts w:ascii="Arial" w:cs="Arial" w:eastAsia="Arial" w:hAnsi="Arial"/>
                <w:sz w:val="18"/>
                <w:szCs w:val="18"/>
                <w:color w:val="0000FF"/>
                <w:w w:val="90"/>
              </w:rPr>
            </w:pPr>
            <w:hyperlink w:anchor="page31">
              <w:r>
                <w:rPr>
                  <w:rFonts w:ascii="Arial" w:cs="Arial" w:eastAsia="Arial" w:hAnsi="Arial"/>
                  <w:sz w:val="18"/>
                  <w:szCs w:val="18"/>
                  <w:color w:val="0000FF"/>
                  <w:w w:val="90"/>
                </w:rPr>
                <w:t>Item 3.</w:t>
              </w:r>
            </w:hyperlink>
          </w:p>
        </w:tc>
        <w:tc>
          <w:tcPr>
            <w:tcW w:w="6480" w:type="dxa"/>
            <w:vAlign w:val="bottom"/>
            <w:gridSpan w:val="14"/>
          </w:tcPr>
          <w:p>
            <w:pPr>
              <w:ind w:left="20"/>
              <w:spacing w:after="0"/>
              <w:rPr>
                <w:rFonts w:ascii="Arial" w:cs="Arial" w:eastAsia="Arial" w:hAnsi="Arial"/>
                <w:sz w:val="18"/>
                <w:szCs w:val="18"/>
                <w:color w:val="0000FF"/>
              </w:rPr>
            </w:pPr>
            <w:hyperlink w:anchor="page31">
              <w:r>
                <w:rPr>
                  <w:rFonts w:ascii="Arial" w:cs="Arial" w:eastAsia="Arial" w:hAnsi="Arial"/>
                  <w:sz w:val="18"/>
                  <w:szCs w:val="18"/>
                  <w:color w:val="0000FF"/>
                </w:rPr>
                <w:t>Quantitative and Qualitative Disclosures About Market Risk</w:t>
              </w:r>
            </w:hyperlink>
          </w:p>
        </w:tc>
        <w:tc>
          <w:tcPr>
            <w:tcW w:w="2760" w:type="dxa"/>
            <w:vAlign w:val="bottom"/>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31">
              <w:r>
                <w:rPr>
                  <w:rFonts w:ascii="Arial" w:cs="Arial" w:eastAsia="Arial" w:hAnsi="Arial"/>
                  <w:sz w:val="18"/>
                  <w:szCs w:val="18"/>
                  <w:color w:val="0000FF"/>
                </w:rPr>
                <w:t>32</w:t>
              </w:r>
            </w:hyperlink>
          </w:p>
        </w:tc>
      </w:tr>
      <w:tr>
        <w:trPr>
          <w:trHeight w:val="20"/>
        </w:trPr>
        <w:tc>
          <w:tcPr>
            <w:tcW w:w="14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580" w:type="dxa"/>
            <w:vAlign w:val="bottom"/>
            <w:gridSpan w:val="7"/>
            <w:shd w:val="clear" w:color="auto" w:fill="0000FF"/>
          </w:tcPr>
          <w:p>
            <w:pPr>
              <w:spacing w:after="0" w:line="20" w:lineRule="exact"/>
              <w:rPr>
                <w:sz w:val="1"/>
                <w:szCs w:val="1"/>
                <w:color w:val="auto"/>
              </w:rPr>
            </w:pPr>
          </w:p>
        </w:tc>
        <w:tc>
          <w:tcPr>
            <w:tcW w:w="486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520" w:type="dxa"/>
            <w:vAlign w:val="bottom"/>
            <w:gridSpan w:val="2"/>
          </w:tcPr>
          <w:p>
            <w:pPr>
              <w:spacing w:after="0"/>
              <w:rPr>
                <w:rFonts w:ascii="Arial" w:cs="Arial" w:eastAsia="Arial" w:hAnsi="Arial"/>
                <w:sz w:val="18"/>
                <w:szCs w:val="18"/>
                <w:color w:val="0000FF"/>
                <w:w w:val="90"/>
              </w:rPr>
            </w:pPr>
            <w:hyperlink w:anchor="page32">
              <w:r>
                <w:rPr>
                  <w:rFonts w:ascii="Arial" w:cs="Arial" w:eastAsia="Arial" w:hAnsi="Arial"/>
                  <w:sz w:val="18"/>
                  <w:szCs w:val="18"/>
                  <w:color w:val="0000FF"/>
                  <w:w w:val="90"/>
                </w:rPr>
                <w:t>Item 4.</w:t>
              </w:r>
            </w:hyperlink>
          </w:p>
        </w:tc>
        <w:tc>
          <w:tcPr>
            <w:tcW w:w="1800" w:type="dxa"/>
            <w:vAlign w:val="bottom"/>
            <w:gridSpan w:val="6"/>
          </w:tcPr>
          <w:p>
            <w:pPr>
              <w:ind w:left="20"/>
              <w:spacing w:after="0"/>
              <w:rPr>
                <w:rFonts w:ascii="Arial" w:cs="Arial" w:eastAsia="Arial" w:hAnsi="Arial"/>
                <w:sz w:val="18"/>
                <w:szCs w:val="18"/>
                <w:color w:val="0000FF"/>
                <w:w w:val="88"/>
              </w:rPr>
            </w:pPr>
            <w:hyperlink w:anchor="page32">
              <w:r>
                <w:rPr>
                  <w:rFonts w:ascii="Arial" w:cs="Arial" w:eastAsia="Arial" w:hAnsi="Arial"/>
                  <w:sz w:val="18"/>
                  <w:szCs w:val="18"/>
                  <w:color w:val="0000FF"/>
                  <w:w w:val="88"/>
                </w:rPr>
                <w:t>Controls and Procedures</w:t>
              </w:r>
            </w:hyperlink>
          </w:p>
        </w:tc>
        <w:tc>
          <w:tcPr>
            <w:tcW w:w="2580" w:type="dxa"/>
            <w:vAlign w:val="bottom"/>
            <w:gridSpan w:val="7"/>
          </w:tcPr>
          <w:p>
            <w:pPr>
              <w:spacing w:after="0"/>
              <w:rPr>
                <w:sz w:val="21"/>
                <w:szCs w:val="21"/>
                <w:color w:val="auto"/>
              </w:rPr>
            </w:pPr>
          </w:p>
        </w:tc>
        <w:tc>
          <w:tcPr>
            <w:tcW w:w="4860" w:type="dxa"/>
            <w:vAlign w:val="bottom"/>
            <w:gridSpan w:val="2"/>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32">
              <w:r>
                <w:rPr>
                  <w:rFonts w:ascii="Arial" w:cs="Arial" w:eastAsia="Arial" w:hAnsi="Arial"/>
                  <w:sz w:val="18"/>
                  <w:szCs w:val="18"/>
                  <w:color w:val="0000FF"/>
                </w:rPr>
                <w:t>33</w:t>
              </w:r>
            </w:hyperlink>
          </w:p>
        </w:tc>
      </w:tr>
      <w:tr>
        <w:trPr>
          <w:trHeight w:val="20"/>
        </w:trPr>
        <w:tc>
          <w:tcPr>
            <w:tcW w:w="140" w:type="dxa"/>
            <w:vAlign w:val="bottom"/>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7440" w:type="dxa"/>
            <w:vAlign w:val="bottom"/>
            <w:gridSpan w:val="9"/>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00" w:type="dxa"/>
            <w:vAlign w:val="bottom"/>
            <w:gridSpan w:val="7"/>
          </w:tcPr>
          <w:p>
            <w:pPr>
              <w:spacing w:after="0"/>
              <w:rPr>
                <w:rFonts w:ascii="Arial" w:cs="Arial" w:eastAsia="Arial" w:hAnsi="Arial"/>
                <w:sz w:val="18"/>
                <w:szCs w:val="18"/>
                <w:color w:val="0000FF"/>
                <w:w w:val="92"/>
              </w:rPr>
            </w:pPr>
            <w:hyperlink w:anchor="page33">
              <w:r>
                <w:rPr>
                  <w:rFonts w:ascii="Arial" w:cs="Arial" w:eastAsia="Arial" w:hAnsi="Arial"/>
                  <w:sz w:val="18"/>
                  <w:szCs w:val="18"/>
                  <w:color w:val="0000FF"/>
                  <w:w w:val="92"/>
                </w:rPr>
                <w:t>PART II. Other Information</w:t>
              </w:r>
            </w:hyperlink>
          </w:p>
        </w:tc>
        <w:tc>
          <w:tcPr>
            <w:tcW w:w="7900" w:type="dxa"/>
            <w:vAlign w:val="bottom"/>
            <w:gridSpan w:val="11"/>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33">
              <w:r>
                <w:rPr>
                  <w:rFonts w:ascii="Arial" w:cs="Arial" w:eastAsia="Arial" w:hAnsi="Arial"/>
                  <w:sz w:val="18"/>
                  <w:szCs w:val="18"/>
                  <w:color w:val="0000FF"/>
                </w:rPr>
                <w:t>34</w:t>
              </w:r>
            </w:hyperlink>
          </w:p>
        </w:tc>
      </w:tr>
      <w:tr>
        <w:trPr>
          <w:trHeight w:val="20"/>
        </w:trPr>
        <w:tc>
          <w:tcPr>
            <w:tcW w:w="140" w:type="dxa"/>
            <w:vAlign w:val="bottom"/>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900" w:type="dxa"/>
            <w:vAlign w:val="bottom"/>
            <w:gridSpan w:val="11"/>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580" w:type="dxa"/>
            <w:vAlign w:val="bottom"/>
            <w:gridSpan w:val="5"/>
          </w:tcPr>
          <w:p>
            <w:pPr>
              <w:spacing w:after="0"/>
              <w:rPr>
                <w:rFonts w:ascii="Arial" w:cs="Arial" w:eastAsia="Arial" w:hAnsi="Arial"/>
                <w:sz w:val="18"/>
                <w:szCs w:val="18"/>
                <w:color w:val="0000FF"/>
                <w:w w:val="90"/>
              </w:rPr>
            </w:pPr>
            <w:hyperlink w:anchor="page34">
              <w:r>
                <w:rPr>
                  <w:rFonts w:ascii="Arial" w:cs="Arial" w:eastAsia="Arial" w:hAnsi="Arial"/>
                  <w:sz w:val="18"/>
                  <w:szCs w:val="18"/>
                  <w:color w:val="0000FF"/>
                  <w:w w:val="90"/>
                </w:rPr>
                <w:t>Item 1A. Risk Factors</w:t>
              </w:r>
            </w:hyperlink>
          </w:p>
        </w:tc>
        <w:tc>
          <w:tcPr>
            <w:tcW w:w="280" w:type="dxa"/>
            <w:vAlign w:val="bottom"/>
          </w:tcPr>
          <w:p>
            <w:pPr>
              <w:spacing w:after="0"/>
              <w:rPr>
                <w:sz w:val="21"/>
                <w:szCs w:val="21"/>
                <w:color w:val="auto"/>
              </w:rPr>
            </w:pPr>
          </w:p>
        </w:tc>
        <w:tc>
          <w:tcPr>
            <w:tcW w:w="7900" w:type="dxa"/>
            <w:vAlign w:val="bottom"/>
            <w:gridSpan w:val="11"/>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34">
              <w:r>
                <w:rPr>
                  <w:rFonts w:ascii="Arial" w:cs="Arial" w:eastAsia="Arial" w:hAnsi="Arial"/>
                  <w:sz w:val="18"/>
                  <w:szCs w:val="18"/>
                  <w:color w:val="0000FF"/>
                </w:rPr>
                <w:t>34</w:t>
              </w:r>
            </w:hyperlink>
          </w:p>
        </w:tc>
      </w:tr>
      <w:tr>
        <w:trPr>
          <w:trHeight w:val="20"/>
        </w:trPr>
        <w:tc>
          <w:tcPr>
            <w:tcW w:w="14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180" w:type="dxa"/>
            <w:vAlign w:val="bottom"/>
            <w:gridSpan w:val="1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520" w:type="dxa"/>
            <w:vAlign w:val="bottom"/>
            <w:gridSpan w:val="2"/>
          </w:tcPr>
          <w:p>
            <w:pPr>
              <w:spacing w:after="0"/>
              <w:rPr>
                <w:rFonts w:ascii="Arial" w:cs="Arial" w:eastAsia="Arial" w:hAnsi="Arial"/>
                <w:sz w:val="18"/>
                <w:szCs w:val="18"/>
                <w:color w:val="0000FF"/>
                <w:w w:val="90"/>
              </w:rPr>
            </w:pPr>
            <w:hyperlink w:anchor="page34">
              <w:r>
                <w:rPr>
                  <w:rFonts w:ascii="Arial" w:cs="Arial" w:eastAsia="Arial" w:hAnsi="Arial"/>
                  <w:sz w:val="18"/>
                  <w:szCs w:val="18"/>
                  <w:color w:val="0000FF"/>
                  <w:w w:val="90"/>
                </w:rPr>
                <w:t>Item 6.</w:t>
              </w:r>
            </w:hyperlink>
          </w:p>
        </w:tc>
        <w:tc>
          <w:tcPr>
            <w:tcW w:w="1060" w:type="dxa"/>
            <w:vAlign w:val="bottom"/>
            <w:gridSpan w:val="3"/>
          </w:tcPr>
          <w:p>
            <w:pPr>
              <w:ind w:left="20"/>
              <w:spacing w:after="0"/>
              <w:rPr>
                <w:rFonts w:ascii="Arial" w:cs="Arial" w:eastAsia="Arial" w:hAnsi="Arial"/>
                <w:sz w:val="18"/>
                <w:szCs w:val="18"/>
                <w:color w:val="0000FF"/>
              </w:rPr>
            </w:pPr>
            <w:hyperlink w:anchor="page34">
              <w:r>
                <w:rPr>
                  <w:rFonts w:ascii="Arial" w:cs="Arial" w:eastAsia="Arial" w:hAnsi="Arial"/>
                  <w:sz w:val="18"/>
                  <w:szCs w:val="18"/>
                  <w:color w:val="0000FF"/>
                </w:rPr>
                <w:t>Exhibits</w:t>
              </w:r>
            </w:hyperlink>
          </w:p>
        </w:tc>
        <w:tc>
          <w:tcPr>
            <w:tcW w:w="8180" w:type="dxa"/>
            <w:vAlign w:val="bottom"/>
            <w:gridSpan w:val="12"/>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34">
              <w:r>
                <w:rPr>
                  <w:rFonts w:ascii="Arial" w:cs="Arial" w:eastAsia="Arial" w:hAnsi="Arial"/>
                  <w:sz w:val="18"/>
                  <w:szCs w:val="18"/>
                  <w:color w:val="0000FF"/>
                </w:rPr>
                <w:t>34</w:t>
              </w:r>
            </w:hyperlink>
          </w:p>
        </w:tc>
      </w:tr>
      <w:tr>
        <w:trPr>
          <w:trHeight w:val="20"/>
        </w:trPr>
        <w:tc>
          <w:tcPr>
            <w:tcW w:w="140" w:type="dxa"/>
            <w:vAlign w:val="bottom"/>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620" w:type="dxa"/>
            <w:vAlign w:val="bottom"/>
            <w:gridSpan w:val="1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140" w:type="dxa"/>
            <w:vAlign w:val="bottom"/>
            <w:gridSpan w:val="4"/>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Signatures</w:t>
              </w:r>
            </w:hyperlink>
          </w:p>
        </w:tc>
        <w:tc>
          <w:tcPr>
            <w:tcW w:w="8620" w:type="dxa"/>
            <w:vAlign w:val="bottom"/>
            <w:gridSpan w:val="13"/>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34">
              <w:r>
                <w:rPr>
                  <w:rFonts w:ascii="Arial" w:cs="Arial" w:eastAsia="Arial" w:hAnsi="Arial"/>
                  <w:sz w:val="18"/>
                  <w:szCs w:val="18"/>
                  <w:color w:val="0000FF"/>
                </w:rPr>
                <w:t>34</w:t>
              </w:r>
            </w:hyperlink>
          </w:p>
        </w:tc>
      </w:tr>
      <w:tr>
        <w:trPr>
          <w:trHeight w:val="1263"/>
        </w:trPr>
        <w:tc>
          <w:tcPr>
            <w:tcW w:w="140" w:type="dxa"/>
            <w:vAlign w:val="bottom"/>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260" w:type="dxa"/>
            <w:vAlign w:val="bottom"/>
            <w:gridSpan w:val="13"/>
          </w:tcPr>
          <w:p>
            <w:pPr>
              <w:jc w:val="center"/>
              <w:ind w:left="3230"/>
              <w:spacing w:after="0"/>
              <w:rPr>
                <w:sz w:val="20"/>
                <w:szCs w:val="20"/>
                <w:color w:val="auto"/>
              </w:rPr>
            </w:pPr>
            <w:r>
              <w:rPr>
                <w:rFonts w:ascii="Arial" w:cs="Arial" w:eastAsia="Arial" w:hAnsi="Arial"/>
                <w:sz w:val="18"/>
                <w:szCs w:val="18"/>
                <w:color w:val="auto"/>
                <w:w w:val="99"/>
              </w:rPr>
              <w:t>2</w:t>
            </w:r>
          </w:p>
        </w:tc>
        <w:tc>
          <w:tcPr>
            <w:tcW w:w="27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gridSpan w:val="2"/>
          </w:tcPr>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tc>
        <w:tc>
          <w:tcPr>
            <w:tcW w:w="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shd w:val="clear" w:color="auto" w:fill="0000FF"/>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9"/>
        </w:trPr>
        <w:tc>
          <w:tcPr>
            <w:tcW w:w="8120" w:type="dxa"/>
            <w:vAlign w:val="bottom"/>
            <w:gridSpan w:val="2"/>
          </w:tcPr>
          <w:p>
            <w:pPr>
              <w:spacing w:after="0"/>
              <w:rPr>
                <w:sz w:val="20"/>
                <w:szCs w:val="20"/>
                <w:color w:val="auto"/>
              </w:rPr>
            </w:pPr>
            <w:r>
              <w:rPr>
                <w:rFonts w:ascii="Arial" w:cs="Arial" w:eastAsia="Arial" w:hAnsi="Arial"/>
                <w:sz w:val="16"/>
                <w:szCs w:val="16"/>
                <w:b w:val="1"/>
                <w:bCs w:val="1"/>
                <w:color w:val="auto"/>
              </w:rPr>
              <w:t>PART I. FINANCIAL INFORMATION</w:t>
            </w: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8120" w:type="dxa"/>
            <w:vAlign w:val="bottom"/>
            <w:gridSpan w:val="2"/>
          </w:tcPr>
          <w:p>
            <w:pPr>
              <w:spacing w:after="0"/>
              <w:rPr>
                <w:sz w:val="20"/>
                <w:szCs w:val="20"/>
                <w:color w:val="auto"/>
              </w:rPr>
            </w:pPr>
            <w:r>
              <w:rPr>
                <w:rFonts w:ascii="Arial" w:cs="Arial" w:eastAsia="Arial" w:hAnsi="Arial"/>
                <w:sz w:val="16"/>
                <w:szCs w:val="16"/>
                <w:color w:val="auto"/>
              </w:rPr>
              <w:t>ITEM 1. FINANCIAL STATEMENTS</w:t>
            </w: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8120" w:type="dxa"/>
            <w:vAlign w:val="bottom"/>
            <w:gridSpan w:val="2"/>
          </w:tcPr>
          <w:p>
            <w:pPr>
              <w:spacing w:after="0"/>
              <w:rPr>
                <w:sz w:val="20"/>
                <w:szCs w:val="20"/>
                <w:color w:val="auto"/>
              </w:rPr>
            </w:pPr>
            <w:r>
              <w:rPr>
                <w:rFonts w:ascii="Arial" w:cs="Arial" w:eastAsia="Arial" w:hAnsi="Arial"/>
                <w:sz w:val="16"/>
                <w:szCs w:val="16"/>
                <w:b w:val="1"/>
                <w:bCs w:val="1"/>
                <w:color w:val="auto"/>
              </w:rPr>
              <w:t>BRADY CORPORATION AND SUBSIDIARIES</w:t>
            </w: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8120" w:type="dxa"/>
            <w:vAlign w:val="bottom"/>
            <w:gridSpan w:val="2"/>
          </w:tcPr>
          <w:p>
            <w:pPr>
              <w:spacing w:after="0"/>
              <w:rPr>
                <w:sz w:val="20"/>
                <w:szCs w:val="20"/>
                <w:color w:val="auto"/>
              </w:rPr>
            </w:pPr>
            <w:r>
              <w:rPr>
                <w:rFonts w:ascii="Arial" w:cs="Arial" w:eastAsia="Arial" w:hAnsi="Arial"/>
                <w:sz w:val="16"/>
                <w:szCs w:val="16"/>
                <w:b w:val="1"/>
                <w:bCs w:val="1"/>
                <w:color w:val="auto"/>
              </w:rPr>
              <w:t>CONDENSED CONSOLIDATED BALANCE SHEETS</w:t>
            </w: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120" w:type="dxa"/>
            <w:vAlign w:val="bottom"/>
            <w:gridSpan w:val="2"/>
          </w:tcPr>
          <w:p>
            <w:pP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Dollars in Thousands)</w:t>
            </w: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102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January 31, 2013</w:t>
            </w:r>
          </w:p>
        </w:tc>
        <w:tc>
          <w:tcPr>
            <w:tcW w:w="220" w:type="dxa"/>
            <w:vAlign w:val="bottom"/>
          </w:tcPr>
          <w:p>
            <w:pPr>
              <w:spacing w:after="0"/>
              <w:rPr>
                <w:sz w:val="24"/>
                <w:szCs w:val="24"/>
                <w:color w:val="auto"/>
              </w:rPr>
            </w:pPr>
          </w:p>
        </w:tc>
        <w:tc>
          <w:tcPr>
            <w:tcW w:w="1360" w:type="dxa"/>
            <w:vAlign w:val="bottom"/>
          </w:tcPr>
          <w:p>
            <w:pPr>
              <w:jc w:val="right"/>
              <w:ind w:right="259"/>
              <w:spacing w:after="0"/>
              <w:rPr>
                <w:sz w:val="20"/>
                <w:szCs w:val="20"/>
                <w:color w:val="auto"/>
              </w:rPr>
            </w:pPr>
            <w:r>
              <w:rPr>
                <w:rFonts w:ascii="Arial" w:cs="Arial" w:eastAsia="Arial" w:hAnsi="Arial"/>
                <w:sz w:val="16"/>
                <w:szCs w:val="16"/>
                <w:b w:val="1"/>
                <w:bCs w:val="1"/>
                <w:color w:val="auto"/>
              </w:rPr>
              <w:t>July 31, 2012</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02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(Unaudited)</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20" w:type="dxa"/>
            <w:vAlign w:val="bottom"/>
            <w:tcBorders>
              <w:bottom w:val="single" w:sz="8" w:color="CCEEFF"/>
            </w:tcBorders>
            <w:shd w:val="clear" w:color="auto" w:fill="CCEEFF"/>
          </w:tcPr>
          <w:p>
            <w:pPr>
              <w:spacing w:after="0"/>
              <w:rPr>
                <w:sz w:val="21"/>
                <w:szCs w:val="21"/>
                <w:color w:val="auto"/>
              </w:rPr>
            </w:pPr>
          </w:p>
        </w:tc>
        <w:tc>
          <w:tcPr>
            <w:tcW w:w="7100" w:type="dxa"/>
            <w:vAlign w:val="bottom"/>
            <w:tcBorders>
              <w:bottom w:val="single" w:sz="8" w:color="CCEEFF"/>
            </w:tcBorders>
            <w:shd w:val="clear" w:color="auto" w:fill="CCEEFF"/>
          </w:tcPr>
          <w:p>
            <w:pPr>
              <w:jc w:val="center"/>
              <w:ind w:right="939"/>
              <w:spacing w:after="0"/>
              <w:rPr>
                <w:sz w:val="20"/>
                <w:szCs w:val="20"/>
                <w:color w:val="auto"/>
              </w:rPr>
            </w:pPr>
            <w:r>
              <w:rPr>
                <w:rFonts w:ascii="Arial" w:cs="Arial" w:eastAsia="Arial" w:hAnsi="Arial"/>
                <w:sz w:val="16"/>
                <w:szCs w:val="16"/>
                <w:b w:val="1"/>
                <w:bCs w:val="1"/>
                <w:color w:val="auto"/>
                <w:w w:val="93"/>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8120" w:type="dxa"/>
            <w:vAlign w:val="bottom"/>
            <w:gridSpan w:val="2"/>
          </w:tcPr>
          <w:p>
            <w:pPr>
              <w:ind w:left="40"/>
              <w:spacing w:after="0"/>
              <w:rPr>
                <w:sz w:val="20"/>
                <w:szCs w:val="20"/>
                <w:color w:val="auto"/>
              </w:rPr>
            </w:pPr>
            <w:r>
              <w:rPr>
                <w:rFonts w:ascii="Arial" w:cs="Arial" w:eastAsia="Arial" w:hAnsi="Arial"/>
                <w:sz w:val="16"/>
                <w:szCs w:val="16"/>
                <w:b w:val="1"/>
                <w:bCs w:val="1"/>
                <w:color w:val="auto"/>
              </w:rPr>
              <w:t>Current assets:</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1020" w:type="dxa"/>
            <w:vAlign w:val="bottom"/>
          </w:tcPr>
          <w:p>
            <w:pPr>
              <w:spacing w:after="0"/>
              <w:rPr>
                <w:sz w:val="4"/>
                <w:szCs w:val="4"/>
                <w:color w:val="auto"/>
              </w:rPr>
            </w:pPr>
          </w:p>
        </w:tc>
        <w:tc>
          <w:tcPr>
            <w:tcW w:w="7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141,311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305,900</w:t>
            </w:r>
          </w:p>
        </w:tc>
        <w:tc>
          <w:tcPr>
            <w:tcW w:w="0" w:type="dxa"/>
            <w:vAlign w:val="bottom"/>
          </w:tcPr>
          <w:p>
            <w:pPr>
              <w:spacing w:after="0"/>
              <w:rPr>
                <w:sz w:val="1"/>
                <w:szCs w:val="1"/>
                <w:color w:val="auto"/>
              </w:rPr>
            </w:pP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Accounts receivable — net</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229,219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199,006</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Inventories: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120" w:type="dxa"/>
            <w:vAlign w:val="bottom"/>
            <w:gridSpan w:val="2"/>
          </w:tcPr>
          <w:p>
            <w:pPr>
              <w:ind w:left="720"/>
              <w:spacing w:after="0"/>
              <w:rPr>
                <w:sz w:val="20"/>
                <w:szCs w:val="20"/>
                <w:color w:val="auto"/>
              </w:rPr>
            </w:pPr>
            <w:r>
              <w:rPr>
                <w:rFonts w:ascii="Arial" w:cs="Arial" w:eastAsia="Arial" w:hAnsi="Arial"/>
                <w:sz w:val="16"/>
                <w:szCs w:val="16"/>
                <w:color w:val="auto"/>
              </w:rPr>
              <w:t>Finished products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75,040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64,740</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Work-in-process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17,549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15,377</w:t>
            </w:r>
          </w:p>
        </w:tc>
        <w:tc>
          <w:tcPr>
            <w:tcW w:w="0" w:type="dxa"/>
            <w:vAlign w:val="bottom"/>
          </w:tcPr>
          <w:p>
            <w:pPr>
              <w:spacing w:after="0"/>
              <w:rPr>
                <w:sz w:val="1"/>
                <w:szCs w:val="1"/>
                <w:color w:val="auto"/>
              </w:rPr>
            </w:pPr>
          </w:p>
        </w:tc>
      </w:tr>
      <w:tr>
        <w:trPr>
          <w:trHeight w:val="237"/>
        </w:trPr>
        <w:tc>
          <w:tcPr>
            <w:tcW w:w="8120" w:type="dxa"/>
            <w:vAlign w:val="bottom"/>
            <w:gridSpan w:val="2"/>
          </w:tcPr>
          <w:p>
            <w:pPr>
              <w:ind w:left="720"/>
              <w:spacing w:after="0"/>
              <w:rPr>
                <w:sz w:val="20"/>
                <w:szCs w:val="20"/>
                <w:color w:val="auto"/>
              </w:rPr>
            </w:pPr>
            <w:r>
              <w:rPr>
                <w:rFonts w:ascii="Arial" w:cs="Arial" w:eastAsia="Arial" w:hAnsi="Arial"/>
                <w:sz w:val="16"/>
                <w:szCs w:val="16"/>
                <w:color w:val="auto"/>
              </w:rPr>
              <w:t>Raw materials and supplies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32,242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25,407</w:t>
            </w:r>
          </w:p>
        </w:tc>
        <w:tc>
          <w:tcPr>
            <w:tcW w:w="0" w:type="dxa"/>
            <w:vAlign w:val="bottom"/>
          </w:tcPr>
          <w:p>
            <w:pPr>
              <w:spacing w:after="0"/>
              <w:rPr>
                <w:sz w:val="1"/>
                <w:szCs w:val="1"/>
                <w:color w:val="auto"/>
              </w:rPr>
            </w:pPr>
          </w:p>
        </w:tc>
      </w:tr>
      <w:tr>
        <w:trPr>
          <w:trHeight w:val="33"/>
        </w:trPr>
        <w:tc>
          <w:tcPr>
            <w:tcW w:w="10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020" w:type="dxa"/>
            <w:vAlign w:val="bottom"/>
            <w:tcBorders>
              <w:bottom w:val="single" w:sz="8" w:color="CCEEFF"/>
            </w:tcBorders>
            <w:shd w:val="clear" w:color="auto" w:fill="CCEEFF"/>
          </w:tcPr>
          <w:p>
            <w:pPr>
              <w:spacing w:after="0"/>
              <w:rPr>
                <w:sz w:val="20"/>
                <w:szCs w:val="20"/>
                <w:color w:val="auto"/>
              </w:rPr>
            </w:pPr>
          </w:p>
        </w:tc>
        <w:tc>
          <w:tcPr>
            <w:tcW w:w="7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inventories</w:t>
            </w: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124,831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105,524</w:t>
            </w:r>
          </w:p>
        </w:tc>
        <w:tc>
          <w:tcPr>
            <w:tcW w:w="0" w:type="dxa"/>
            <w:vAlign w:val="bottom"/>
          </w:tcPr>
          <w:p>
            <w:pPr>
              <w:spacing w:after="0"/>
              <w:rPr>
                <w:sz w:val="1"/>
                <w:szCs w:val="1"/>
                <w:color w:val="auto"/>
              </w:rPr>
            </w:pP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47,656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40,424</w:t>
            </w:r>
          </w:p>
        </w:tc>
        <w:tc>
          <w:tcPr>
            <w:tcW w:w="0" w:type="dxa"/>
            <w:vAlign w:val="bottom"/>
          </w:tcPr>
          <w:p>
            <w:pPr>
              <w:spacing w:after="0"/>
              <w:rPr>
                <w:sz w:val="1"/>
                <w:szCs w:val="1"/>
                <w:color w:val="auto"/>
              </w:rPr>
            </w:pPr>
          </w:p>
        </w:tc>
      </w:tr>
      <w:tr>
        <w:trPr>
          <w:trHeight w:val="33"/>
        </w:trPr>
        <w:tc>
          <w:tcPr>
            <w:tcW w:w="10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b w:val="1"/>
                <w:bCs w:val="1"/>
                <w:color w:val="auto"/>
              </w:rPr>
              <w:t>Total current assets</w:t>
            </w: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543,017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650,854</w:t>
            </w:r>
          </w:p>
        </w:tc>
        <w:tc>
          <w:tcPr>
            <w:tcW w:w="0" w:type="dxa"/>
            <w:vAlign w:val="bottom"/>
          </w:tcPr>
          <w:p>
            <w:pPr>
              <w:spacing w:after="0"/>
              <w:rPr>
                <w:sz w:val="1"/>
                <w:szCs w:val="1"/>
                <w:color w:val="auto"/>
              </w:rPr>
            </w:pPr>
          </w:p>
        </w:tc>
      </w:tr>
      <w:tr>
        <w:trPr>
          <w:trHeight w:val="224"/>
        </w:trPr>
        <w:tc>
          <w:tcPr>
            <w:tcW w:w="8120" w:type="dxa"/>
            <w:vAlign w:val="bottom"/>
            <w:gridSpan w:val="2"/>
          </w:tcPr>
          <w:p>
            <w:pPr>
              <w:ind w:left="40"/>
              <w:spacing w:after="0"/>
              <w:rPr>
                <w:sz w:val="20"/>
                <w:szCs w:val="20"/>
                <w:color w:val="auto"/>
              </w:rPr>
            </w:pPr>
            <w:r>
              <w:rPr>
                <w:rFonts w:ascii="Arial" w:cs="Arial" w:eastAsia="Arial" w:hAnsi="Arial"/>
                <w:sz w:val="16"/>
                <w:szCs w:val="16"/>
                <w:b w:val="1"/>
                <w:bCs w:val="1"/>
                <w:color w:val="auto"/>
              </w:rPr>
              <w:t>Other assets:</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1020" w:type="dxa"/>
            <w:vAlign w:val="bottom"/>
          </w:tcPr>
          <w:p>
            <w:pPr>
              <w:spacing w:after="0"/>
              <w:rPr>
                <w:sz w:val="4"/>
                <w:szCs w:val="4"/>
                <w:color w:val="auto"/>
              </w:rPr>
            </w:pPr>
          </w:p>
        </w:tc>
        <w:tc>
          <w:tcPr>
            <w:tcW w:w="7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Goodwill</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877,972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676,791</w:t>
            </w:r>
          </w:p>
        </w:tc>
        <w:tc>
          <w:tcPr>
            <w:tcW w:w="0" w:type="dxa"/>
            <w:vAlign w:val="bottom"/>
          </w:tcPr>
          <w:p>
            <w:pPr>
              <w:spacing w:after="0"/>
              <w:rPr>
                <w:sz w:val="1"/>
                <w:szCs w:val="1"/>
                <w:color w:val="auto"/>
              </w:rPr>
            </w:pP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Other intangible assets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185,495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84,119</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Deferred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45,356</w:t>
            </w:r>
          </w:p>
        </w:tc>
        <w:tc>
          <w:tcPr>
            <w:tcW w:w="0" w:type="dxa"/>
            <w:vAlign w:val="bottom"/>
          </w:tcPr>
          <w:p>
            <w:pPr>
              <w:spacing w:after="0"/>
              <w:rPr>
                <w:sz w:val="1"/>
                <w:szCs w:val="1"/>
                <w:color w:val="auto"/>
              </w:rPr>
            </w:pP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Other</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22,711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20,584</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Property, plant and equipment:</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Cost:</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1020" w:type="dxa"/>
            <w:vAlign w:val="bottom"/>
          </w:tcPr>
          <w:p>
            <w:pPr>
              <w:spacing w:after="0"/>
              <w:rPr>
                <w:sz w:val="4"/>
                <w:szCs w:val="4"/>
                <w:color w:val="auto"/>
              </w:rPr>
            </w:pPr>
          </w:p>
        </w:tc>
        <w:tc>
          <w:tcPr>
            <w:tcW w:w="7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Land</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8,651</w:t>
            </w:r>
          </w:p>
        </w:tc>
        <w:tc>
          <w:tcPr>
            <w:tcW w:w="0" w:type="dxa"/>
            <w:vAlign w:val="bottom"/>
          </w:tcPr>
          <w:p>
            <w:pPr>
              <w:spacing w:after="0"/>
              <w:rPr>
                <w:sz w:val="1"/>
                <w:szCs w:val="1"/>
                <w:color w:val="auto"/>
              </w:rPr>
            </w:pPr>
          </w:p>
        </w:tc>
      </w:tr>
      <w:tr>
        <w:trPr>
          <w:trHeight w:val="237"/>
        </w:trPr>
        <w:tc>
          <w:tcPr>
            <w:tcW w:w="8120" w:type="dxa"/>
            <w:vAlign w:val="bottom"/>
            <w:gridSpan w:val="2"/>
          </w:tcPr>
          <w:p>
            <w:pPr>
              <w:ind w:left="720"/>
              <w:spacing w:after="0"/>
              <w:rPr>
                <w:sz w:val="20"/>
                <w:szCs w:val="20"/>
                <w:color w:val="auto"/>
              </w:rPr>
            </w:pPr>
            <w:r>
              <w:rPr>
                <w:rFonts w:ascii="Arial" w:cs="Arial" w:eastAsia="Arial" w:hAnsi="Arial"/>
                <w:sz w:val="16"/>
                <w:szCs w:val="16"/>
                <w:color w:val="auto"/>
              </w:rPr>
              <w:t>Buildings and improvements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105,501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101,962</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Machinery and equipment</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313,512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292,130</w:t>
            </w:r>
          </w:p>
        </w:tc>
        <w:tc>
          <w:tcPr>
            <w:tcW w:w="0" w:type="dxa"/>
            <w:vAlign w:val="bottom"/>
          </w:tcPr>
          <w:p>
            <w:pPr>
              <w:spacing w:after="0"/>
              <w:rPr>
                <w:sz w:val="1"/>
                <w:szCs w:val="1"/>
                <w:color w:val="auto"/>
              </w:rPr>
            </w:pPr>
          </w:p>
        </w:tc>
      </w:tr>
      <w:tr>
        <w:trPr>
          <w:trHeight w:val="237"/>
        </w:trPr>
        <w:tc>
          <w:tcPr>
            <w:tcW w:w="8120" w:type="dxa"/>
            <w:vAlign w:val="bottom"/>
            <w:gridSpan w:val="2"/>
          </w:tcPr>
          <w:p>
            <w:pPr>
              <w:ind w:left="720"/>
              <w:spacing w:after="0"/>
              <w:rPr>
                <w:sz w:val="20"/>
                <w:szCs w:val="20"/>
                <w:color w:val="auto"/>
              </w:rPr>
            </w:pPr>
            <w:r>
              <w:rPr>
                <w:rFonts w:ascii="Arial" w:cs="Arial" w:eastAsia="Arial" w:hAnsi="Arial"/>
                <w:sz w:val="16"/>
                <w:szCs w:val="16"/>
                <w:color w:val="auto"/>
              </w:rPr>
              <w:t>Construction in progress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12,444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10,417</w:t>
            </w:r>
          </w:p>
        </w:tc>
        <w:tc>
          <w:tcPr>
            <w:tcW w:w="0" w:type="dxa"/>
            <w:vAlign w:val="bottom"/>
          </w:tcPr>
          <w:p>
            <w:pPr>
              <w:spacing w:after="0"/>
              <w:rPr>
                <w:sz w:val="1"/>
                <w:szCs w:val="1"/>
                <w:color w:val="auto"/>
              </w:rPr>
            </w:pPr>
          </w:p>
        </w:tc>
      </w:tr>
      <w:tr>
        <w:trPr>
          <w:trHeight w:val="33"/>
        </w:trPr>
        <w:tc>
          <w:tcPr>
            <w:tcW w:w="10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020" w:type="dxa"/>
            <w:vAlign w:val="bottom"/>
            <w:tcBorders>
              <w:bottom w:val="single" w:sz="8" w:color="CCEEFF"/>
            </w:tcBorders>
            <w:shd w:val="clear" w:color="auto" w:fill="CCEEFF"/>
          </w:tcPr>
          <w:p>
            <w:pPr>
              <w:spacing w:after="0"/>
              <w:rPr>
                <w:sz w:val="20"/>
                <w:szCs w:val="20"/>
                <w:color w:val="auto"/>
              </w:rPr>
            </w:pPr>
          </w:p>
        </w:tc>
        <w:tc>
          <w:tcPr>
            <w:tcW w:w="7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440,602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413,160</w:t>
            </w:r>
          </w:p>
        </w:tc>
        <w:tc>
          <w:tcPr>
            <w:tcW w:w="0" w:type="dxa"/>
            <w:vAlign w:val="bottom"/>
          </w:tcPr>
          <w:p>
            <w:pPr>
              <w:spacing w:after="0"/>
              <w:rPr>
                <w:sz w:val="1"/>
                <w:szCs w:val="1"/>
                <w:color w:val="auto"/>
              </w:rPr>
            </w:pP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Less accumulated depreciation</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289,860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283,145</w:t>
            </w:r>
          </w:p>
        </w:tc>
        <w:tc>
          <w:tcPr>
            <w:tcW w:w="0" w:type="dxa"/>
            <w:vAlign w:val="bottom"/>
          </w:tcPr>
          <w:p>
            <w:pPr>
              <w:spacing w:after="0"/>
              <w:rPr>
                <w:sz w:val="1"/>
                <w:szCs w:val="1"/>
                <w:color w:val="auto"/>
              </w:rPr>
            </w:pPr>
          </w:p>
        </w:tc>
      </w:tr>
      <w:tr>
        <w:trPr>
          <w:trHeight w:val="33"/>
        </w:trPr>
        <w:tc>
          <w:tcPr>
            <w:tcW w:w="10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b w:val="1"/>
                <w:bCs w:val="1"/>
                <w:color w:val="auto"/>
              </w:rPr>
              <w:t>Property, plant and equipment — net</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150,742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130,015</w:t>
            </w:r>
          </w:p>
        </w:tc>
        <w:tc>
          <w:tcPr>
            <w:tcW w:w="0" w:type="dxa"/>
            <w:vAlign w:val="bottom"/>
          </w:tcPr>
          <w:p>
            <w:pPr>
              <w:spacing w:after="0"/>
              <w:rPr>
                <w:sz w:val="1"/>
                <w:szCs w:val="1"/>
                <w:color w:val="auto"/>
              </w:rPr>
            </w:pPr>
          </w:p>
        </w:tc>
      </w:tr>
      <w:tr>
        <w:trPr>
          <w:trHeight w:val="217"/>
        </w:trPr>
        <w:tc>
          <w:tcPr>
            <w:tcW w:w="8120" w:type="dxa"/>
            <w:vAlign w:val="bottom"/>
            <w:gridSpan w:val="2"/>
          </w:tcPr>
          <w:p>
            <w:pPr>
              <w:ind w:left="40"/>
              <w:spacing w:after="0"/>
              <w:rPr>
                <w:sz w:val="20"/>
                <w:szCs w:val="20"/>
                <w:color w:val="auto"/>
              </w:rPr>
            </w:pPr>
            <w:r>
              <w:rPr>
                <w:rFonts w:ascii="Arial" w:cs="Arial" w:eastAsia="Arial" w:hAnsi="Arial"/>
                <w:sz w:val="16"/>
                <w:szCs w:val="16"/>
                <w:b w:val="1"/>
                <w:bCs w:val="1"/>
                <w:color w:val="auto"/>
              </w:rPr>
              <w:t>Total</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1,785,969</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1,607,719</w:t>
            </w:r>
          </w:p>
        </w:tc>
        <w:tc>
          <w:tcPr>
            <w:tcW w:w="0" w:type="dxa"/>
            <w:vAlign w:val="bottom"/>
          </w:tcPr>
          <w:p>
            <w:pPr>
              <w:spacing w:after="0"/>
              <w:rPr>
                <w:sz w:val="1"/>
                <w:szCs w:val="1"/>
                <w:color w:val="auto"/>
              </w:rPr>
            </w:pPr>
          </w:p>
        </w:tc>
      </w:tr>
      <w:tr>
        <w:trPr>
          <w:trHeight w:val="73"/>
        </w:trPr>
        <w:tc>
          <w:tcPr>
            <w:tcW w:w="1020" w:type="dxa"/>
            <w:vAlign w:val="bottom"/>
            <w:tcBorders>
              <w:bottom w:val="single" w:sz="8" w:color="CCEEFF"/>
            </w:tcBorders>
          </w:tcPr>
          <w:p>
            <w:pPr>
              <w:spacing w:after="0"/>
              <w:rPr>
                <w:sz w:val="6"/>
                <w:szCs w:val="6"/>
                <w:color w:val="auto"/>
              </w:rPr>
            </w:pPr>
          </w:p>
        </w:tc>
        <w:tc>
          <w:tcPr>
            <w:tcW w:w="7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1020" w:type="dxa"/>
            <w:vAlign w:val="bottom"/>
            <w:shd w:val="clear" w:color="auto" w:fill="CCEEFF"/>
          </w:tcPr>
          <w:p>
            <w:pPr>
              <w:spacing w:after="0"/>
              <w:rPr>
                <w:sz w:val="15"/>
                <w:szCs w:val="15"/>
                <w:color w:val="auto"/>
              </w:rPr>
            </w:pPr>
          </w:p>
        </w:tc>
        <w:tc>
          <w:tcPr>
            <w:tcW w:w="7100" w:type="dxa"/>
            <w:vAlign w:val="bottom"/>
            <w:shd w:val="clear" w:color="auto" w:fill="CCEEFF"/>
          </w:tcPr>
          <w:p>
            <w:pPr>
              <w:jc w:val="center"/>
              <w:ind w:right="939"/>
              <w:spacing w:after="0" w:line="177" w:lineRule="exact"/>
              <w:rPr>
                <w:sz w:val="20"/>
                <w:szCs w:val="20"/>
                <w:color w:val="auto"/>
              </w:rPr>
            </w:pPr>
            <w:r>
              <w:rPr>
                <w:rFonts w:ascii="Arial" w:cs="Arial" w:eastAsia="Arial" w:hAnsi="Arial"/>
                <w:sz w:val="16"/>
                <w:szCs w:val="16"/>
                <w:b w:val="1"/>
                <w:bCs w:val="1"/>
                <w:color w:val="auto"/>
              </w:rPr>
              <w:t>LIABILITIES AND STOCKHOLDERS’ INVESTMENT</w:t>
            </w:r>
          </w:p>
        </w:tc>
        <w:tc>
          <w:tcPr>
            <w:tcW w:w="1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1020" w:type="dxa"/>
            <w:vAlign w:val="bottom"/>
            <w:shd w:val="clear" w:color="auto" w:fill="CCEEFF"/>
          </w:tcPr>
          <w:p>
            <w:pPr>
              <w:spacing w:after="0"/>
              <w:rPr>
                <w:sz w:val="6"/>
                <w:szCs w:val="6"/>
                <w:color w:val="auto"/>
              </w:rPr>
            </w:pPr>
          </w:p>
        </w:tc>
        <w:tc>
          <w:tcPr>
            <w:tcW w:w="7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8120" w:type="dxa"/>
            <w:vAlign w:val="bottom"/>
            <w:gridSpan w:val="2"/>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1020" w:type="dxa"/>
            <w:vAlign w:val="bottom"/>
          </w:tcPr>
          <w:p>
            <w:pPr>
              <w:spacing w:after="0"/>
              <w:rPr>
                <w:sz w:val="4"/>
                <w:szCs w:val="4"/>
                <w:color w:val="auto"/>
              </w:rPr>
            </w:pPr>
          </w:p>
        </w:tc>
        <w:tc>
          <w:tcPr>
            <w:tcW w:w="7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Notes payable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112,340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Accounts payable</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103,197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86,646</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Wages and amounts withheld from employees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40,564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54,629</w:t>
            </w:r>
          </w:p>
        </w:tc>
        <w:tc>
          <w:tcPr>
            <w:tcW w:w="0" w:type="dxa"/>
            <w:vAlign w:val="bottom"/>
          </w:tcPr>
          <w:p>
            <w:pPr>
              <w:spacing w:after="0"/>
              <w:rPr>
                <w:sz w:val="1"/>
                <w:szCs w:val="1"/>
                <w:color w:val="auto"/>
              </w:rPr>
            </w:pP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Taxes, other than income taxes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8,313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9,307</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Accrued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14,357</w:t>
            </w:r>
          </w:p>
        </w:tc>
        <w:tc>
          <w:tcPr>
            <w:tcW w:w="0" w:type="dxa"/>
            <w:vAlign w:val="bottom"/>
          </w:tcPr>
          <w:p>
            <w:pPr>
              <w:spacing w:after="0"/>
              <w:rPr>
                <w:sz w:val="1"/>
                <w:szCs w:val="1"/>
                <w:color w:val="auto"/>
              </w:rPr>
            </w:pP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Other current liabilities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46,930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40,815</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Current maturities on long-term debt</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61,264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61,264</w:t>
            </w:r>
          </w:p>
        </w:tc>
        <w:tc>
          <w:tcPr>
            <w:tcW w:w="0" w:type="dxa"/>
            <w:vAlign w:val="bottom"/>
          </w:tcPr>
          <w:p>
            <w:pPr>
              <w:spacing w:after="0"/>
              <w:rPr>
                <w:sz w:val="1"/>
                <w:szCs w:val="1"/>
                <w:color w:val="auto"/>
              </w:rPr>
            </w:pPr>
          </w:p>
        </w:tc>
      </w:tr>
      <w:tr>
        <w:trPr>
          <w:trHeight w:val="217"/>
        </w:trPr>
        <w:tc>
          <w:tcPr>
            <w:tcW w:w="8120" w:type="dxa"/>
            <w:vAlign w:val="bottom"/>
            <w:gridSpan w:val="2"/>
          </w:tcPr>
          <w:p>
            <w:pPr>
              <w:ind w:left="720"/>
              <w:spacing w:after="0"/>
              <w:rPr>
                <w:sz w:val="20"/>
                <w:szCs w:val="20"/>
                <w:color w:val="auto"/>
              </w:rPr>
            </w:pPr>
            <w:r>
              <w:rPr>
                <w:rFonts w:ascii="Arial" w:cs="Arial" w:eastAsia="Arial" w:hAnsi="Arial"/>
                <w:sz w:val="16"/>
                <w:szCs w:val="16"/>
                <w:b w:val="1"/>
                <w:bCs w:val="1"/>
                <w:color w:val="auto"/>
              </w:rPr>
              <w:t>Total current liabilities</w:t>
            </w:r>
          </w:p>
        </w:tc>
        <w:tc>
          <w:tcPr>
            <w:tcW w:w="1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381,477</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267,018</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Long-term obligations, less current maturities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264,417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254,944</w:t>
            </w:r>
          </w:p>
        </w:tc>
        <w:tc>
          <w:tcPr>
            <w:tcW w:w="0" w:type="dxa"/>
            <w:vAlign w:val="bottom"/>
          </w:tcPr>
          <w:p>
            <w:pPr>
              <w:spacing w:after="0"/>
              <w:rPr>
                <w:sz w:val="1"/>
                <w:szCs w:val="1"/>
                <w:color w:val="auto"/>
              </w:rPr>
            </w:pP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6"/>
                <w:szCs w:val="16"/>
                <w:b w:val="1"/>
                <w:bCs w:val="1"/>
                <w:color w:val="auto"/>
              </w:rPr>
              <w:t>Other liabilities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102,225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76,404</w:t>
            </w:r>
          </w:p>
        </w:tc>
        <w:tc>
          <w:tcPr>
            <w:tcW w:w="0" w:type="dxa"/>
            <w:vAlign w:val="bottom"/>
          </w:tcPr>
          <w:p>
            <w:pPr>
              <w:spacing w:after="0"/>
              <w:rPr>
                <w:sz w:val="1"/>
                <w:szCs w:val="1"/>
                <w:color w:val="auto"/>
              </w:rPr>
            </w:pPr>
          </w:p>
        </w:tc>
      </w:tr>
      <w:tr>
        <w:trPr>
          <w:trHeight w:val="33"/>
        </w:trPr>
        <w:tc>
          <w:tcPr>
            <w:tcW w:w="10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b w:val="1"/>
                <w:bCs w:val="1"/>
                <w:color w:val="auto"/>
              </w:rPr>
              <w:t>Total liabilities</w:t>
            </w: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748,119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598,366</w:t>
            </w:r>
          </w:p>
        </w:tc>
        <w:tc>
          <w:tcPr>
            <w:tcW w:w="0" w:type="dxa"/>
            <w:vAlign w:val="bottom"/>
          </w:tcPr>
          <w:p>
            <w:pPr>
              <w:spacing w:after="0"/>
              <w:rPr>
                <w:sz w:val="1"/>
                <w:szCs w:val="1"/>
                <w:color w:val="auto"/>
              </w:rPr>
            </w:pPr>
          </w:p>
        </w:tc>
      </w:tr>
      <w:tr>
        <w:trPr>
          <w:trHeight w:val="224"/>
        </w:trPr>
        <w:tc>
          <w:tcPr>
            <w:tcW w:w="8120" w:type="dxa"/>
            <w:vAlign w:val="bottom"/>
            <w:gridSpan w:val="2"/>
          </w:tcPr>
          <w:p>
            <w:pPr>
              <w:ind w:left="40"/>
              <w:spacing w:after="0"/>
              <w:rPr>
                <w:sz w:val="20"/>
                <w:szCs w:val="20"/>
                <w:color w:val="auto"/>
              </w:rPr>
            </w:pPr>
            <w:r>
              <w:rPr>
                <w:rFonts w:ascii="Arial" w:cs="Arial" w:eastAsia="Arial" w:hAnsi="Arial"/>
                <w:sz w:val="16"/>
                <w:szCs w:val="16"/>
                <w:b w:val="1"/>
                <w:bCs w:val="1"/>
                <w:color w:val="auto"/>
              </w:rPr>
              <w:t>Stockholders’ investment:</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1020" w:type="dxa"/>
            <w:vAlign w:val="bottom"/>
          </w:tcPr>
          <w:p>
            <w:pPr>
              <w:spacing w:after="0"/>
              <w:rPr>
                <w:sz w:val="4"/>
                <w:szCs w:val="4"/>
                <w:color w:val="auto"/>
              </w:rPr>
            </w:pPr>
          </w:p>
        </w:tc>
        <w:tc>
          <w:tcPr>
            <w:tcW w:w="7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812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w w:val="99"/>
              </w:rPr>
              <w:t>Class A nonvoting common stock — Issued 51,261,487 and 51,261,487 shares, respectively and outstanding</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47,711,496 and 47,630,926 shares, respectively</w:t>
            </w:r>
          </w:p>
        </w:tc>
        <w:tc>
          <w:tcPr>
            <w:tcW w:w="16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513</w:t>
            </w:r>
          </w:p>
        </w:tc>
        <w:tc>
          <w:tcPr>
            <w:tcW w:w="0" w:type="dxa"/>
            <w:vAlign w:val="bottom"/>
          </w:tcPr>
          <w:p>
            <w:pPr>
              <w:spacing w:after="0"/>
              <w:rPr>
                <w:sz w:val="1"/>
                <w:szCs w:val="1"/>
                <w:color w:val="auto"/>
              </w:rPr>
            </w:pP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Class B voting common stock — Issued and outstanding, 3,538,628 shares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Additional paid-in capital</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315,425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313,008</w:t>
            </w:r>
          </w:p>
        </w:tc>
        <w:tc>
          <w:tcPr>
            <w:tcW w:w="0" w:type="dxa"/>
            <w:vAlign w:val="bottom"/>
          </w:tcPr>
          <w:p>
            <w:pPr>
              <w:spacing w:after="0"/>
              <w:rPr>
                <w:sz w:val="1"/>
                <w:szCs w:val="1"/>
                <w:color w:val="auto"/>
              </w:rPr>
            </w:pP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Income retained in the business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731,294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732,290</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Treasury stock — 3,234,991 and 3,245,561 shares, respectively of Class A nonvoting common stock, at cost</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(88,354)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(92,600)</w:t>
            </w:r>
          </w:p>
        </w:tc>
        <w:tc>
          <w:tcPr>
            <w:tcW w:w="0" w:type="dxa"/>
            <w:vAlign w:val="bottom"/>
          </w:tcPr>
          <w:p>
            <w:pPr>
              <w:spacing w:after="0"/>
              <w:rPr>
                <w:sz w:val="1"/>
                <w:szCs w:val="1"/>
                <w:color w:val="auto"/>
              </w:rPr>
            </w:pP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Accumulated other comprehensive income</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81,475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59,411</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(2,538)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(3,304)</w:t>
            </w:r>
          </w:p>
        </w:tc>
        <w:tc>
          <w:tcPr>
            <w:tcW w:w="0" w:type="dxa"/>
            <w:vAlign w:val="bottom"/>
          </w:tcPr>
          <w:p>
            <w:pPr>
              <w:spacing w:after="0"/>
              <w:rPr>
                <w:sz w:val="1"/>
                <w:szCs w:val="1"/>
                <w:color w:val="auto"/>
              </w:rPr>
            </w:pPr>
          </w:p>
        </w:tc>
      </w:tr>
      <w:tr>
        <w:trPr>
          <w:trHeight w:val="217"/>
        </w:trPr>
        <w:tc>
          <w:tcPr>
            <w:tcW w:w="8120" w:type="dxa"/>
            <w:vAlign w:val="bottom"/>
            <w:gridSpan w:val="2"/>
          </w:tcPr>
          <w:p>
            <w:pPr>
              <w:ind w:left="720"/>
              <w:spacing w:after="0"/>
              <w:rPr>
                <w:sz w:val="20"/>
                <w:szCs w:val="20"/>
                <w:color w:val="auto"/>
              </w:rPr>
            </w:pPr>
            <w:r>
              <w:rPr>
                <w:rFonts w:ascii="Arial" w:cs="Arial" w:eastAsia="Arial" w:hAnsi="Arial"/>
                <w:sz w:val="16"/>
                <w:szCs w:val="16"/>
                <w:b w:val="1"/>
                <w:bCs w:val="1"/>
                <w:color w:val="auto"/>
              </w:rPr>
              <w:t>Total stockholders’ investment</w:t>
            </w:r>
          </w:p>
        </w:tc>
        <w:tc>
          <w:tcPr>
            <w:tcW w:w="1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1,037,850</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1,009,353</w:t>
            </w:r>
          </w:p>
        </w:tc>
        <w:tc>
          <w:tcPr>
            <w:tcW w:w="0" w:type="dxa"/>
            <w:vAlign w:val="bottom"/>
          </w:tcPr>
          <w:p>
            <w:pPr>
              <w:spacing w:after="0"/>
              <w:rPr>
                <w:sz w:val="1"/>
                <w:szCs w:val="1"/>
                <w:color w:val="auto"/>
              </w:rPr>
            </w:pPr>
          </w:p>
        </w:tc>
      </w:tr>
      <w:tr>
        <w:trPr>
          <w:trHeight w:val="33"/>
        </w:trPr>
        <w:tc>
          <w:tcPr>
            <w:tcW w:w="10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1,785,969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1,607,719</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color w:val="auto"/>
              </w:rPr>
              <w:t>See Notes to Condensed Consolidated Financial Statements.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1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4" w:right="239" w:bottom="0" w:gutter="0" w:footer="0" w:header="0"/>
        </w:sectPr>
      </w:pP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14" w:right="239" w:bottom="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5620" w:type="dxa"/>
            <w:vAlign w:val="bottom"/>
            <w:gridSpan w:val="2"/>
          </w:tcPr>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0"/>
        </w:trPr>
        <w:tc>
          <w:tcPr>
            <w:tcW w:w="1020" w:type="dxa"/>
            <w:vAlign w:val="bottom"/>
            <w:shd w:val="clear" w:color="auto" w:fill="0000FF"/>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25"/>
        </w:trPr>
        <w:tc>
          <w:tcPr>
            <w:tcW w:w="5620" w:type="dxa"/>
            <w:vAlign w:val="bottom"/>
            <w:gridSpan w:val="2"/>
          </w:tcPr>
          <w:p>
            <w:pPr>
              <w:spacing w:after="0"/>
              <w:rPr>
                <w:sz w:val="20"/>
                <w:szCs w:val="20"/>
                <w:color w:val="auto"/>
              </w:rPr>
            </w:pPr>
            <w:r>
              <w:rPr>
                <w:rFonts w:ascii="Arial" w:cs="Arial" w:eastAsia="Arial" w:hAnsi="Arial"/>
                <w:sz w:val="16"/>
                <w:szCs w:val="16"/>
                <w:b w:val="1"/>
                <w:bCs w:val="1"/>
                <w:color w:val="auto"/>
              </w:rPr>
              <w:t>BRADY CORPORATION AND SUBSIDIARIES</w:t>
            </w: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3"/>
        </w:trPr>
        <w:tc>
          <w:tcPr>
            <w:tcW w:w="5620" w:type="dxa"/>
            <w:vAlign w:val="bottom"/>
            <w:gridSpan w:val="2"/>
          </w:tcPr>
          <w:p>
            <w:pPr>
              <w:spacing w:after="0"/>
              <w:rPr>
                <w:sz w:val="20"/>
                <w:szCs w:val="20"/>
                <w:color w:val="auto"/>
              </w:rPr>
            </w:pPr>
            <w:r>
              <w:rPr>
                <w:rFonts w:ascii="Arial" w:cs="Arial" w:eastAsia="Arial" w:hAnsi="Arial"/>
                <w:sz w:val="16"/>
                <w:szCs w:val="16"/>
                <w:b w:val="1"/>
                <w:bCs w:val="1"/>
                <w:color w:val="auto"/>
              </w:rPr>
              <w:t>CONDENSED CONSOLIDATED STATEMENTS OF INCOME</w:t>
            </w: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06"/>
        </w:trPr>
        <w:tc>
          <w:tcPr>
            <w:tcW w:w="5620" w:type="dxa"/>
            <w:vAlign w:val="bottom"/>
            <w:gridSpan w:val="2"/>
          </w:tcPr>
          <w:p>
            <w:pPr>
              <w:spacing w:after="0"/>
              <w:rPr>
                <w:sz w:val="20"/>
                <w:szCs w:val="20"/>
                <w:color w:val="auto"/>
              </w:rPr>
            </w:pPr>
            <w:r>
              <w:rPr>
                <w:rFonts w:ascii="Arial" w:cs="Arial" w:eastAsia="Arial" w:hAnsi="Arial"/>
                <w:sz w:val="16"/>
                <w:szCs w:val="16"/>
                <w:color w:val="auto"/>
              </w:rPr>
              <w:t>(Dollars in Thousands, Except Per Share Amounts)</w:t>
            </w: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365"/>
        </w:trPr>
        <w:tc>
          <w:tcPr>
            <w:tcW w:w="10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 January 31,</w:t>
            </w:r>
          </w:p>
        </w:tc>
        <w:tc>
          <w:tcPr>
            <w:tcW w:w="240" w:type="dxa"/>
            <w:vAlign w:val="bottom"/>
          </w:tcPr>
          <w:p>
            <w:pPr>
              <w:spacing w:after="0"/>
              <w:rPr>
                <w:sz w:val="24"/>
                <w:szCs w:val="24"/>
                <w:color w:val="auto"/>
              </w:rPr>
            </w:pPr>
          </w:p>
        </w:tc>
        <w:tc>
          <w:tcPr>
            <w:tcW w:w="2560" w:type="dxa"/>
            <w:vAlign w:val="bottom"/>
            <w:gridSpan w:val="4"/>
          </w:tcPr>
          <w:p>
            <w:pPr>
              <w:jc w:val="right"/>
              <w:ind w:right="259"/>
              <w:spacing w:after="0"/>
              <w:rPr>
                <w:sz w:val="20"/>
                <w:szCs w:val="20"/>
                <w:color w:val="auto"/>
              </w:rPr>
            </w:pPr>
            <w:r>
              <w:rPr>
                <w:rFonts w:ascii="Arial" w:cs="Arial" w:eastAsia="Arial" w:hAnsi="Arial"/>
                <w:sz w:val="16"/>
                <w:szCs w:val="16"/>
                <w:b w:val="1"/>
                <w:bCs w:val="1"/>
                <w:color w:val="auto"/>
                <w:w w:val="95"/>
              </w:rPr>
              <w:t>Six months ended January 31,</w:t>
            </w:r>
          </w:p>
        </w:tc>
      </w:tr>
      <w:tr>
        <w:trPr>
          <w:trHeight w:val="270"/>
        </w:trPr>
        <w:tc>
          <w:tcPr>
            <w:tcW w:w="1020" w:type="dxa"/>
            <w:vAlign w:val="bottom"/>
          </w:tcPr>
          <w:p>
            <w:pPr>
              <w:spacing w:after="0"/>
              <w:rPr>
                <w:sz w:val="23"/>
                <w:szCs w:val="23"/>
                <w:color w:val="auto"/>
              </w:rPr>
            </w:pPr>
          </w:p>
        </w:tc>
        <w:tc>
          <w:tcPr>
            <w:tcW w:w="4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60" w:type="dxa"/>
            <w:vAlign w:val="bottom"/>
            <w:gridSpan w:val="3"/>
          </w:tcPr>
          <w:p>
            <w:pPr>
              <w:jc w:val="right"/>
              <w:spacing w:after="0"/>
              <w:rPr>
                <w:sz w:val="20"/>
                <w:szCs w:val="20"/>
                <w:color w:val="auto"/>
              </w:rPr>
            </w:pPr>
            <w:r>
              <w:rPr>
                <w:rFonts w:ascii="Arial" w:cs="Arial" w:eastAsia="Arial" w:hAnsi="Arial"/>
                <w:sz w:val="16"/>
                <w:szCs w:val="16"/>
                <w:b w:val="1"/>
                <w:bCs w:val="1"/>
                <w:color w:val="auto"/>
              </w:rPr>
              <w:t>(Unaudited)</w:t>
            </w: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60" w:type="dxa"/>
            <w:vAlign w:val="bottom"/>
            <w:gridSpan w:val="3"/>
          </w:tcPr>
          <w:p>
            <w:pPr>
              <w:jc w:val="right"/>
              <w:spacing w:after="0"/>
              <w:rPr>
                <w:sz w:val="20"/>
                <w:szCs w:val="20"/>
                <w:color w:val="auto"/>
              </w:rPr>
            </w:pPr>
            <w:r>
              <w:rPr>
                <w:rFonts w:ascii="Arial" w:cs="Arial" w:eastAsia="Arial" w:hAnsi="Arial"/>
                <w:sz w:val="16"/>
                <w:szCs w:val="16"/>
                <w:b w:val="1"/>
                <w:bCs w:val="1"/>
                <w:color w:val="auto"/>
              </w:rPr>
              <w:t>(Unaudited)</w:t>
            </w:r>
          </w:p>
        </w:tc>
        <w:tc>
          <w:tcPr>
            <w:tcW w:w="900" w:type="dxa"/>
            <w:vAlign w:val="bottom"/>
          </w:tcPr>
          <w:p>
            <w:pPr>
              <w:spacing w:after="0"/>
              <w:rPr>
                <w:sz w:val="23"/>
                <w:szCs w:val="23"/>
                <w:color w:val="auto"/>
              </w:rPr>
            </w:pP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10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43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ind w:right="439"/>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439"/>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439"/>
              <w:spacing w:after="0"/>
              <w:rPr>
                <w:sz w:val="20"/>
                <w:szCs w:val="20"/>
                <w:color w:val="auto"/>
              </w:rPr>
            </w:pPr>
            <w:r>
              <w:rPr>
                <w:rFonts w:ascii="Arial" w:cs="Arial" w:eastAsia="Arial" w:hAnsi="Arial"/>
                <w:sz w:val="16"/>
                <w:szCs w:val="16"/>
                <w:b w:val="1"/>
                <w:bCs w:val="1"/>
                <w:color w:val="auto"/>
              </w:rPr>
              <w:t>2012</w:t>
            </w:r>
          </w:p>
        </w:tc>
      </w:tr>
      <w:tr>
        <w:trPr>
          <w:trHeight w:val="33"/>
        </w:trPr>
        <w:tc>
          <w:tcPr>
            <w:tcW w:w="1020" w:type="dxa"/>
            <w:vAlign w:val="bottom"/>
            <w:tcBorders>
              <w:bottom w:val="single" w:sz="8" w:color="CCEEFF"/>
            </w:tcBorders>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324,182</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320,584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661,828</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670,092</w:t>
            </w: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Cost of products sold</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174,130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167,279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347,156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348,956</w:t>
            </w:r>
          </w:p>
        </w:tc>
      </w:tr>
      <w:tr>
        <w:trPr>
          <w:trHeight w:val="33"/>
        </w:trPr>
        <w:tc>
          <w:tcPr>
            <w:tcW w:w="1020" w:type="dxa"/>
            <w:vAlign w:val="bottom"/>
            <w:tcBorders>
              <w:bottom w:val="single" w:sz="8" w:color="CCEEFF"/>
            </w:tcBorders>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5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Gross margin</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150,052</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153,305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314,672</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321,136</w:t>
            </w:r>
          </w:p>
        </w:tc>
      </w:tr>
      <w:tr>
        <w:trPr>
          <w:trHeight w:val="224"/>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Operating expenses:</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47"/>
        </w:trPr>
        <w:tc>
          <w:tcPr>
            <w:tcW w:w="1020" w:type="dxa"/>
            <w:vAlign w:val="bottom"/>
          </w:tcPr>
          <w:p>
            <w:pPr>
              <w:spacing w:after="0"/>
              <w:rPr>
                <w:sz w:val="4"/>
                <w:szCs w:val="4"/>
                <w:color w:val="auto"/>
              </w:rPr>
            </w:pPr>
          </w:p>
        </w:tc>
        <w:tc>
          <w:tcPr>
            <w:tcW w:w="4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50"/>
        </w:trPr>
        <w:tc>
          <w:tcPr>
            <w:tcW w:w="5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Research and development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8,551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9,972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17,036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19,781</w:t>
            </w:r>
          </w:p>
        </w:tc>
      </w:tr>
      <w:tr>
        <w:trPr>
          <w:trHeight w:val="237"/>
        </w:trPr>
        <w:tc>
          <w:tcPr>
            <w:tcW w:w="5620" w:type="dxa"/>
            <w:vAlign w:val="bottom"/>
            <w:gridSpan w:val="2"/>
          </w:tcPr>
          <w:p>
            <w:pPr>
              <w:ind w:left="380"/>
              <w:spacing w:after="0"/>
              <w:rPr>
                <w:sz w:val="20"/>
                <w:szCs w:val="20"/>
                <w:color w:val="auto"/>
              </w:rPr>
            </w:pPr>
            <w:r>
              <w:rPr>
                <w:rFonts w:ascii="Arial" w:cs="Arial" w:eastAsia="Arial" w:hAnsi="Arial"/>
                <w:sz w:val="16"/>
                <w:szCs w:val="16"/>
                <w:color w:val="auto"/>
              </w:rPr>
              <w:t>Selling, general and administrative</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112,020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104,843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223,719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213,775</w:t>
            </w: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Restructuring charges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4,031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4,031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5620" w:type="dxa"/>
            <w:vAlign w:val="bottom"/>
            <w:gridSpan w:val="2"/>
          </w:tcPr>
          <w:p>
            <w:pPr>
              <w:ind w:left="380"/>
              <w:spacing w:after="0"/>
              <w:rPr>
                <w:sz w:val="20"/>
                <w:szCs w:val="20"/>
                <w:color w:val="auto"/>
              </w:rPr>
            </w:pPr>
            <w:r>
              <w:rPr>
                <w:rFonts w:ascii="Arial" w:cs="Arial" w:eastAsia="Arial" w:hAnsi="Arial"/>
                <w:sz w:val="16"/>
                <w:szCs w:val="16"/>
                <w:color w:val="auto"/>
              </w:rPr>
              <w:t>Impairment charge</w:t>
            </w:r>
          </w:p>
        </w:tc>
        <w:tc>
          <w:tcPr>
            <w:tcW w:w="20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115,688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115,688</w:t>
            </w:r>
          </w:p>
        </w:tc>
      </w:tr>
      <w:tr>
        <w:trPr>
          <w:trHeight w:val="33"/>
        </w:trPr>
        <w:tc>
          <w:tcPr>
            <w:tcW w:w="1020" w:type="dxa"/>
            <w:vAlign w:val="bottom"/>
            <w:tcBorders>
              <w:bottom w:val="single" w:sz="8" w:color="CCEEFF"/>
            </w:tcBorders>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operating expenses</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124,602</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230,503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244,786</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349,244</w:t>
            </w: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Operating income (loss)</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25,450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(77,198)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69,886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(28,108)</w:t>
            </w: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Other income and (expense):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37"/>
        </w:trPr>
        <w:tc>
          <w:tcPr>
            <w:tcW w:w="5620" w:type="dxa"/>
            <w:vAlign w:val="bottom"/>
            <w:gridSpan w:val="2"/>
          </w:tcPr>
          <w:p>
            <w:pPr>
              <w:ind w:left="380"/>
              <w:spacing w:after="0"/>
              <w:rPr>
                <w:sz w:val="20"/>
                <w:szCs w:val="20"/>
                <w:color w:val="auto"/>
              </w:rPr>
            </w:pPr>
            <w:r>
              <w:rPr>
                <w:rFonts w:ascii="Arial" w:cs="Arial" w:eastAsia="Arial" w:hAnsi="Arial"/>
                <w:sz w:val="16"/>
                <w:szCs w:val="16"/>
                <w:color w:val="auto"/>
              </w:rPr>
              <w:t>Investment and other income</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897</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812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1,294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610</w:t>
            </w: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Interest expense</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(4,406)</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(4,933)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(8,569)</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(9,980)</w:t>
            </w:r>
          </w:p>
        </w:tc>
      </w:tr>
      <w:tr>
        <w:trPr>
          <w:trHeight w:val="217"/>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Income (loss) before income taxes</w:t>
            </w: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21,941</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(81,319)</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62,611</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(37,478)</w:t>
            </w: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Income taxes</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30,625</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8,635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44,107</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19,744</w:t>
            </w:r>
          </w:p>
        </w:tc>
      </w:tr>
      <w:tr>
        <w:trPr>
          <w:trHeight w:val="217"/>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Net (loss) income</w:t>
            </w: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(8,684)</w:t>
            </w:r>
          </w:p>
        </w:tc>
        <w:tc>
          <w:tcPr>
            <w:tcW w:w="120" w:type="dxa"/>
            <w:vAlign w:val="bottom"/>
          </w:tcPr>
          <w:p>
            <w:pPr>
              <w:spacing w:after="0"/>
              <w:rPr>
                <w:sz w:val="18"/>
                <w:szCs w:val="18"/>
                <w:color w:val="auto"/>
              </w:rPr>
            </w:pPr>
          </w:p>
        </w:tc>
        <w:tc>
          <w:tcPr>
            <w:tcW w:w="46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(89,954)</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18,504</w:t>
            </w:r>
          </w:p>
        </w:tc>
        <w:tc>
          <w:tcPr>
            <w:tcW w:w="100" w:type="dxa"/>
            <w:vAlign w:val="bottom"/>
          </w:tcPr>
          <w:p>
            <w:pPr>
              <w:spacing w:after="0"/>
              <w:rPr>
                <w:sz w:val="18"/>
                <w:szCs w:val="18"/>
                <w:color w:val="auto"/>
              </w:rPr>
            </w:pPr>
          </w:p>
        </w:tc>
        <w:tc>
          <w:tcPr>
            <w:tcW w:w="46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(57,222)</w:t>
            </w:r>
          </w:p>
        </w:tc>
      </w:tr>
      <w:tr>
        <w:trPr>
          <w:trHeight w:val="73"/>
        </w:trPr>
        <w:tc>
          <w:tcPr>
            <w:tcW w:w="1020" w:type="dxa"/>
            <w:vAlign w:val="bottom"/>
            <w:tcBorders>
              <w:bottom w:val="single" w:sz="8" w:color="CCEEFF"/>
            </w:tcBorders>
          </w:tcPr>
          <w:p>
            <w:pPr>
              <w:spacing w:after="0"/>
              <w:rPr>
                <w:sz w:val="6"/>
                <w:szCs w:val="6"/>
                <w:color w:val="auto"/>
              </w:rPr>
            </w:pPr>
          </w:p>
        </w:tc>
        <w:tc>
          <w:tcPr>
            <w:tcW w:w="46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r>
      <w:tr>
        <w:trPr>
          <w:trHeight w:val="177"/>
        </w:trPr>
        <w:tc>
          <w:tcPr>
            <w:tcW w:w="5620" w:type="dxa"/>
            <w:vAlign w:val="bottom"/>
            <w:gridSpan w:val="2"/>
            <w:shd w:val="clear" w:color="auto" w:fill="CCEEFF"/>
          </w:tcPr>
          <w:p>
            <w:pPr>
              <w:ind w:left="40"/>
              <w:spacing w:after="0" w:line="177" w:lineRule="exact"/>
              <w:rPr>
                <w:sz w:val="20"/>
                <w:szCs w:val="20"/>
                <w:color w:val="auto"/>
              </w:rPr>
            </w:pPr>
            <w:r>
              <w:rPr>
                <w:rFonts w:ascii="Arial" w:cs="Arial" w:eastAsia="Arial" w:hAnsi="Arial"/>
                <w:sz w:val="16"/>
                <w:szCs w:val="16"/>
                <w:color w:val="auto"/>
              </w:rPr>
              <w:t>Per Class A Nonvoting Common Share:</w:t>
            </w: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74"/>
        </w:trPr>
        <w:tc>
          <w:tcPr>
            <w:tcW w:w="1020" w:type="dxa"/>
            <w:vAlign w:val="bottom"/>
            <w:shd w:val="clear" w:color="auto" w:fill="CCEEFF"/>
          </w:tcPr>
          <w:p>
            <w:pPr>
              <w:spacing w:after="0"/>
              <w:rPr>
                <w:sz w:val="6"/>
                <w:szCs w:val="6"/>
                <w:color w:val="auto"/>
              </w:rPr>
            </w:pPr>
          </w:p>
        </w:tc>
        <w:tc>
          <w:tcPr>
            <w:tcW w:w="46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r>
      <w:tr>
        <w:trPr>
          <w:trHeight w:val="237"/>
        </w:trPr>
        <w:tc>
          <w:tcPr>
            <w:tcW w:w="5620" w:type="dxa"/>
            <w:vAlign w:val="bottom"/>
            <w:gridSpan w:val="2"/>
          </w:tcPr>
          <w:p>
            <w:pPr>
              <w:ind w:left="380"/>
              <w:spacing w:after="0"/>
              <w:rPr>
                <w:sz w:val="20"/>
                <w:szCs w:val="20"/>
                <w:color w:val="auto"/>
              </w:rPr>
            </w:pPr>
            <w:r>
              <w:rPr>
                <w:rFonts w:ascii="Arial" w:cs="Arial" w:eastAsia="Arial" w:hAnsi="Arial"/>
                <w:sz w:val="16"/>
                <w:szCs w:val="16"/>
                <w:color w:val="auto"/>
              </w:rPr>
              <w:t>Basic net (loss) income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(0.17)</w:t>
            </w:r>
          </w:p>
        </w:tc>
        <w:tc>
          <w:tcPr>
            <w:tcW w:w="12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(1.72)</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0.36</w:t>
            </w:r>
          </w:p>
        </w:tc>
        <w:tc>
          <w:tcPr>
            <w:tcW w:w="10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(1.09)</w:t>
            </w: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Diluted net (loss) income</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w:t>
            </w:r>
          </w:p>
        </w:tc>
      </w:tr>
      <w:tr>
        <w:trPr>
          <w:trHeight w:val="237"/>
        </w:trPr>
        <w:tc>
          <w:tcPr>
            <w:tcW w:w="5620" w:type="dxa"/>
            <w:vAlign w:val="bottom"/>
            <w:gridSpan w:val="2"/>
          </w:tcPr>
          <w:p>
            <w:pPr>
              <w:ind w:left="380"/>
              <w:spacing w:after="0"/>
              <w:rPr>
                <w:sz w:val="20"/>
                <w:szCs w:val="20"/>
                <w:color w:val="auto"/>
              </w:rPr>
            </w:pPr>
            <w:r>
              <w:rPr>
                <w:rFonts w:ascii="Arial" w:cs="Arial" w:eastAsia="Arial" w:hAnsi="Arial"/>
                <w:sz w:val="16"/>
                <w:szCs w:val="16"/>
                <w:color w:val="auto"/>
              </w:rPr>
              <w:t>Dividends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0.19</w:t>
            </w:r>
          </w:p>
        </w:tc>
        <w:tc>
          <w:tcPr>
            <w:tcW w:w="12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0.185</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0.38</w:t>
            </w:r>
          </w:p>
        </w:tc>
        <w:tc>
          <w:tcPr>
            <w:tcW w:w="10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0.37</w:t>
            </w: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Per Class B Voting Common Share: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37"/>
        </w:trPr>
        <w:tc>
          <w:tcPr>
            <w:tcW w:w="5620" w:type="dxa"/>
            <w:vAlign w:val="bottom"/>
            <w:gridSpan w:val="2"/>
          </w:tcPr>
          <w:p>
            <w:pPr>
              <w:ind w:left="380"/>
              <w:spacing w:after="0"/>
              <w:rPr>
                <w:sz w:val="20"/>
                <w:szCs w:val="20"/>
                <w:color w:val="auto"/>
              </w:rPr>
            </w:pPr>
            <w:r>
              <w:rPr>
                <w:rFonts w:ascii="Arial" w:cs="Arial" w:eastAsia="Arial" w:hAnsi="Arial"/>
                <w:sz w:val="16"/>
                <w:szCs w:val="16"/>
                <w:color w:val="auto"/>
              </w:rPr>
              <w:t>Basic net (loss) income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(0.17)</w:t>
            </w:r>
          </w:p>
        </w:tc>
        <w:tc>
          <w:tcPr>
            <w:tcW w:w="12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(1.72)</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0.34</w:t>
            </w:r>
          </w:p>
        </w:tc>
        <w:tc>
          <w:tcPr>
            <w:tcW w:w="10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(1.11)</w:t>
            </w: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Diluted net (loss) income</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w:t>
            </w:r>
          </w:p>
        </w:tc>
      </w:tr>
      <w:tr>
        <w:trPr>
          <w:trHeight w:val="237"/>
        </w:trPr>
        <w:tc>
          <w:tcPr>
            <w:tcW w:w="5620" w:type="dxa"/>
            <w:vAlign w:val="bottom"/>
            <w:gridSpan w:val="2"/>
          </w:tcPr>
          <w:p>
            <w:pPr>
              <w:ind w:left="380"/>
              <w:spacing w:after="0"/>
              <w:rPr>
                <w:sz w:val="20"/>
                <w:szCs w:val="20"/>
                <w:color w:val="auto"/>
              </w:rPr>
            </w:pPr>
            <w:r>
              <w:rPr>
                <w:rFonts w:ascii="Arial" w:cs="Arial" w:eastAsia="Arial" w:hAnsi="Arial"/>
                <w:sz w:val="16"/>
                <w:szCs w:val="16"/>
                <w:color w:val="auto"/>
              </w:rPr>
              <w:t>Dividends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0.19</w:t>
            </w:r>
          </w:p>
        </w:tc>
        <w:tc>
          <w:tcPr>
            <w:tcW w:w="12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0.185</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0.36</w:t>
            </w:r>
          </w:p>
        </w:tc>
        <w:tc>
          <w:tcPr>
            <w:tcW w:w="10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0.35</w:t>
            </w: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 (in thousands):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Basic</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51,177</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52,447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51,108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52,552</w:t>
            </w: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7"/>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Diluted</w:t>
            </w: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51,177</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52,447</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51,507</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52,552</w:t>
            </w:r>
          </w:p>
        </w:tc>
      </w:tr>
      <w:tr>
        <w:trPr>
          <w:trHeight w:val="33"/>
        </w:trPr>
        <w:tc>
          <w:tcPr>
            <w:tcW w:w="1020" w:type="dxa"/>
            <w:vAlign w:val="bottom"/>
            <w:shd w:val="clear" w:color="auto" w:fill="CCEEFF"/>
          </w:tcPr>
          <w:p>
            <w:pPr>
              <w:spacing w:after="0"/>
              <w:rPr>
                <w:sz w:val="2"/>
                <w:szCs w:val="2"/>
                <w:color w:val="auto"/>
              </w:rPr>
            </w:pPr>
          </w:p>
        </w:tc>
        <w:tc>
          <w:tcPr>
            <w:tcW w:w="46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14" w:right="23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BRADY CORPORATION AND SUBSIDIARIES</w:t>
      </w:r>
    </w:p>
    <w:p>
      <w:pPr>
        <w:spacing w:after="0" w:line="23" w:lineRule="exact"/>
        <w:rPr>
          <w:sz w:val="20"/>
          <w:szCs w:val="20"/>
          <w:color w:val="auto"/>
        </w:rPr>
      </w:pPr>
    </w:p>
    <w:p>
      <w:pPr>
        <w:ind w:right="5440"/>
        <w:spacing w:after="0" w:line="257" w:lineRule="auto"/>
        <w:rPr>
          <w:sz w:val="20"/>
          <w:szCs w:val="20"/>
          <w:color w:val="auto"/>
        </w:rPr>
      </w:pPr>
      <w:r>
        <w:rPr>
          <w:rFonts w:ascii="Arial" w:cs="Arial" w:eastAsia="Arial" w:hAnsi="Arial"/>
          <w:sz w:val="16"/>
          <w:szCs w:val="16"/>
          <w:b w:val="1"/>
          <w:bCs w:val="1"/>
          <w:color w:val="auto"/>
        </w:rPr>
        <w:t xml:space="preserve">CONDENSED CONSOLIDATED STATEMENTS OF COMPREHENSIVE INCOME </w:t>
      </w:r>
      <w:r>
        <w:rPr>
          <w:rFonts w:ascii="Arial" w:cs="Arial" w:eastAsia="Arial" w:hAnsi="Arial"/>
          <w:sz w:val="16"/>
          <w:szCs w:val="16"/>
          <w:color w:val="auto"/>
        </w:rPr>
        <w:t>(Dollars in Thousands)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 January 31,</w:t>
            </w:r>
          </w:p>
        </w:tc>
        <w:tc>
          <w:tcPr>
            <w:tcW w:w="240" w:type="dxa"/>
            <w:vAlign w:val="bottom"/>
          </w:tcPr>
          <w:p>
            <w:pPr>
              <w:spacing w:after="0"/>
              <w:rPr>
                <w:sz w:val="18"/>
                <w:szCs w:val="18"/>
                <w:color w:val="auto"/>
              </w:rPr>
            </w:pPr>
          </w:p>
        </w:tc>
        <w:tc>
          <w:tcPr>
            <w:tcW w:w="2560" w:type="dxa"/>
            <w:vAlign w:val="bottom"/>
            <w:gridSpan w:val="4"/>
          </w:tcPr>
          <w:p>
            <w:pPr>
              <w:jc w:val="right"/>
              <w:ind w:right="259"/>
              <w:spacing w:after="0"/>
              <w:rPr>
                <w:sz w:val="20"/>
                <w:szCs w:val="20"/>
                <w:color w:val="auto"/>
              </w:rPr>
            </w:pPr>
            <w:r>
              <w:rPr>
                <w:rFonts w:ascii="Arial" w:cs="Arial" w:eastAsia="Arial" w:hAnsi="Arial"/>
                <w:sz w:val="16"/>
                <w:szCs w:val="16"/>
                <w:b w:val="1"/>
                <w:bCs w:val="1"/>
                <w:color w:val="auto"/>
                <w:w w:val="95"/>
              </w:rPr>
              <w:t>Six months ended January 31,</w:t>
            </w:r>
          </w:p>
        </w:tc>
      </w:tr>
      <w:tr>
        <w:trPr>
          <w:trHeight w:val="270"/>
        </w:trPr>
        <w:tc>
          <w:tcPr>
            <w:tcW w:w="5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60" w:type="dxa"/>
            <w:vAlign w:val="bottom"/>
            <w:gridSpan w:val="3"/>
          </w:tcPr>
          <w:p>
            <w:pPr>
              <w:jc w:val="right"/>
              <w:spacing w:after="0"/>
              <w:rPr>
                <w:sz w:val="20"/>
                <w:szCs w:val="20"/>
                <w:color w:val="auto"/>
              </w:rPr>
            </w:pPr>
            <w:r>
              <w:rPr>
                <w:rFonts w:ascii="Arial" w:cs="Arial" w:eastAsia="Arial" w:hAnsi="Arial"/>
                <w:sz w:val="16"/>
                <w:szCs w:val="16"/>
                <w:b w:val="1"/>
                <w:bCs w:val="1"/>
                <w:color w:val="auto"/>
              </w:rPr>
              <w:t>(Unaudited)</w:t>
            </w: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60" w:type="dxa"/>
            <w:vAlign w:val="bottom"/>
            <w:gridSpan w:val="3"/>
          </w:tcPr>
          <w:p>
            <w:pPr>
              <w:jc w:val="right"/>
              <w:spacing w:after="0"/>
              <w:rPr>
                <w:sz w:val="20"/>
                <w:szCs w:val="20"/>
                <w:color w:val="auto"/>
              </w:rPr>
            </w:pPr>
            <w:r>
              <w:rPr>
                <w:rFonts w:ascii="Arial" w:cs="Arial" w:eastAsia="Arial" w:hAnsi="Arial"/>
                <w:sz w:val="16"/>
                <w:szCs w:val="16"/>
                <w:b w:val="1"/>
                <w:bCs w:val="1"/>
                <w:color w:val="auto"/>
              </w:rPr>
              <w:t>(Unaudited)</w:t>
            </w:r>
          </w:p>
        </w:tc>
        <w:tc>
          <w:tcPr>
            <w:tcW w:w="900" w:type="dxa"/>
            <w:vAlign w:val="bottom"/>
          </w:tcPr>
          <w:p>
            <w:pPr>
              <w:spacing w:after="0"/>
              <w:rPr>
                <w:sz w:val="23"/>
                <w:szCs w:val="23"/>
                <w:color w:val="auto"/>
              </w:rPr>
            </w:pPr>
          </w:p>
        </w:tc>
      </w:tr>
      <w:tr>
        <w:trPr>
          <w:trHeight w:val="33"/>
        </w:trPr>
        <w:tc>
          <w:tcPr>
            <w:tcW w:w="56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5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43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ind w:right="439"/>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439"/>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439"/>
              <w:spacing w:after="0"/>
              <w:rPr>
                <w:sz w:val="20"/>
                <w:szCs w:val="20"/>
                <w:color w:val="auto"/>
              </w:rPr>
            </w:pPr>
            <w:r>
              <w:rPr>
                <w:rFonts w:ascii="Arial" w:cs="Arial" w:eastAsia="Arial" w:hAnsi="Arial"/>
                <w:sz w:val="16"/>
                <w:szCs w:val="16"/>
                <w:b w:val="1"/>
                <w:bCs w:val="1"/>
                <w:color w:val="auto"/>
              </w:rPr>
              <w:t>2012</w:t>
            </w:r>
          </w:p>
        </w:tc>
      </w:tr>
      <w:tr>
        <w:trPr>
          <w:trHeight w:val="33"/>
        </w:trPr>
        <w:tc>
          <w:tcPr>
            <w:tcW w:w="5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income</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(8,684)</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(89,954)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18,504</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(57,222)</w:t>
            </w:r>
          </w:p>
        </w:tc>
      </w:tr>
      <w:tr>
        <w:trPr>
          <w:trHeight w:val="224"/>
        </w:trPr>
        <w:tc>
          <w:tcPr>
            <w:tcW w:w="5620" w:type="dxa"/>
            <w:vAlign w:val="bottom"/>
          </w:tcPr>
          <w:p>
            <w:pPr>
              <w:ind w:left="40"/>
              <w:spacing w:after="0"/>
              <w:rPr>
                <w:sz w:val="20"/>
                <w:szCs w:val="20"/>
                <w:color w:val="auto"/>
              </w:rPr>
            </w:pPr>
            <w:r>
              <w:rPr>
                <w:rFonts w:ascii="Arial" w:cs="Arial" w:eastAsia="Arial" w:hAnsi="Arial"/>
                <w:sz w:val="16"/>
                <w:szCs w:val="16"/>
                <w:color w:val="auto"/>
              </w:rPr>
              <w:t>Other comprehensive income:</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47"/>
        </w:trPr>
        <w:tc>
          <w:tcPr>
            <w:tcW w:w="5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Foreign currency translation adjustments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9,578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(19,410)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28,071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(34,011)</w:t>
            </w:r>
          </w:p>
        </w:tc>
      </w:tr>
      <w:tr>
        <w:trPr>
          <w:trHeight w:val="237"/>
        </w:trPr>
        <w:tc>
          <w:tcPr>
            <w:tcW w:w="5620" w:type="dxa"/>
            <w:vAlign w:val="bottom"/>
          </w:tcPr>
          <w:p>
            <w:pPr>
              <w:ind w:left="380"/>
              <w:spacing w:after="0"/>
              <w:rPr>
                <w:sz w:val="20"/>
                <w:szCs w:val="20"/>
                <w:color w:val="auto"/>
              </w:rPr>
            </w:pPr>
            <w:r>
              <w:rPr>
                <w:rFonts w:ascii="Arial" w:cs="Arial" w:eastAsia="Arial" w:hAnsi="Arial"/>
                <w:sz w:val="16"/>
                <w:szCs w:val="16"/>
                <w:color w:val="auto"/>
              </w:rPr>
              <w:t>Net investment hedge translation adjustments</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(4,431)</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10,024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(9,732)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13,252</w:t>
            </w:r>
          </w:p>
        </w:tc>
      </w:tr>
      <w:tr>
        <w:trPr>
          <w:trHeight w:val="33"/>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Long-term intercompany loan translation adjustments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3,184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(2,241)</w:t>
            </w:r>
          </w:p>
        </w:tc>
      </w:tr>
      <w:tr>
        <w:trPr>
          <w:trHeight w:val="224"/>
        </w:trPr>
        <w:tc>
          <w:tcPr>
            <w:tcW w:w="5620" w:type="dxa"/>
            <w:vAlign w:val="bottom"/>
          </w:tcPr>
          <w:p>
            <w:pPr>
              <w:ind w:left="380"/>
              <w:spacing w:after="0"/>
              <w:rPr>
                <w:sz w:val="20"/>
                <w:szCs w:val="20"/>
                <w:color w:val="auto"/>
              </w:rPr>
            </w:pPr>
            <w:r>
              <w:rPr>
                <w:rFonts w:ascii="Arial" w:cs="Arial" w:eastAsia="Arial" w:hAnsi="Arial"/>
                <w:sz w:val="16"/>
                <w:szCs w:val="16"/>
                <w:color w:val="auto"/>
              </w:rPr>
              <w:t>Cash flow hedges:</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47"/>
        </w:trPr>
        <w:tc>
          <w:tcPr>
            <w:tcW w:w="5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50"/>
        </w:trPr>
        <w:tc>
          <w:tcPr>
            <w:tcW w:w="5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Net (loss) gain recognized in other comprehensive income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1,728</w:t>
            </w:r>
          </w:p>
        </w:tc>
      </w:tr>
      <w:tr>
        <w:trPr>
          <w:trHeight w:val="237"/>
        </w:trPr>
        <w:tc>
          <w:tcPr>
            <w:tcW w:w="5620" w:type="dxa"/>
            <w:vAlign w:val="bottom"/>
          </w:tcPr>
          <w:p>
            <w:pPr>
              <w:ind w:left="720"/>
              <w:spacing w:after="0"/>
              <w:rPr>
                <w:sz w:val="20"/>
                <w:szCs w:val="20"/>
                <w:color w:val="auto"/>
              </w:rPr>
            </w:pPr>
            <w:r>
              <w:rPr>
                <w:rFonts w:ascii="Arial" w:cs="Arial" w:eastAsia="Arial" w:hAnsi="Arial"/>
                <w:sz w:val="16"/>
                <w:szCs w:val="16"/>
                <w:color w:val="auto"/>
              </w:rPr>
              <w:t>Reclassification adjustment for (gains) losses included in net income</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(557)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635</w:t>
            </w:r>
          </w:p>
        </w:tc>
      </w:tr>
      <w:tr>
        <w:trPr>
          <w:trHeight w:val="33"/>
        </w:trPr>
        <w:tc>
          <w:tcPr>
            <w:tcW w:w="5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56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(531)</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(1,555)</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2,363</w:t>
            </w:r>
          </w:p>
        </w:tc>
      </w:tr>
      <w:tr>
        <w:trPr>
          <w:trHeight w:val="224"/>
        </w:trPr>
        <w:tc>
          <w:tcPr>
            <w:tcW w:w="5620" w:type="dxa"/>
            <w:vAlign w:val="bottom"/>
          </w:tcPr>
          <w:p>
            <w:pPr>
              <w:ind w:left="380"/>
              <w:spacing w:after="0"/>
              <w:rPr>
                <w:sz w:val="20"/>
                <w:szCs w:val="20"/>
                <w:color w:val="auto"/>
              </w:rPr>
            </w:pPr>
            <w:r>
              <w:rPr>
                <w:rFonts w:ascii="Arial" w:cs="Arial" w:eastAsia="Arial" w:hAnsi="Arial"/>
                <w:sz w:val="16"/>
                <w:szCs w:val="16"/>
                <w:color w:val="auto"/>
              </w:rPr>
              <w:t>Pension and other post-retirement benefits:</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47"/>
        </w:trPr>
        <w:tc>
          <w:tcPr>
            <w:tcW w:w="5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50"/>
        </w:trPr>
        <w:tc>
          <w:tcPr>
            <w:tcW w:w="5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Gain recognized in other comprehensive income</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1,105</w:t>
            </w:r>
          </w:p>
        </w:tc>
      </w:tr>
      <w:tr>
        <w:trPr>
          <w:trHeight w:val="237"/>
        </w:trPr>
        <w:tc>
          <w:tcPr>
            <w:tcW w:w="5620" w:type="dxa"/>
            <w:vAlign w:val="bottom"/>
          </w:tcPr>
          <w:p>
            <w:pPr>
              <w:ind w:left="720"/>
              <w:spacing w:after="0"/>
              <w:rPr>
                <w:sz w:val="20"/>
                <w:szCs w:val="20"/>
                <w:color w:val="auto"/>
              </w:rPr>
            </w:pPr>
            <w:r>
              <w:rPr>
                <w:rFonts w:ascii="Arial" w:cs="Arial" w:eastAsia="Arial" w:hAnsi="Arial"/>
                <w:sz w:val="16"/>
                <w:szCs w:val="16"/>
                <w:color w:val="auto"/>
              </w:rPr>
              <w:t>Actuarial gain amortization</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(63)</w:t>
            </w:r>
          </w:p>
        </w:tc>
      </w:tr>
      <w:tr>
        <w:trPr>
          <w:trHeight w:val="33"/>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Prior service credit amortization</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w:t>
            </w:r>
          </w:p>
        </w:tc>
      </w:tr>
      <w:tr>
        <w:trPr>
          <w:trHeight w:val="217"/>
        </w:trPr>
        <w:tc>
          <w:tcPr>
            <w:tcW w:w="56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(131)</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974</w:t>
            </w:r>
          </w:p>
        </w:tc>
      </w:tr>
      <w:tr>
        <w:trPr>
          <w:trHeight w:val="33"/>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income (loss), before tax</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7,738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(7,498)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18,249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(19,663)</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w w:val="94"/>
              </w:rPr>
              <w:t>Income tax benefit (expense) related to items of other comprehensive income (loss)</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1,560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(4,021)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3,815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(8,976)</w:t>
            </w:r>
          </w:p>
        </w:tc>
      </w:tr>
      <w:tr>
        <w:trPr>
          <w:trHeight w:val="33"/>
        </w:trPr>
        <w:tc>
          <w:tcPr>
            <w:tcW w:w="5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income (loss), net of tax</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9,298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(11,519)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22,064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(28,639)</w:t>
            </w:r>
          </w:p>
        </w:tc>
      </w:tr>
      <w:tr>
        <w:trPr>
          <w:trHeight w:val="217"/>
        </w:trPr>
        <w:tc>
          <w:tcPr>
            <w:tcW w:w="5620" w:type="dxa"/>
            <w:vAlign w:val="bottom"/>
          </w:tcPr>
          <w:p>
            <w:pPr>
              <w:ind w:left="40"/>
              <w:spacing w:after="0"/>
              <w:rPr>
                <w:sz w:val="20"/>
                <w:szCs w:val="20"/>
                <w:color w:val="auto"/>
              </w:rPr>
            </w:pPr>
            <w:r>
              <w:rPr>
                <w:rFonts w:ascii="Arial" w:cs="Arial" w:eastAsia="Arial" w:hAnsi="Arial"/>
                <w:sz w:val="16"/>
                <w:szCs w:val="16"/>
                <w:color w:val="auto"/>
              </w:rPr>
              <w:t>Comprehensive income (loss)</w:t>
            </w: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614</w:t>
            </w:r>
          </w:p>
        </w:tc>
        <w:tc>
          <w:tcPr>
            <w:tcW w:w="120" w:type="dxa"/>
            <w:vAlign w:val="bottom"/>
          </w:tcPr>
          <w:p>
            <w:pPr>
              <w:spacing w:after="0"/>
              <w:rPr>
                <w:sz w:val="18"/>
                <w:szCs w:val="18"/>
                <w:color w:val="auto"/>
              </w:rPr>
            </w:pPr>
          </w:p>
        </w:tc>
        <w:tc>
          <w:tcPr>
            <w:tcW w:w="46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(101,473)</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40,568</w:t>
            </w:r>
          </w:p>
        </w:tc>
        <w:tc>
          <w:tcPr>
            <w:tcW w:w="100" w:type="dxa"/>
            <w:vAlign w:val="bottom"/>
          </w:tcPr>
          <w:p>
            <w:pPr>
              <w:spacing w:after="0"/>
              <w:rPr>
                <w:sz w:val="18"/>
                <w:szCs w:val="18"/>
                <w:color w:val="auto"/>
              </w:rPr>
            </w:pPr>
          </w:p>
        </w:tc>
        <w:tc>
          <w:tcPr>
            <w:tcW w:w="46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(85,861)</w:t>
            </w:r>
          </w:p>
        </w:tc>
      </w:tr>
      <w:tr>
        <w:trPr>
          <w:trHeight w:val="33"/>
        </w:trPr>
        <w:tc>
          <w:tcPr>
            <w:tcW w:w="56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2"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8340" w:type="dxa"/>
            <w:vAlign w:val="bottom"/>
            <w:gridSpan w:val="2"/>
          </w:tcPr>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0"/>
        </w:trPr>
        <w:tc>
          <w:tcPr>
            <w:tcW w:w="1020" w:type="dxa"/>
            <w:vAlign w:val="bottom"/>
            <w:shd w:val="clear" w:color="auto" w:fill="0000FF"/>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25"/>
        </w:trPr>
        <w:tc>
          <w:tcPr>
            <w:tcW w:w="8340" w:type="dxa"/>
            <w:vAlign w:val="bottom"/>
            <w:gridSpan w:val="2"/>
          </w:tcPr>
          <w:p>
            <w:pPr>
              <w:spacing w:after="0"/>
              <w:rPr>
                <w:sz w:val="20"/>
                <w:szCs w:val="20"/>
                <w:color w:val="auto"/>
              </w:rPr>
            </w:pPr>
            <w:r>
              <w:rPr>
                <w:rFonts w:ascii="Arial" w:cs="Arial" w:eastAsia="Arial" w:hAnsi="Arial"/>
                <w:sz w:val="16"/>
                <w:szCs w:val="16"/>
                <w:b w:val="1"/>
                <w:bCs w:val="1"/>
                <w:color w:val="auto"/>
              </w:rPr>
              <w:t>BRADY CORPORATION AND SUBSIDIARIES</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93"/>
        </w:trPr>
        <w:tc>
          <w:tcPr>
            <w:tcW w:w="8340" w:type="dxa"/>
            <w:vAlign w:val="bottom"/>
            <w:gridSpan w:val="2"/>
          </w:tcPr>
          <w:p>
            <w:pPr>
              <w:spacing w:after="0"/>
              <w:rPr>
                <w:sz w:val="20"/>
                <w:szCs w:val="20"/>
                <w:color w:val="auto"/>
              </w:rPr>
            </w:pPr>
            <w:r>
              <w:rPr>
                <w:rFonts w:ascii="Arial" w:cs="Arial" w:eastAsia="Arial" w:hAnsi="Arial"/>
                <w:sz w:val="16"/>
                <w:szCs w:val="16"/>
                <w:b w:val="1"/>
                <w:bCs w:val="1"/>
                <w:color w:val="auto"/>
              </w:rPr>
              <w:t>CONDENSED CONSOLIDATED STATEMENTS OF CASH FLOWS</w:t>
            </w: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06"/>
        </w:trPr>
        <w:tc>
          <w:tcPr>
            <w:tcW w:w="8340" w:type="dxa"/>
            <w:vAlign w:val="bottom"/>
            <w:gridSpan w:val="2"/>
          </w:tcPr>
          <w:p>
            <w:pPr>
              <w:spacing w:after="0"/>
              <w:rPr>
                <w:sz w:val="20"/>
                <w:szCs w:val="20"/>
                <w:color w:val="auto"/>
              </w:rPr>
            </w:pPr>
            <w:r>
              <w:rPr>
                <w:rFonts w:ascii="Arial" w:cs="Arial" w:eastAsia="Arial" w:hAnsi="Arial"/>
                <w:sz w:val="16"/>
                <w:szCs w:val="16"/>
                <w:color w:val="auto"/>
              </w:rPr>
              <w:t>(Dollars in Thousands)</w:t>
            </w: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365"/>
        </w:trPr>
        <w:tc>
          <w:tcPr>
            <w:tcW w:w="102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80" w:type="dxa"/>
            <w:vAlign w:val="bottom"/>
            <w:gridSpan w:val="4"/>
          </w:tcPr>
          <w:p>
            <w:pPr>
              <w:jc w:val="right"/>
              <w:ind w:right="379"/>
              <w:spacing w:after="0"/>
              <w:rPr>
                <w:sz w:val="20"/>
                <w:szCs w:val="20"/>
                <w:color w:val="auto"/>
              </w:rPr>
            </w:pPr>
            <w:r>
              <w:rPr>
                <w:rFonts w:ascii="Arial" w:cs="Arial" w:eastAsia="Arial" w:hAnsi="Arial"/>
                <w:sz w:val="16"/>
                <w:szCs w:val="16"/>
                <w:b w:val="1"/>
                <w:bCs w:val="1"/>
                <w:color w:val="auto"/>
                <w:w w:val="99"/>
              </w:rPr>
              <w:t>Six Months Ended January 31,</w:t>
            </w:r>
          </w:p>
        </w:tc>
      </w:tr>
      <w:tr>
        <w:trPr>
          <w:trHeight w:val="270"/>
        </w:trPr>
        <w:tc>
          <w:tcPr>
            <w:tcW w:w="1020" w:type="dxa"/>
            <w:vAlign w:val="bottom"/>
          </w:tcPr>
          <w:p>
            <w:pPr>
              <w:spacing w:after="0"/>
              <w:rPr>
                <w:sz w:val="23"/>
                <w:szCs w:val="23"/>
                <w:color w:val="auto"/>
              </w:rPr>
            </w:pPr>
          </w:p>
        </w:tc>
        <w:tc>
          <w:tcPr>
            <w:tcW w:w="73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78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(Unaudited)</w:t>
            </w:r>
          </w:p>
        </w:tc>
        <w:tc>
          <w:tcPr>
            <w:tcW w:w="1000" w:type="dxa"/>
            <w:vAlign w:val="bottom"/>
          </w:tcPr>
          <w:p>
            <w:pPr>
              <w:spacing w:after="0"/>
              <w:rPr>
                <w:sz w:val="23"/>
                <w:szCs w:val="23"/>
                <w:color w:val="auto"/>
              </w:rPr>
            </w:pP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1"/>
        </w:trPr>
        <w:tc>
          <w:tcPr>
            <w:tcW w:w="1020" w:type="dxa"/>
            <w:vAlign w:val="bottom"/>
          </w:tcPr>
          <w:p>
            <w:pPr>
              <w:spacing w:after="0"/>
              <w:rPr>
                <w:sz w:val="20"/>
                <w:szCs w:val="20"/>
                <w:color w:val="auto"/>
              </w:rPr>
            </w:pPr>
          </w:p>
        </w:tc>
        <w:tc>
          <w:tcPr>
            <w:tcW w:w="7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ind w:right="49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479"/>
              <w:spacing w:after="0"/>
              <w:rPr>
                <w:sz w:val="20"/>
                <w:szCs w:val="20"/>
                <w:color w:val="auto"/>
              </w:rPr>
            </w:pPr>
            <w:r>
              <w:rPr>
                <w:rFonts w:ascii="Arial" w:cs="Arial" w:eastAsia="Arial" w:hAnsi="Arial"/>
                <w:sz w:val="16"/>
                <w:szCs w:val="16"/>
                <w:b w:val="1"/>
                <w:bCs w:val="1"/>
                <w:color w:val="auto"/>
              </w:rPr>
              <w:t>2012</w:t>
            </w:r>
          </w:p>
        </w:tc>
      </w:tr>
      <w:tr>
        <w:trPr>
          <w:trHeight w:val="33"/>
        </w:trPr>
        <w:tc>
          <w:tcPr>
            <w:tcW w:w="1020" w:type="dxa"/>
            <w:vAlign w:val="bottom"/>
            <w:tcBorders>
              <w:bottom w:val="single" w:sz="8" w:color="CCEEFF"/>
            </w:tcBorders>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4"/>
        </w:trPr>
        <w:tc>
          <w:tcPr>
            <w:tcW w:w="83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60"/>
        </w:trPr>
        <w:tc>
          <w:tcPr>
            <w:tcW w:w="1020" w:type="dxa"/>
            <w:vAlign w:val="bottom"/>
            <w:shd w:val="clear" w:color="auto" w:fill="CCEEFF"/>
          </w:tcPr>
          <w:p>
            <w:pPr>
              <w:spacing w:after="0"/>
              <w:rPr>
                <w:sz w:val="5"/>
                <w:szCs w:val="5"/>
                <w:color w:val="auto"/>
              </w:rPr>
            </w:pPr>
          </w:p>
        </w:tc>
        <w:tc>
          <w:tcPr>
            <w:tcW w:w="73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r>
      <w:tr>
        <w:trPr>
          <w:trHeight w:val="237"/>
        </w:trPr>
        <w:tc>
          <w:tcPr>
            <w:tcW w:w="8340" w:type="dxa"/>
            <w:vAlign w:val="bottom"/>
            <w:gridSpan w:val="2"/>
          </w:tcPr>
          <w:p>
            <w:pPr>
              <w:ind w:left="380"/>
              <w:spacing w:after="0"/>
              <w:rPr>
                <w:sz w:val="20"/>
                <w:szCs w:val="20"/>
                <w:color w:val="auto"/>
              </w:rPr>
            </w:pPr>
            <w:r>
              <w:rPr>
                <w:rFonts w:ascii="Arial" w:cs="Arial" w:eastAsia="Arial" w:hAnsi="Arial"/>
                <w:sz w:val="16"/>
                <w:szCs w:val="16"/>
                <w:color w:val="auto"/>
              </w:rPr>
              <w:t>Net income (loss)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18,504</w:t>
            </w:r>
          </w:p>
        </w:tc>
        <w:tc>
          <w:tcPr>
            <w:tcW w:w="120" w:type="dxa"/>
            <w:vAlign w:val="bottom"/>
          </w:tcPr>
          <w:p>
            <w:pPr>
              <w:spacing w:after="0"/>
              <w:rPr>
                <w:sz w:val="20"/>
                <w:szCs w:val="20"/>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(57,222)</w:t>
            </w: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gridSpan w:val="2"/>
          </w:tcPr>
          <w:p>
            <w:pPr>
              <w:ind w:left="72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22,046</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22,176</w:t>
            </w: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Non-cash portion of restructuring charges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340" w:type="dxa"/>
            <w:vAlign w:val="bottom"/>
            <w:gridSpan w:val="2"/>
          </w:tcPr>
          <w:p>
            <w:pPr>
              <w:ind w:left="720"/>
              <w:spacing w:after="0"/>
              <w:rPr>
                <w:sz w:val="20"/>
                <w:szCs w:val="20"/>
                <w:color w:val="auto"/>
              </w:rPr>
            </w:pPr>
            <w:r>
              <w:rPr>
                <w:rFonts w:ascii="Arial" w:cs="Arial" w:eastAsia="Arial" w:hAnsi="Arial"/>
                <w:sz w:val="16"/>
                <w:szCs w:val="16"/>
                <w:color w:val="auto"/>
              </w:rPr>
              <w:t>Non-cash portion of stock-based compensation expense</w:t>
            </w:r>
          </w:p>
        </w:tc>
        <w:tc>
          <w:tcPr>
            <w:tcW w:w="3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6,868</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5,506</w:t>
            </w: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Impairment charge</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115,688</w:t>
            </w:r>
          </w:p>
        </w:tc>
      </w:tr>
      <w:tr>
        <w:trPr>
          <w:trHeight w:val="237"/>
        </w:trPr>
        <w:tc>
          <w:tcPr>
            <w:tcW w:w="8340" w:type="dxa"/>
            <w:vAlign w:val="bottom"/>
            <w:gridSpan w:val="2"/>
          </w:tcPr>
          <w:p>
            <w:pPr>
              <w:ind w:left="720"/>
              <w:spacing w:after="0"/>
              <w:rPr>
                <w:sz w:val="20"/>
                <w:szCs w:val="20"/>
                <w:color w:val="auto"/>
              </w:rPr>
            </w:pPr>
            <w:r>
              <w:rPr>
                <w:rFonts w:ascii="Arial" w:cs="Arial" w:eastAsia="Arial" w:hAnsi="Arial"/>
                <w:sz w:val="16"/>
                <w:szCs w:val="16"/>
                <w:color w:val="auto"/>
              </w:rPr>
              <w:t>Loss (gain) on sales of businesses</w:t>
            </w:r>
          </w:p>
        </w:tc>
        <w:tc>
          <w:tcPr>
            <w:tcW w:w="3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3,138</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Deferred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26,050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(4,831)</w:t>
            </w:r>
          </w:p>
        </w:tc>
      </w:tr>
      <w:tr>
        <w:trPr>
          <w:trHeight w:val="224"/>
        </w:trPr>
        <w:tc>
          <w:tcPr>
            <w:tcW w:w="8340" w:type="dxa"/>
            <w:vAlign w:val="bottom"/>
            <w:gridSpan w:val="2"/>
          </w:tcPr>
          <w:p>
            <w:pPr>
              <w:ind w:left="720"/>
              <w:spacing w:after="0"/>
              <w:rPr>
                <w:sz w:val="20"/>
                <w:szCs w:val="20"/>
                <w:color w:val="auto"/>
              </w:rPr>
            </w:pPr>
            <w:r>
              <w:rPr>
                <w:rFonts w:ascii="Arial" w:cs="Arial" w:eastAsia="Arial" w:hAnsi="Arial"/>
                <w:sz w:val="16"/>
                <w:szCs w:val="16"/>
                <w:color w:val="auto"/>
              </w:rPr>
              <w:t>Changes in operating assets and liabilities (net of effects of business acquisitions/divestitures):</w:t>
            </w: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47"/>
        </w:trPr>
        <w:tc>
          <w:tcPr>
            <w:tcW w:w="1020" w:type="dxa"/>
            <w:vAlign w:val="bottom"/>
          </w:tcPr>
          <w:p>
            <w:pPr>
              <w:spacing w:after="0"/>
              <w:rPr>
                <w:sz w:val="4"/>
                <w:szCs w:val="4"/>
                <w:color w:val="auto"/>
              </w:rPr>
            </w:pPr>
          </w:p>
        </w:tc>
        <w:tc>
          <w:tcPr>
            <w:tcW w:w="73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0" w:type="dxa"/>
            <w:vAlign w:val="bottom"/>
          </w:tcPr>
          <w:p>
            <w:pPr>
              <w:spacing w:after="0"/>
              <w:rPr>
                <w:sz w:val="4"/>
                <w:szCs w:val="4"/>
                <w:color w:val="auto"/>
              </w:rPr>
            </w:pPr>
          </w:p>
        </w:tc>
      </w:tr>
      <w:tr>
        <w:trPr>
          <w:trHeight w:val="250"/>
        </w:trPr>
        <w:tc>
          <w:tcPr>
            <w:tcW w:w="1020" w:type="dxa"/>
            <w:vAlign w:val="bottom"/>
            <w:tcBorders>
              <w:bottom w:val="single" w:sz="8" w:color="CCEEFF"/>
            </w:tcBorders>
            <w:shd w:val="clear" w:color="auto" w:fill="CCEEFF"/>
          </w:tcPr>
          <w:p>
            <w:pPr>
              <w:spacing w:after="0"/>
              <w:rPr>
                <w:sz w:val="21"/>
                <w:szCs w:val="21"/>
                <w:color w:val="auto"/>
              </w:rPr>
            </w:pPr>
          </w:p>
        </w:tc>
        <w:tc>
          <w:tcPr>
            <w:tcW w:w="7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Accounts receivable</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(5,418)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6,029</w:t>
            </w:r>
          </w:p>
        </w:tc>
      </w:tr>
      <w:tr>
        <w:trPr>
          <w:trHeight w:val="237"/>
        </w:trPr>
        <w:tc>
          <w:tcPr>
            <w:tcW w:w="1020" w:type="dxa"/>
            <w:vAlign w:val="bottom"/>
          </w:tcPr>
          <w:p>
            <w:pPr>
              <w:spacing w:after="0"/>
              <w:rPr>
                <w:sz w:val="20"/>
                <w:szCs w:val="20"/>
                <w:color w:val="auto"/>
              </w:rPr>
            </w:pPr>
          </w:p>
        </w:tc>
        <w:tc>
          <w:tcPr>
            <w:tcW w:w="7320" w:type="dxa"/>
            <w:vAlign w:val="bottom"/>
          </w:tcPr>
          <w:p>
            <w:pPr>
              <w:ind w:left="120"/>
              <w:spacing w:after="0"/>
              <w:rPr>
                <w:sz w:val="20"/>
                <w:szCs w:val="20"/>
                <w:color w:val="auto"/>
              </w:rPr>
            </w:pPr>
            <w:r>
              <w:rPr>
                <w:rFonts w:ascii="Arial" w:cs="Arial" w:eastAsia="Arial" w:hAnsi="Arial"/>
                <w:sz w:val="16"/>
                <w:szCs w:val="16"/>
                <w:color w:val="auto"/>
              </w:rPr>
              <w:t>Inventories</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(4,475)</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(11,814)</w:t>
            </w: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020" w:type="dxa"/>
            <w:vAlign w:val="bottom"/>
            <w:tcBorders>
              <w:bottom w:val="single" w:sz="8" w:color="CCEEFF"/>
            </w:tcBorders>
            <w:shd w:val="clear" w:color="auto" w:fill="CCEEFF"/>
          </w:tcPr>
          <w:p>
            <w:pPr>
              <w:spacing w:after="0"/>
              <w:rPr>
                <w:sz w:val="21"/>
                <w:szCs w:val="21"/>
                <w:color w:val="auto"/>
              </w:rPr>
            </w:pPr>
          </w:p>
        </w:tc>
        <w:tc>
          <w:tcPr>
            <w:tcW w:w="7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Prepaid expenses and other assets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(2,772)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(5,155)</w:t>
            </w:r>
          </w:p>
        </w:tc>
      </w:tr>
      <w:tr>
        <w:trPr>
          <w:trHeight w:val="237"/>
        </w:trPr>
        <w:tc>
          <w:tcPr>
            <w:tcW w:w="1020" w:type="dxa"/>
            <w:vAlign w:val="bottom"/>
          </w:tcPr>
          <w:p>
            <w:pPr>
              <w:spacing w:after="0"/>
              <w:rPr>
                <w:sz w:val="20"/>
                <w:szCs w:val="20"/>
                <w:color w:val="auto"/>
              </w:rPr>
            </w:pPr>
          </w:p>
        </w:tc>
        <w:tc>
          <w:tcPr>
            <w:tcW w:w="7320" w:type="dxa"/>
            <w:vAlign w:val="bottom"/>
          </w:tcPr>
          <w:p>
            <w:pPr>
              <w:ind w:left="120"/>
              <w:spacing w:after="0"/>
              <w:rPr>
                <w:sz w:val="20"/>
                <w:szCs w:val="20"/>
                <w:color w:val="auto"/>
              </w:rPr>
            </w:pPr>
            <w:r>
              <w:rPr>
                <w:rFonts w:ascii="Arial" w:cs="Arial" w:eastAsia="Arial" w:hAnsi="Arial"/>
                <w:sz w:val="16"/>
                <w:szCs w:val="16"/>
                <w:color w:val="auto"/>
              </w:rPr>
              <w:t>Accounts payable and accrued liabilities</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(13,629)</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(36,297)</w:t>
            </w: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1020" w:type="dxa"/>
            <w:vAlign w:val="bottom"/>
            <w:tcBorders>
              <w:bottom w:val="single" w:sz="8" w:color="CCEEFF"/>
            </w:tcBorders>
            <w:shd w:val="clear" w:color="auto" w:fill="CCEEFF"/>
          </w:tcPr>
          <w:p>
            <w:pPr>
              <w:spacing w:after="0"/>
              <w:rPr>
                <w:sz w:val="23"/>
                <w:szCs w:val="23"/>
                <w:color w:val="auto"/>
              </w:rPr>
            </w:pPr>
          </w:p>
        </w:tc>
        <w:tc>
          <w:tcPr>
            <w:tcW w:w="7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Income taxes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(6,318)</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9,221</w:t>
            </w:r>
          </w:p>
        </w:tc>
      </w:tr>
      <w:tr>
        <w:trPr>
          <w:trHeight w:val="217"/>
        </w:trPr>
        <w:tc>
          <w:tcPr>
            <w:tcW w:w="1020" w:type="dxa"/>
            <w:vAlign w:val="bottom"/>
          </w:tcPr>
          <w:p>
            <w:pPr>
              <w:spacing w:after="0"/>
              <w:rPr>
                <w:sz w:val="18"/>
                <w:szCs w:val="18"/>
                <w:color w:val="auto"/>
              </w:rPr>
            </w:pPr>
          </w:p>
        </w:tc>
        <w:tc>
          <w:tcPr>
            <w:tcW w:w="7320" w:type="dxa"/>
            <w:vAlign w:val="bottom"/>
          </w:tcPr>
          <w:p>
            <w:pPr>
              <w:ind w:left="560"/>
              <w:spacing w:after="0"/>
              <w:rPr>
                <w:sz w:val="20"/>
                <w:szCs w:val="20"/>
                <w:color w:val="auto"/>
              </w:rPr>
            </w:pPr>
            <w:r>
              <w:rPr>
                <w:rFonts w:ascii="Arial" w:cs="Arial" w:eastAsia="Arial" w:hAnsi="Arial"/>
                <w:sz w:val="16"/>
                <w:szCs w:val="16"/>
                <w:color w:val="auto"/>
              </w:rPr>
              <w:t>Net cash provided by operating activities</w:t>
            </w:r>
          </w:p>
        </w:tc>
        <w:tc>
          <w:tcPr>
            <w:tcW w:w="3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44,194</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43,301</w:t>
            </w: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gridSpan w:val="2"/>
          </w:tcPr>
          <w:p>
            <w:pPr>
              <w:ind w:left="720"/>
              <w:spacing w:after="0"/>
              <w:rPr>
                <w:sz w:val="20"/>
                <w:szCs w:val="20"/>
                <w:color w:val="auto"/>
              </w:rPr>
            </w:pPr>
            <w:r>
              <w:rPr>
                <w:rFonts w:ascii="Arial" w:cs="Arial" w:eastAsia="Arial" w:hAnsi="Arial"/>
                <w:sz w:val="16"/>
                <w:szCs w:val="16"/>
                <w:color w:val="auto"/>
              </w:rPr>
              <w:t>Purchases of property, plant and equipment</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(15,667)</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(11,100)</w:t>
            </w: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Payments of remaining consideration</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(2,580)</w:t>
            </w:r>
          </w:p>
        </w:tc>
      </w:tr>
      <w:tr>
        <w:trPr>
          <w:trHeight w:val="237"/>
        </w:trPr>
        <w:tc>
          <w:tcPr>
            <w:tcW w:w="8340" w:type="dxa"/>
            <w:vAlign w:val="bottom"/>
            <w:gridSpan w:val="2"/>
          </w:tcPr>
          <w:p>
            <w:pPr>
              <w:ind w:left="720"/>
              <w:spacing w:after="0"/>
              <w:rPr>
                <w:sz w:val="20"/>
                <w:szCs w:val="20"/>
                <w:color w:val="auto"/>
              </w:rPr>
            </w:pPr>
            <w:r>
              <w:rPr>
                <w:rFonts w:ascii="Arial" w:cs="Arial" w:eastAsia="Arial" w:hAnsi="Arial"/>
                <w:sz w:val="16"/>
                <w:szCs w:val="16"/>
                <w:color w:val="auto"/>
              </w:rPr>
              <w:t>Settlement of net investment hedges</w:t>
            </w:r>
          </w:p>
        </w:tc>
        <w:tc>
          <w:tcPr>
            <w:tcW w:w="300" w:type="dxa"/>
            <w:vAlign w:val="bottom"/>
          </w:tcPr>
          <w:p>
            <w:pPr>
              <w:spacing w:after="0"/>
              <w:rPr>
                <w:sz w:val="20"/>
                <w:szCs w:val="20"/>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(797)</w:t>
            </w: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Acquisition of business, net of cash acquired</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(300,757)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340" w:type="dxa"/>
            <w:vAlign w:val="bottom"/>
            <w:gridSpan w:val="2"/>
          </w:tcPr>
          <w:p>
            <w:pPr>
              <w:ind w:left="720"/>
              <w:spacing w:after="0"/>
              <w:rPr>
                <w:sz w:val="20"/>
                <w:szCs w:val="20"/>
                <w:color w:val="auto"/>
              </w:rPr>
            </w:pPr>
            <w:r>
              <w:rPr>
                <w:rFonts w:ascii="Arial" w:cs="Arial" w:eastAsia="Arial" w:hAnsi="Arial"/>
                <w:sz w:val="16"/>
                <w:szCs w:val="16"/>
                <w:color w:val="auto"/>
              </w:rPr>
              <w:t>Sales of businesses, net of cash retained</w:t>
            </w:r>
          </w:p>
        </w:tc>
        <w:tc>
          <w:tcPr>
            <w:tcW w:w="3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10,178</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(549)</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w:t>
            </w:r>
          </w:p>
        </w:tc>
      </w:tr>
      <w:tr>
        <w:trPr>
          <w:trHeight w:val="217"/>
        </w:trPr>
        <w:tc>
          <w:tcPr>
            <w:tcW w:w="1020" w:type="dxa"/>
            <w:vAlign w:val="bottom"/>
          </w:tcPr>
          <w:p>
            <w:pPr>
              <w:spacing w:after="0"/>
              <w:rPr>
                <w:sz w:val="18"/>
                <w:szCs w:val="18"/>
                <w:color w:val="auto"/>
              </w:rPr>
            </w:pPr>
          </w:p>
        </w:tc>
        <w:tc>
          <w:tcPr>
            <w:tcW w:w="7320" w:type="dxa"/>
            <w:vAlign w:val="bottom"/>
          </w:tcPr>
          <w:p>
            <w:pPr>
              <w:ind w:left="560"/>
              <w:spacing w:after="0"/>
              <w:rPr>
                <w:sz w:val="20"/>
                <w:szCs w:val="20"/>
                <w:color w:val="auto"/>
              </w:rPr>
            </w:pPr>
            <w:r>
              <w:rPr>
                <w:rFonts w:ascii="Arial" w:cs="Arial" w:eastAsia="Arial" w:hAnsi="Arial"/>
                <w:sz w:val="16"/>
                <w:szCs w:val="16"/>
                <w:color w:val="auto"/>
              </w:rPr>
              <w:t>Net cash used in investing activities</w:t>
            </w:r>
          </w:p>
        </w:tc>
        <w:tc>
          <w:tcPr>
            <w:tcW w:w="3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(306,795)</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(14,605)</w:t>
            </w: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gridSpan w:val="2"/>
          </w:tcPr>
          <w:p>
            <w:pPr>
              <w:ind w:left="720"/>
              <w:spacing w:after="0"/>
              <w:rPr>
                <w:sz w:val="20"/>
                <w:szCs w:val="20"/>
                <w:color w:val="auto"/>
              </w:rPr>
            </w:pPr>
            <w:r>
              <w:rPr>
                <w:rFonts w:ascii="Arial" w:cs="Arial" w:eastAsia="Arial" w:hAnsi="Arial"/>
                <w:sz w:val="16"/>
                <w:szCs w:val="16"/>
                <w:color w:val="auto"/>
              </w:rPr>
              <w:t>Payment of dividends</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(19,499)</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(19,452)</w:t>
            </w: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Proceeds from issuance of common stock</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4,409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2,301</w:t>
            </w:r>
          </w:p>
        </w:tc>
      </w:tr>
      <w:tr>
        <w:trPr>
          <w:trHeight w:val="237"/>
        </w:trPr>
        <w:tc>
          <w:tcPr>
            <w:tcW w:w="8340" w:type="dxa"/>
            <w:vAlign w:val="bottom"/>
            <w:gridSpan w:val="2"/>
          </w:tcPr>
          <w:p>
            <w:pPr>
              <w:ind w:left="720"/>
              <w:spacing w:after="0"/>
              <w:rPr>
                <w:sz w:val="20"/>
                <w:szCs w:val="20"/>
                <w:color w:val="auto"/>
              </w:rPr>
            </w:pPr>
            <w:r>
              <w:rPr>
                <w:rFonts w:ascii="Arial" w:cs="Arial" w:eastAsia="Arial" w:hAnsi="Arial"/>
                <w:sz w:val="16"/>
                <w:szCs w:val="16"/>
                <w:color w:val="auto"/>
              </w:rPr>
              <w:t>Purchase of treasury stock</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(5,121)</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(12,309)</w:t>
            </w: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Proceeds from borrowing on notes payable</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220,000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340" w:type="dxa"/>
            <w:vAlign w:val="bottom"/>
            <w:gridSpan w:val="2"/>
          </w:tcPr>
          <w:p>
            <w:pPr>
              <w:ind w:left="720"/>
              <w:spacing w:after="0"/>
              <w:rPr>
                <w:sz w:val="20"/>
                <w:szCs w:val="20"/>
                <w:color w:val="auto"/>
              </w:rPr>
            </w:pPr>
            <w:r>
              <w:rPr>
                <w:rFonts w:ascii="Arial" w:cs="Arial" w:eastAsia="Arial" w:hAnsi="Arial"/>
                <w:sz w:val="16"/>
                <w:szCs w:val="16"/>
                <w:color w:val="auto"/>
              </w:rPr>
              <w:t>Repayment of borrowing on notes payable</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(112,472)</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Income tax benefit from the exercise of stock options and deferred compensation distributions, and other</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1,273</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566</w:t>
            </w:r>
          </w:p>
        </w:tc>
      </w:tr>
      <w:tr>
        <w:trPr>
          <w:trHeight w:val="217"/>
        </w:trPr>
        <w:tc>
          <w:tcPr>
            <w:tcW w:w="1020" w:type="dxa"/>
            <w:vAlign w:val="bottom"/>
          </w:tcPr>
          <w:p>
            <w:pPr>
              <w:spacing w:after="0"/>
              <w:rPr>
                <w:sz w:val="18"/>
                <w:szCs w:val="18"/>
                <w:color w:val="auto"/>
              </w:rPr>
            </w:pPr>
          </w:p>
        </w:tc>
        <w:tc>
          <w:tcPr>
            <w:tcW w:w="7320" w:type="dxa"/>
            <w:vAlign w:val="bottom"/>
          </w:tcPr>
          <w:p>
            <w:pPr>
              <w:ind w:left="560"/>
              <w:spacing w:after="0"/>
              <w:rPr>
                <w:sz w:val="20"/>
                <w:szCs w:val="20"/>
                <w:color w:val="auto"/>
              </w:rPr>
            </w:pPr>
            <w:r>
              <w:rPr>
                <w:rFonts w:ascii="Arial" w:cs="Arial" w:eastAsia="Arial" w:hAnsi="Arial"/>
                <w:sz w:val="16"/>
                <w:szCs w:val="16"/>
                <w:color w:val="auto"/>
              </w:rPr>
              <w:t>Net cash provided by (used in) financing activities</w:t>
            </w:r>
          </w:p>
        </w:tc>
        <w:tc>
          <w:tcPr>
            <w:tcW w:w="3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88,590</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(28,894)</w:t>
            </w: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 cash</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9,422</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(9,442)</w:t>
            </w:r>
          </w:p>
        </w:tc>
      </w:tr>
      <w:tr>
        <w:trPr>
          <w:trHeight w:val="217"/>
        </w:trPr>
        <w:tc>
          <w:tcPr>
            <w:tcW w:w="8340" w:type="dxa"/>
            <w:vAlign w:val="bottom"/>
            <w:gridSpan w:val="2"/>
          </w:tcPr>
          <w:p>
            <w:pPr>
              <w:ind w:left="40"/>
              <w:spacing w:after="0"/>
              <w:rPr>
                <w:sz w:val="20"/>
                <w:szCs w:val="20"/>
                <w:color w:val="auto"/>
              </w:rPr>
            </w:pPr>
            <w:r>
              <w:rPr>
                <w:rFonts w:ascii="Arial" w:cs="Arial" w:eastAsia="Arial" w:hAnsi="Arial"/>
                <w:sz w:val="16"/>
                <w:szCs w:val="16"/>
                <w:color w:val="auto"/>
              </w:rPr>
              <w:t>Net decrease in cash and cash equivalents</w:t>
            </w:r>
          </w:p>
        </w:tc>
        <w:tc>
          <w:tcPr>
            <w:tcW w:w="3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(164,589)</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(9,640)</w:t>
            </w: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Cash and cash equivalents, beginning of period</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305,900</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389,971</w:t>
            </w:r>
          </w:p>
        </w:tc>
      </w:tr>
      <w:tr>
        <w:trPr>
          <w:trHeight w:val="217"/>
        </w:trPr>
        <w:tc>
          <w:tcPr>
            <w:tcW w:w="8340" w:type="dxa"/>
            <w:vAlign w:val="bottom"/>
            <w:gridSpan w:val="2"/>
          </w:tcPr>
          <w:p>
            <w:pPr>
              <w:ind w:left="40"/>
              <w:spacing w:after="0"/>
              <w:rPr>
                <w:sz w:val="20"/>
                <w:szCs w:val="20"/>
                <w:color w:val="auto"/>
              </w:rPr>
            </w:pPr>
            <w:r>
              <w:rPr>
                <w:rFonts w:ascii="Arial" w:cs="Arial" w:eastAsia="Arial" w:hAnsi="Arial"/>
                <w:sz w:val="16"/>
                <w:szCs w:val="16"/>
                <w:color w:val="auto"/>
              </w:rPr>
              <w:t>Cash and cash equivalents, end of period</w:t>
            </w: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141,311</w:t>
            </w:r>
          </w:p>
        </w:tc>
        <w:tc>
          <w:tcPr>
            <w:tcW w:w="120" w:type="dxa"/>
            <w:vAlign w:val="bottom"/>
          </w:tcPr>
          <w:p>
            <w:pPr>
              <w:spacing w:after="0"/>
              <w:rPr>
                <w:sz w:val="18"/>
                <w:szCs w:val="18"/>
                <w:color w:val="auto"/>
              </w:rPr>
            </w:pPr>
          </w:p>
        </w:tc>
        <w:tc>
          <w:tcPr>
            <w:tcW w:w="46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380,331</w:t>
            </w:r>
          </w:p>
        </w:tc>
      </w:tr>
      <w:tr>
        <w:trPr>
          <w:trHeight w:val="73"/>
        </w:trPr>
        <w:tc>
          <w:tcPr>
            <w:tcW w:w="1020" w:type="dxa"/>
            <w:vAlign w:val="bottom"/>
            <w:tcBorders>
              <w:bottom w:val="single" w:sz="8" w:color="CCEEFF"/>
            </w:tcBorders>
          </w:tcPr>
          <w:p>
            <w:pPr>
              <w:spacing w:after="0"/>
              <w:rPr>
                <w:sz w:val="6"/>
                <w:szCs w:val="6"/>
                <w:color w:val="auto"/>
              </w:rPr>
            </w:pPr>
          </w:p>
        </w:tc>
        <w:tc>
          <w:tcPr>
            <w:tcW w:w="732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r>
      <w:tr>
        <w:trPr>
          <w:trHeight w:val="177"/>
        </w:trPr>
        <w:tc>
          <w:tcPr>
            <w:tcW w:w="8340" w:type="dxa"/>
            <w:vAlign w:val="bottom"/>
            <w:gridSpan w:val="2"/>
            <w:shd w:val="clear" w:color="auto" w:fill="CCEEFF"/>
          </w:tcPr>
          <w:p>
            <w:pPr>
              <w:ind w:left="40"/>
              <w:spacing w:after="0" w:line="177" w:lineRule="exact"/>
              <w:rPr>
                <w:sz w:val="20"/>
                <w:szCs w:val="20"/>
                <w:color w:val="auto"/>
              </w:rPr>
            </w:pPr>
            <w:r>
              <w:rPr>
                <w:rFonts w:ascii="Arial" w:cs="Arial" w:eastAsia="Arial" w:hAnsi="Arial"/>
                <w:sz w:val="16"/>
                <w:szCs w:val="16"/>
                <w:color w:val="auto"/>
              </w:rPr>
              <w:t>Supplemental disclosures of cash flow information:</w:t>
            </w:r>
          </w:p>
        </w:tc>
        <w:tc>
          <w:tcPr>
            <w:tcW w:w="3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74"/>
        </w:trPr>
        <w:tc>
          <w:tcPr>
            <w:tcW w:w="1020" w:type="dxa"/>
            <w:vAlign w:val="bottom"/>
            <w:shd w:val="clear" w:color="auto" w:fill="CCEEFF"/>
          </w:tcPr>
          <w:p>
            <w:pPr>
              <w:spacing w:after="0"/>
              <w:rPr>
                <w:sz w:val="6"/>
                <w:szCs w:val="6"/>
                <w:color w:val="auto"/>
              </w:rPr>
            </w:pPr>
          </w:p>
        </w:tc>
        <w:tc>
          <w:tcPr>
            <w:tcW w:w="73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r>
      <w:tr>
        <w:trPr>
          <w:trHeight w:val="224"/>
        </w:trPr>
        <w:tc>
          <w:tcPr>
            <w:tcW w:w="8340" w:type="dxa"/>
            <w:vAlign w:val="bottom"/>
            <w:gridSpan w:val="2"/>
          </w:tcPr>
          <w:p>
            <w:pPr>
              <w:ind w:left="380"/>
              <w:spacing w:after="0"/>
              <w:rPr>
                <w:sz w:val="20"/>
                <w:szCs w:val="20"/>
                <w:color w:val="auto"/>
              </w:rPr>
            </w:pPr>
            <w:r>
              <w:rPr>
                <w:rFonts w:ascii="Arial" w:cs="Arial" w:eastAsia="Arial" w:hAnsi="Arial"/>
                <w:sz w:val="16"/>
                <w:szCs w:val="16"/>
                <w:color w:val="auto"/>
              </w:rPr>
              <w:t>Cash paid during the period for:</w:t>
            </w: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47"/>
        </w:trPr>
        <w:tc>
          <w:tcPr>
            <w:tcW w:w="1020" w:type="dxa"/>
            <w:vAlign w:val="bottom"/>
          </w:tcPr>
          <w:p>
            <w:pPr>
              <w:spacing w:after="0"/>
              <w:rPr>
                <w:sz w:val="4"/>
                <w:szCs w:val="4"/>
                <w:color w:val="auto"/>
              </w:rPr>
            </w:pPr>
          </w:p>
        </w:tc>
        <w:tc>
          <w:tcPr>
            <w:tcW w:w="73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0" w:type="dxa"/>
            <w:vAlign w:val="bottom"/>
          </w:tcPr>
          <w:p>
            <w:pPr>
              <w:spacing w:after="0"/>
              <w:rPr>
                <w:sz w:val="4"/>
                <w:szCs w:val="4"/>
                <w:color w:val="auto"/>
              </w:rPr>
            </w:pPr>
          </w:p>
        </w:tc>
      </w:tr>
      <w:tr>
        <w:trPr>
          <w:trHeight w:val="250"/>
        </w:trPr>
        <w:tc>
          <w:tcPr>
            <w:tcW w:w="83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Interest, net of capitalized interest</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7,866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9,521</w:t>
            </w:r>
          </w:p>
        </w:tc>
      </w:tr>
      <w:tr>
        <w:trPr>
          <w:trHeight w:val="237"/>
        </w:trPr>
        <w:tc>
          <w:tcPr>
            <w:tcW w:w="8340" w:type="dxa"/>
            <w:vAlign w:val="bottom"/>
            <w:gridSpan w:val="2"/>
          </w:tcPr>
          <w:p>
            <w:pPr>
              <w:ind w:left="720"/>
              <w:spacing w:after="0"/>
              <w:rPr>
                <w:sz w:val="20"/>
                <w:szCs w:val="20"/>
                <w:color w:val="auto"/>
              </w:rPr>
            </w:pPr>
            <w:r>
              <w:rPr>
                <w:rFonts w:ascii="Arial" w:cs="Arial" w:eastAsia="Arial" w:hAnsi="Arial"/>
                <w:sz w:val="16"/>
                <w:szCs w:val="16"/>
                <w:color w:val="auto"/>
              </w:rPr>
              <w:t>Income taxes, net of refunds</w:t>
            </w:r>
          </w:p>
        </w:tc>
        <w:tc>
          <w:tcPr>
            <w:tcW w:w="3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19,964</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16,189</w:t>
            </w: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Acquisitions: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37"/>
        </w:trPr>
        <w:tc>
          <w:tcPr>
            <w:tcW w:w="1020" w:type="dxa"/>
            <w:vAlign w:val="bottom"/>
          </w:tcPr>
          <w:p>
            <w:pPr>
              <w:spacing w:after="0"/>
              <w:rPr>
                <w:sz w:val="20"/>
                <w:szCs w:val="20"/>
                <w:color w:val="auto"/>
              </w:rPr>
            </w:pPr>
          </w:p>
        </w:tc>
        <w:tc>
          <w:tcPr>
            <w:tcW w:w="7320" w:type="dxa"/>
            <w:vAlign w:val="bottom"/>
          </w:tcPr>
          <w:p>
            <w:pPr>
              <w:ind w:left="20"/>
              <w:spacing w:after="0"/>
              <w:rPr>
                <w:sz w:val="20"/>
                <w:szCs w:val="20"/>
                <w:color w:val="auto"/>
              </w:rPr>
            </w:pPr>
            <w:r>
              <w:rPr>
                <w:rFonts w:ascii="Arial" w:cs="Arial" w:eastAsia="Arial" w:hAnsi="Arial"/>
                <w:sz w:val="16"/>
                <w:szCs w:val="16"/>
                <w:color w:val="auto"/>
              </w:rPr>
              <w:t>Fair value of assets acquired, net of cash</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168,674</w:t>
            </w:r>
          </w:p>
        </w:tc>
        <w:tc>
          <w:tcPr>
            <w:tcW w:w="120" w:type="dxa"/>
            <w:vAlign w:val="bottom"/>
          </w:tcPr>
          <w:p>
            <w:pPr>
              <w:spacing w:after="0"/>
              <w:rPr>
                <w:sz w:val="20"/>
                <w:szCs w:val="20"/>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020" w:type="dxa"/>
            <w:vAlign w:val="bottom"/>
            <w:tcBorders>
              <w:bottom w:val="single" w:sz="8" w:color="CCEEFF"/>
            </w:tcBorders>
            <w:shd w:val="clear" w:color="auto" w:fill="CCEEFF"/>
          </w:tcPr>
          <w:p>
            <w:pPr>
              <w:spacing w:after="0"/>
              <w:rPr>
                <w:sz w:val="21"/>
                <w:szCs w:val="21"/>
                <w:color w:val="auto"/>
              </w:rPr>
            </w:pPr>
          </w:p>
        </w:tc>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Liabilities assumed</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(57,859)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1020" w:type="dxa"/>
            <w:vAlign w:val="bottom"/>
          </w:tcPr>
          <w:p>
            <w:pPr>
              <w:spacing w:after="0"/>
              <w:rPr>
                <w:sz w:val="20"/>
                <w:szCs w:val="20"/>
                <w:color w:val="auto"/>
              </w:rPr>
            </w:pPr>
          </w:p>
        </w:tc>
        <w:tc>
          <w:tcPr>
            <w:tcW w:w="7320" w:type="dxa"/>
            <w:vAlign w:val="bottom"/>
          </w:tcPr>
          <w:p>
            <w:pPr>
              <w:ind w:left="20"/>
              <w:spacing w:after="0"/>
              <w:rPr>
                <w:sz w:val="20"/>
                <w:szCs w:val="20"/>
                <w:color w:val="auto"/>
              </w:rPr>
            </w:pPr>
            <w:r>
              <w:rPr>
                <w:rFonts w:ascii="Arial" w:cs="Arial" w:eastAsia="Arial" w:hAnsi="Arial"/>
                <w:sz w:val="16"/>
                <w:szCs w:val="16"/>
                <w:color w:val="auto"/>
              </w:rPr>
              <w:t>Goodwill</w:t>
            </w:r>
          </w:p>
        </w:tc>
        <w:tc>
          <w:tcPr>
            <w:tcW w:w="3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189,942</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1020" w:type="dxa"/>
            <w:vAlign w:val="bottom"/>
            <w:tcBorders>
              <w:bottom w:val="single" w:sz="8" w:color="CCEEFF"/>
            </w:tcBorders>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5"/>
        </w:trPr>
        <w:tc>
          <w:tcPr>
            <w:tcW w:w="1020" w:type="dxa"/>
            <w:vAlign w:val="bottom"/>
            <w:tcBorders>
              <w:bottom w:val="single" w:sz="8" w:color="CCEEFF"/>
            </w:tcBorders>
            <w:shd w:val="clear" w:color="auto" w:fill="CCEEFF"/>
          </w:tcPr>
          <w:p>
            <w:pPr>
              <w:spacing w:after="0"/>
              <w:rPr>
                <w:sz w:val="21"/>
                <w:szCs w:val="21"/>
                <w:color w:val="auto"/>
              </w:rPr>
            </w:pPr>
          </w:p>
        </w:tc>
        <w:tc>
          <w:tcPr>
            <w:tcW w:w="73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Net cash paid for acquisitions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300,757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7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Condensed Consolidated Financial Statements.</w:t>
      </w:r>
    </w:p>
    <w:p>
      <w:pPr>
        <w:sectPr>
          <w:pgSz w:w="11900" w:h="16838" w:orient="portrait"/>
          <w:cols w:equalWidth="0" w:num="1">
            <w:col w:w="11420"/>
          </w:cols>
          <w:pgMar w:left="240" w:top="114" w:right="239" w:bottom="1440" w:gutter="0" w:footer="0" w:header="0"/>
        </w:sect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14" w:right="239" w:bottom="1440" w:gutter="0" w:footer="0" w:header="0"/>
          <w:type w:val="continuous"/>
        </w:sectPr>
      </w:pPr>
    </w:p>
    <w:bookmarkStart w:id="6" w:name="page7"/>
    <w:bookmarkEnd w:id="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BRADY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Six Months Ended January 31,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NOTE A — Basis of Presentation</w:t>
      </w:r>
    </w:p>
    <w:p>
      <w:pPr>
        <w:spacing w:after="0" w:line="90"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The condensed consolidated financial statements included herein have been prepared by Brady Corporation and subsidiaries (the “Company” or “Brady”) without audit, pursuant to the rules and regulations of the Securities and Exchange Commission. In the opinion of the Company, the foregoing statements contain all adjustments, consisting only of normal recurring adjustments necessary to present fairly the financial position of the Company as of January 31, 2013 and July 31, 2012, and its results of operations, comprehensive income, and cash flows for the three and six months ended January 31, 2013 and 2012. The condensed consolidated balance sheet as of July 31, 2012, has been derived from the audited consolidated financial statements of that date. The preparation of financial statements in conformity with accounting principles generally accepted in the United States of America (“GAAP”) requires management to make estimates and assumptions that affect the reported amounts therein. Due to the inherent uncertainty involved in making estimates, actual results in future periods may differ from the estimates.</w:t>
      </w:r>
    </w:p>
    <w:p>
      <w:pPr>
        <w:spacing w:after="0" w:line="12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GAAP have been condensed or omitted pursuant to rules and regulations of the Securities and Exchange Commission. Accordingly, the condensed consolidated financial statements do not include all of the information and footnotes required by GAAP for complete financial statement presentation. It is suggested that these condensed consolidated financial statements be read in conjunction with the consolidated financial statements and the notes thereto included in the Company’s latest annual report on Form 10-K for the year ended July 31, 2012.</w:t>
      </w:r>
    </w:p>
    <w:p>
      <w:pPr>
        <w:spacing w:after="0" w:line="134"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In June 2011, the Financial Accounting Standards Board (“FASB”) issued Accounting Standards Update (“ASU”) 2011-05, “Presentation of Comprehensive Income,” which eliminates the option to present components of other comprehensive income (“OCI”) as part of the statement of changes in stockholders’ equity. The amendments in this standard require that all non-owner changes in stockholders’ equity be presented in either a single continuous statement of comprehensive income or in two separate but consecutive statements. Subsequently, in December 2011, the FASB issued ASU 2011-12, “Deferral of the Effective Date for Amendments to the Presentation of Reclassifications of Items Out of Accumulated Other Comprehensive Income,” which indefinitely defers the requirements in ASU 2011-05 to present on the face of the financial statements adjustments for items that are reclassified from OCI to net income in the statement where the components of net income and the components of OCI are presented. The ASU does not change the items that must be reported in OCI. The Company has provided the required statements of comprehensive income beginning with the first quarter of fiscal 2013.</w:t>
      </w:r>
    </w:p>
    <w:p>
      <w:pPr>
        <w:spacing w:after="0" w:line="112"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In February 2013, the FASB issued ASU 2013-02, "Reporting of Amounts Reclassified Out of Accumulated Other Comprehensive Income," which requires entities to disclose additional information for items reclassified out of accumulated other comprehensive income (AOCI). For items reclassified out of AOCI and into net income in their entirety, entities are required to disclose the effect of the reclassification on each affected net income line item. For AOCI reclassification items that are not reclassified in their entirety into net income, a cross reference to other required U.S. GAAP disclosures is required. This information may be provided either in the notes or parenthetically on the face of the statement that reports net income as long as all the information is disclosed in a single location. However, an entity is prohibited from providing this information parenthetically on the face of the statement that reports net income if it has items that are not reclassified in their entirety into net income. The guidance is effective for annual and interim reporting periods beginning after December 15, 2012. The adoption of this update will not have a material impact on the financial statements of the Company.</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NOTE B — Goodwill and Intangible Assets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Changes in the carrying amount of goodwill for the six months ended January 31, 2013, are as follows: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ind w:left="140"/>
              <w:spacing w:after="0"/>
              <w:rPr>
                <w:sz w:val="20"/>
                <w:szCs w:val="20"/>
                <w:color w:val="auto"/>
              </w:rPr>
            </w:pPr>
            <w:r>
              <w:rPr>
                <w:rFonts w:ascii="Arial" w:cs="Arial" w:eastAsia="Arial" w:hAnsi="Arial"/>
                <w:sz w:val="18"/>
                <w:szCs w:val="18"/>
                <w:b w:val="1"/>
                <w:bCs w:val="1"/>
                <w:color w:val="auto"/>
              </w:rPr>
              <w:t>Americas</w:t>
            </w:r>
          </w:p>
        </w:tc>
        <w:tc>
          <w:tcPr>
            <w:tcW w:w="300" w:type="dxa"/>
            <w:vAlign w:val="bottom"/>
          </w:tcPr>
          <w:p>
            <w:pPr>
              <w:spacing w:after="0"/>
              <w:rPr>
                <w:sz w:val="20"/>
                <w:szCs w:val="20"/>
                <w:color w:val="auto"/>
              </w:rPr>
            </w:pPr>
          </w:p>
        </w:tc>
        <w:tc>
          <w:tcPr>
            <w:tcW w:w="1280" w:type="dxa"/>
            <w:vAlign w:val="bottom"/>
            <w:gridSpan w:val="2"/>
          </w:tcPr>
          <w:p>
            <w:pPr>
              <w:ind w:left="180"/>
              <w:spacing w:after="0"/>
              <w:rPr>
                <w:sz w:val="20"/>
                <w:szCs w:val="20"/>
                <w:color w:val="auto"/>
              </w:rPr>
            </w:pPr>
            <w:r>
              <w:rPr>
                <w:rFonts w:ascii="Arial" w:cs="Arial" w:eastAsia="Arial" w:hAnsi="Arial"/>
                <w:sz w:val="18"/>
                <w:szCs w:val="18"/>
                <w:b w:val="1"/>
                <w:bCs w:val="1"/>
                <w:color w:val="auto"/>
              </w:rPr>
              <w:t>EMEA</w:t>
            </w:r>
          </w:p>
        </w:tc>
        <w:tc>
          <w:tcPr>
            <w:tcW w:w="200" w:type="dxa"/>
            <w:vAlign w:val="bottom"/>
          </w:tcPr>
          <w:p>
            <w:pPr>
              <w:spacing w:after="0"/>
              <w:rPr>
                <w:sz w:val="20"/>
                <w:szCs w:val="20"/>
                <w:color w:val="auto"/>
              </w:rPr>
            </w:pPr>
          </w:p>
        </w:tc>
        <w:tc>
          <w:tcPr>
            <w:tcW w:w="1380" w:type="dxa"/>
            <w:vAlign w:val="bottom"/>
            <w:gridSpan w:val="2"/>
          </w:tcPr>
          <w:p>
            <w:pPr>
              <w:ind w:left="80"/>
              <w:spacing w:after="0"/>
              <w:rPr>
                <w:sz w:val="20"/>
                <w:szCs w:val="20"/>
                <w:color w:val="auto"/>
              </w:rPr>
            </w:pPr>
            <w:r>
              <w:rPr>
                <w:rFonts w:ascii="Arial" w:cs="Arial" w:eastAsia="Arial" w:hAnsi="Arial"/>
                <w:sz w:val="18"/>
                <w:szCs w:val="18"/>
                <w:b w:val="1"/>
                <w:bCs w:val="1"/>
                <w:color w:val="auto"/>
              </w:rPr>
              <w:t>Asia-Pacific</w:t>
            </w:r>
          </w:p>
        </w:tc>
        <w:tc>
          <w:tcPr>
            <w:tcW w:w="36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July 31, 2012</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417,886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174,868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84,037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676,791</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Current year acquisitions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0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189,942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189,942</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year divestitures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(2,882)</w:t>
            </w:r>
          </w:p>
        </w:tc>
        <w:tc>
          <w:tcPr>
            <w:tcW w:w="0" w:type="dxa"/>
            <w:vAlign w:val="bottom"/>
          </w:tcPr>
          <w:p>
            <w:pPr>
              <w:spacing w:after="0"/>
              <w:rPr>
                <w:sz w:val="1"/>
                <w:szCs w:val="1"/>
                <w:color w:val="auto"/>
              </w:rPr>
            </w:pP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Translation adjustments</w:t>
            </w:r>
          </w:p>
        </w:tc>
        <w:tc>
          <w:tcPr>
            <w:tcW w:w="2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728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12,635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14,121</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January 31, 2013</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605,674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187,503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84,795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877,972</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jc w:val="right"/>
              <w:ind w:right="69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Goodwill increased $201,181 during the six months ended January 31, 2013. Of the $201,181 increase, $189,942 was due to the acquisition of Precision Dynamics Corporation ("PDC"), and $14,121 was due to the positive effects of foreign currency translation. These increases were partially offset by the divestitures of the Precision Converting, LLC (“Brady Medical”) and the Varitronics businesses during the first quarter of fiscal 2013, which decreased goodwill by $863 and $2,019, respectively. Refer to Note K, “Acquisitions and Divestitures” for further discussion. The goodwill balance as of January 31, 2013, includes an accumulated impairment charge of $115,688 recognized during fiscal 2012 on the Company’s former North/South Asia reporting unit.</w:t>
      </w:r>
    </w:p>
    <w:p>
      <w:pPr>
        <w:spacing w:after="0" w:line="158"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Other intangible assets include patents, trademarks, customer relationships, non-compete agreements and other intangible assets with finite lives being amortized in accordance with the accounting guidance for other intangible assets. The net book value of these assets was as follows: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8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January 31, 2013</w:t>
            </w: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rPr>
              <w:t>July 31, 2012</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180" w:type="dxa"/>
            <w:vAlign w:val="bottom"/>
          </w:tcPr>
          <w:p>
            <w:pPr>
              <w:spacing w:after="0"/>
              <w:rPr>
                <w:sz w:val="13"/>
                <w:szCs w:val="13"/>
                <w:color w:val="auto"/>
              </w:rPr>
            </w:pPr>
          </w:p>
        </w:tc>
        <w:tc>
          <w:tcPr>
            <w:tcW w:w="128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2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2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2"/>
                <w:szCs w:val="12"/>
                <w:color w:val="auto"/>
              </w:rPr>
            </w:pPr>
          </w:p>
        </w:tc>
        <w:tc>
          <w:tcPr>
            <w:tcW w:w="7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7"/>
              </w:rPr>
              <w:t>Net Book</w:t>
            </w:r>
          </w:p>
        </w:tc>
        <w:tc>
          <w:tcPr>
            <w:tcW w:w="12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2"/>
                <w:szCs w:val="12"/>
                <w:color w:val="auto"/>
              </w:rPr>
            </w:pPr>
          </w:p>
        </w:tc>
        <w:tc>
          <w:tcPr>
            <w:tcW w:w="7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4"/>
              </w:rPr>
              <w:t>Net Book</w:t>
            </w: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Period</w:t>
            </w:r>
          </w:p>
        </w:tc>
        <w:tc>
          <w:tcPr>
            <w:tcW w:w="16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Period</w:t>
            </w:r>
          </w:p>
        </w:tc>
        <w:tc>
          <w:tcPr>
            <w:tcW w:w="16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180" w:type="dxa"/>
            <w:vAlign w:val="bottom"/>
          </w:tcPr>
          <w:p>
            <w:pPr>
              <w:spacing w:after="0"/>
              <w:rPr>
                <w:sz w:val="16"/>
                <w:szCs w:val="16"/>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(Years)</w:t>
            </w:r>
          </w:p>
        </w:tc>
        <w:tc>
          <w:tcPr>
            <w:tcW w:w="160" w:type="dxa"/>
            <w:vAlign w:val="bottom"/>
          </w:tcPr>
          <w:p>
            <w:pPr>
              <w:spacing w:after="0"/>
              <w:rPr>
                <w:sz w:val="16"/>
                <w:szCs w:val="16"/>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Amount</w:t>
            </w:r>
          </w:p>
        </w:tc>
        <w:tc>
          <w:tcPr>
            <w:tcW w:w="140" w:type="dxa"/>
            <w:vAlign w:val="bottom"/>
          </w:tcPr>
          <w:p>
            <w:pPr>
              <w:spacing w:after="0"/>
              <w:rPr>
                <w:sz w:val="16"/>
                <w:szCs w:val="16"/>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780" w:type="dxa"/>
            <w:vAlign w:val="bottom"/>
          </w:tcPr>
          <w:p>
            <w:pPr>
              <w:jc w:val="right"/>
              <w:ind w:right="208"/>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(Years)</w:t>
            </w:r>
          </w:p>
        </w:tc>
        <w:tc>
          <w:tcPr>
            <w:tcW w:w="160" w:type="dxa"/>
            <w:vAlign w:val="bottom"/>
          </w:tcPr>
          <w:p>
            <w:pPr>
              <w:spacing w:after="0"/>
              <w:rPr>
                <w:sz w:val="16"/>
                <w:szCs w:val="16"/>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760" w:type="dxa"/>
            <w:vAlign w:val="bottom"/>
          </w:tcPr>
          <w:p>
            <w:pPr>
              <w:jc w:val="right"/>
              <w:ind w:right="208"/>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77"/>
        </w:trPr>
        <w:tc>
          <w:tcPr>
            <w:tcW w:w="21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Amortized other intangible assets:</w:t>
            </w:r>
          </w:p>
        </w:tc>
        <w:tc>
          <w:tcPr>
            <w:tcW w:w="11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18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2180" w:type="dxa"/>
            <w:vAlign w:val="bottom"/>
          </w:tcPr>
          <w:p>
            <w:pPr>
              <w:ind w:left="380"/>
              <w:spacing w:after="0"/>
              <w:rPr>
                <w:sz w:val="20"/>
                <w:szCs w:val="20"/>
                <w:color w:val="auto"/>
              </w:rPr>
            </w:pPr>
            <w:r>
              <w:rPr>
                <w:rFonts w:ascii="Arial" w:cs="Arial" w:eastAsia="Arial" w:hAnsi="Arial"/>
                <w:sz w:val="14"/>
                <w:szCs w:val="14"/>
                <w:color w:val="auto"/>
              </w:rPr>
              <w:t>Patents</w:t>
            </w: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10,679</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(9,352)</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1,327</w:t>
            </w: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48"/>
              <w:spacing w:after="0"/>
              <w:rPr>
                <w:sz w:val="20"/>
                <w:szCs w:val="20"/>
                <w:color w:val="auto"/>
              </w:rPr>
            </w:pPr>
            <w:r>
              <w:rPr>
                <w:rFonts w:ascii="Arial" w:cs="Arial" w:eastAsia="Arial" w:hAnsi="Arial"/>
                <w:sz w:val="14"/>
                <w:szCs w:val="14"/>
                <w:color w:val="auto"/>
              </w:rPr>
              <w:t>10,418</w:t>
            </w:r>
          </w:p>
        </w:tc>
        <w:tc>
          <w:tcPr>
            <w:tcW w:w="10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(9,058)</w:t>
            </w:r>
          </w:p>
        </w:tc>
        <w:tc>
          <w:tcPr>
            <w:tcW w:w="1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1,360</w:t>
            </w:r>
          </w:p>
        </w:tc>
        <w:tc>
          <w:tcPr>
            <w:tcW w:w="0" w:type="dxa"/>
            <w:vAlign w:val="bottom"/>
          </w:tcPr>
          <w:p>
            <w:pPr>
              <w:spacing w:after="0"/>
              <w:rPr>
                <w:sz w:val="1"/>
                <w:szCs w:val="1"/>
                <w:color w:val="auto"/>
              </w:rPr>
            </w:pPr>
          </w:p>
        </w:tc>
      </w:tr>
      <w:tr>
        <w:trPr>
          <w:trHeight w:val="74"/>
        </w:trPr>
        <w:tc>
          <w:tcPr>
            <w:tcW w:w="218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1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Trademarks and other</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15,815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(7,196)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8,619</w:t>
            </w:r>
          </w:p>
        </w:tc>
        <w:tc>
          <w:tcPr>
            <w:tcW w:w="12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8,945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(7,094)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1,851</w:t>
            </w:r>
          </w:p>
        </w:tc>
        <w:tc>
          <w:tcPr>
            <w:tcW w:w="0" w:type="dxa"/>
            <w:vAlign w:val="bottom"/>
          </w:tcPr>
          <w:p>
            <w:pPr>
              <w:spacing w:after="0"/>
              <w:rPr>
                <w:sz w:val="1"/>
                <w:szCs w:val="1"/>
                <w:color w:val="auto"/>
              </w:rPr>
            </w:pPr>
          </w:p>
        </w:tc>
      </w:tr>
      <w:tr>
        <w:trPr>
          <w:trHeight w:val="80"/>
        </w:trPr>
        <w:tc>
          <w:tcPr>
            <w:tcW w:w="218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6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180" w:type="dxa"/>
            <w:vAlign w:val="bottom"/>
          </w:tcPr>
          <w:p>
            <w:pPr>
              <w:ind w:left="380"/>
              <w:spacing w:after="0"/>
              <w:rPr>
                <w:sz w:val="20"/>
                <w:szCs w:val="20"/>
                <w:color w:val="auto"/>
              </w:rPr>
            </w:pPr>
            <w:r>
              <w:rPr>
                <w:rFonts w:ascii="Arial" w:cs="Arial" w:eastAsia="Arial" w:hAnsi="Arial"/>
                <w:sz w:val="14"/>
                <w:szCs w:val="14"/>
                <w:color w:val="auto"/>
              </w:rPr>
              <w:t>Customer relationships</w:t>
            </w: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267,905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(138,227)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129,678</w:t>
            </w: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restart"/>
          </w:tcPr>
          <w:p>
            <w:pPr>
              <w:jc w:val="right"/>
              <w:ind w:right="48"/>
              <w:spacing w:after="0"/>
              <w:rPr>
                <w:sz w:val="20"/>
                <w:szCs w:val="20"/>
                <w:color w:val="auto"/>
              </w:rPr>
            </w:pPr>
            <w:r>
              <w:rPr>
                <w:rFonts w:ascii="Arial" w:cs="Arial" w:eastAsia="Arial" w:hAnsi="Arial"/>
                <w:sz w:val="14"/>
                <w:szCs w:val="14"/>
                <w:color w:val="auto"/>
              </w:rPr>
              <w:t>164,392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(128,805)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35,587</w:t>
            </w:r>
          </w:p>
        </w:tc>
        <w:tc>
          <w:tcPr>
            <w:tcW w:w="0" w:type="dxa"/>
            <w:vAlign w:val="bottom"/>
          </w:tcPr>
          <w:p>
            <w:pPr>
              <w:spacing w:after="0"/>
              <w:rPr>
                <w:sz w:val="1"/>
                <w:szCs w:val="1"/>
                <w:color w:val="auto"/>
              </w:rPr>
            </w:pPr>
          </w:p>
        </w:tc>
      </w:tr>
      <w:tr>
        <w:trPr>
          <w:trHeight w:val="74"/>
        </w:trPr>
        <w:tc>
          <w:tcPr>
            <w:tcW w:w="218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180" w:type="dxa"/>
            <w:vAlign w:val="bottom"/>
            <w:shd w:val="clear" w:color="auto" w:fill="CCEEFF"/>
          </w:tcPr>
          <w:p>
            <w:pPr>
              <w:ind w:left="380"/>
              <w:spacing w:after="0"/>
              <w:rPr>
                <w:sz w:val="20"/>
                <w:szCs w:val="20"/>
                <w:color w:val="auto"/>
              </w:rPr>
            </w:pPr>
            <w:r>
              <w:rPr>
                <w:rFonts w:ascii="Arial" w:cs="Arial" w:eastAsia="Arial" w:hAnsi="Arial"/>
                <w:sz w:val="14"/>
                <w:szCs w:val="14"/>
                <w:color w:val="auto"/>
                <w:w w:val="94"/>
              </w:rPr>
              <w:t>Non-compete agreements and</w:t>
            </w: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1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15,714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(15,271)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15,988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(15,417)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571</w:t>
            </w:r>
          </w:p>
        </w:tc>
        <w:tc>
          <w:tcPr>
            <w:tcW w:w="0" w:type="dxa"/>
            <w:vAlign w:val="bottom"/>
          </w:tcPr>
          <w:p>
            <w:pPr>
              <w:spacing w:after="0"/>
              <w:rPr>
                <w:sz w:val="1"/>
                <w:szCs w:val="1"/>
                <w:color w:val="auto"/>
              </w:rPr>
            </w:pPr>
          </w:p>
        </w:tc>
      </w:tr>
      <w:tr>
        <w:trPr>
          <w:trHeight w:val="191"/>
        </w:trPr>
        <w:tc>
          <w:tcPr>
            <w:tcW w:w="2180" w:type="dxa"/>
            <w:vAlign w:val="bottom"/>
          </w:tcPr>
          <w:p>
            <w:pPr>
              <w:ind w:left="40"/>
              <w:spacing w:after="0"/>
              <w:rPr>
                <w:sz w:val="20"/>
                <w:szCs w:val="20"/>
                <w:color w:val="auto"/>
              </w:rPr>
            </w:pPr>
            <w:r>
              <w:rPr>
                <w:rFonts w:ascii="Arial" w:cs="Arial" w:eastAsia="Arial" w:hAnsi="Arial"/>
                <w:sz w:val="14"/>
                <w:szCs w:val="14"/>
                <w:color w:val="auto"/>
                <w:w w:val="93"/>
              </w:rPr>
              <w:t>Unamortized other intangible assets:</w:t>
            </w: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1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1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Trademarks</w:t>
            </w:r>
          </w:p>
        </w:tc>
        <w:tc>
          <w:tcPr>
            <w:tcW w:w="1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N/A</w:t>
            </w:r>
          </w:p>
        </w:tc>
        <w:tc>
          <w:tcPr>
            <w:tcW w:w="16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45,428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45,428</w:t>
            </w:r>
          </w:p>
        </w:tc>
        <w:tc>
          <w:tcPr>
            <w:tcW w:w="120" w:type="dxa"/>
            <w:vAlign w:val="bottom"/>
            <w:shd w:val="clear" w:color="auto" w:fill="CCEEFF"/>
          </w:tcPr>
          <w:p>
            <w:pPr>
              <w:spacing w:after="0"/>
              <w:rPr>
                <w:sz w:val="16"/>
                <w:szCs w:val="16"/>
                <w:color w:val="auto"/>
              </w:rPr>
            </w:pPr>
          </w:p>
        </w:tc>
        <w:tc>
          <w:tcPr>
            <w:tcW w:w="12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N/A</w:t>
            </w:r>
          </w:p>
        </w:tc>
        <w:tc>
          <w:tcPr>
            <w:tcW w:w="16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44,750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44,750</w:t>
            </w:r>
          </w:p>
        </w:tc>
        <w:tc>
          <w:tcPr>
            <w:tcW w:w="0" w:type="dxa"/>
            <w:vAlign w:val="bottom"/>
          </w:tcPr>
          <w:p>
            <w:pPr>
              <w:spacing w:after="0"/>
              <w:rPr>
                <w:sz w:val="1"/>
                <w:szCs w:val="1"/>
                <w:color w:val="auto"/>
              </w:rPr>
            </w:pPr>
          </w:p>
        </w:tc>
      </w:tr>
      <w:tr>
        <w:trPr>
          <w:trHeight w:val="80"/>
        </w:trPr>
        <w:tc>
          <w:tcPr>
            <w:tcW w:w="2180" w:type="dxa"/>
            <w:vAlign w:val="bottom"/>
            <w:shd w:val="clear" w:color="auto" w:fill="CCEEFF"/>
          </w:tcPr>
          <w:p>
            <w:pPr>
              <w:spacing w:after="0"/>
              <w:rPr>
                <w:sz w:val="6"/>
                <w:szCs w:val="6"/>
                <w:color w:val="auto"/>
              </w:rPr>
            </w:pPr>
          </w:p>
        </w:tc>
        <w:tc>
          <w:tcPr>
            <w:tcW w:w="128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4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4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2180" w:type="dxa"/>
            <w:vAlign w:val="bottom"/>
          </w:tcPr>
          <w:p>
            <w:pPr>
              <w:ind w:left="40"/>
              <w:spacing w:after="0"/>
              <w:rPr>
                <w:sz w:val="20"/>
                <w:szCs w:val="20"/>
                <w:color w:val="auto"/>
              </w:rPr>
            </w:pPr>
            <w:r>
              <w:rPr>
                <w:rFonts w:ascii="Arial" w:cs="Arial" w:eastAsia="Arial" w:hAnsi="Arial"/>
                <w:sz w:val="14"/>
                <w:szCs w:val="14"/>
                <w:color w:val="auto"/>
              </w:rPr>
              <w:t>Total</w:t>
            </w: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355,541</w:t>
            </w:r>
          </w:p>
        </w:tc>
        <w:tc>
          <w:tcPr>
            <w:tcW w:w="120" w:type="dxa"/>
            <w:vAlign w:val="bottom"/>
          </w:tcPr>
          <w:p>
            <w:pPr>
              <w:spacing w:after="0"/>
              <w:rPr>
                <w:sz w:val="14"/>
                <w:szCs w:val="14"/>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(170,046)</w:t>
            </w:r>
          </w:p>
        </w:tc>
        <w:tc>
          <w:tcPr>
            <w:tcW w:w="120" w:type="dxa"/>
            <w:vAlign w:val="bottom"/>
          </w:tcPr>
          <w:p>
            <w:pPr>
              <w:spacing w:after="0"/>
              <w:rPr>
                <w:sz w:val="14"/>
                <w:szCs w:val="14"/>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185,495</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244,493</w:t>
            </w:r>
          </w:p>
        </w:tc>
        <w:tc>
          <w:tcPr>
            <w:tcW w:w="100" w:type="dxa"/>
            <w:vAlign w:val="bottom"/>
          </w:tcPr>
          <w:p>
            <w:pPr>
              <w:spacing w:after="0"/>
              <w:rPr>
                <w:sz w:val="14"/>
                <w:szCs w:val="14"/>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(160,374)</w:t>
            </w:r>
          </w:p>
        </w:tc>
        <w:tc>
          <w:tcPr>
            <w:tcW w:w="100" w:type="dxa"/>
            <w:vAlign w:val="bottom"/>
          </w:tcPr>
          <w:p>
            <w:pPr>
              <w:spacing w:after="0"/>
              <w:rPr>
                <w:sz w:val="14"/>
                <w:szCs w:val="14"/>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84,119</w:t>
            </w:r>
          </w:p>
        </w:tc>
        <w:tc>
          <w:tcPr>
            <w:tcW w:w="0" w:type="dxa"/>
            <w:vAlign w:val="bottom"/>
          </w:tcPr>
          <w:p>
            <w:pPr>
              <w:spacing w:after="0"/>
              <w:rPr>
                <w:sz w:val="1"/>
                <w:szCs w:val="1"/>
                <w:color w:val="auto"/>
              </w:rPr>
            </w:pPr>
          </w:p>
        </w:tc>
      </w:tr>
      <w:tr>
        <w:trPr>
          <w:trHeight w:val="65"/>
        </w:trPr>
        <w:tc>
          <w:tcPr>
            <w:tcW w:w="21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Borders>
              <w:bottom w:val="single" w:sz="8" w:color="auto"/>
            </w:tcBorders>
            <w:vMerge w:val="continue"/>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7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vMerge w:val="continue"/>
          </w:tcPr>
          <w:p>
            <w:pPr>
              <w:spacing w:after="0"/>
              <w:rPr>
                <w:sz w:val="5"/>
                <w:szCs w:val="5"/>
                <w:color w:val="auto"/>
              </w:rPr>
            </w:pPr>
          </w:p>
        </w:tc>
        <w:tc>
          <w:tcPr>
            <w:tcW w:w="86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7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value of goodwill and other intangible assets in the condensed consolidated balance sheets at January 31, 2013, differs from the value assigned to them in the original allocation of purchase price due to the effect of fluctuations in the exchange rates used to translate the financial statements into the United States Dollar between the date of acquisition and January 31, 2013. The acquisition of PDC increased customer relationships and amortized trademarks by $101,500 and $6,800, respectively.</w:t>
      </w:r>
    </w:p>
    <w:p>
      <w:pPr>
        <w:spacing w:after="0" w:line="133"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Amortization expense on intangible assets was $5,015 and $4,075 for the three-month periods ended January 31, 2013 and 2012, respectively, and $9,162 and $8,155 for the six-month periods ended January 31, 2013 and 2012, respectively. The amortization over each of the next five fiscal years is projected to be $19,995, $19,173, $16,955, $13,584 and 12,173 for the fiscal years ending July 31, 2014, 2015, 2016, 2017 and 2018, respectively.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NOTE C — Net Income per Common Share</w:t>
      </w:r>
    </w:p>
    <w:p>
      <w:pPr>
        <w:spacing w:after="0" w:line="9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Reconciliations of the numerator and denominator of the basic and diluted per share computations for the Company’s Class A and Class B common stock are summarized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8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January 31,</w:t>
            </w:r>
          </w:p>
        </w:tc>
        <w:tc>
          <w:tcPr>
            <w:tcW w:w="360" w:type="dxa"/>
            <w:vAlign w:val="bottom"/>
          </w:tcPr>
          <w:p>
            <w:pPr>
              <w:spacing w:after="0"/>
              <w:rPr>
                <w:sz w:val="16"/>
                <w:szCs w:val="16"/>
                <w:color w:val="auto"/>
              </w:rPr>
            </w:pPr>
          </w:p>
        </w:tc>
        <w:tc>
          <w:tcPr>
            <w:tcW w:w="2700" w:type="dxa"/>
            <w:vAlign w:val="bottom"/>
            <w:gridSpan w:val="4"/>
          </w:tcPr>
          <w:p>
            <w:pPr>
              <w:jc w:val="right"/>
              <w:ind w:right="491"/>
              <w:spacing w:after="0"/>
              <w:rPr>
                <w:sz w:val="20"/>
                <w:szCs w:val="20"/>
                <w:color w:val="auto"/>
              </w:rPr>
            </w:pPr>
            <w:r>
              <w:rPr>
                <w:rFonts w:ascii="Arial" w:cs="Arial" w:eastAsia="Arial" w:hAnsi="Arial"/>
                <w:sz w:val="14"/>
                <w:szCs w:val="14"/>
                <w:b w:val="1"/>
                <w:bCs w:val="1"/>
                <w:color w:val="auto"/>
              </w:rPr>
              <w:t>Six months ended January 31,</w:t>
            </w:r>
          </w:p>
        </w:tc>
        <w:tc>
          <w:tcPr>
            <w:tcW w:w="0" w:type="dxa"/>
            <w:vAlign w:val="bottom"/>
          </w:tcPr>
          <w:p>
            <w:pPr>
              <w:spacing w:after="0"/>
              <w:rPr>
                <w:sz w:val="1"/>
                <w:szCs w:val="1"/>
                <w:color w:val="auto"/>
              </w:rPr>
            </w:pPr>
          </w:p>
        </w:tc>
      </w:tr>
      <w:tr>
        <w:trPr>
          <w:trHeight w:val="263"/>
        </w:trPr>
        <w:tc>
          <w:tcPr>
            <w:tcW w:w="516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30"/>
        </w:trPr>
        <w:tc>
          <w:tcPr>
            <w:tcW w:w="5160" w:type="dxa"/>
            <w:vAlign w:val="bottom"/>
          </w:tcPr>
          <w:p>
            <w:pPr>
              <w:ind w:left="40"/>
              <w:spacing w:after="0"/>
              <w:rPr>
                <w:sz w:val="20"/>
                <w:szCs w:val="20"/>
                <w:color w:val="auto"/>
              </w:rPr>
            </w:pPr>
            <w:r>
              <w:rPr>
                <w:rFonts w:ascii="Arial" w:cs="Arial" w:eastAsia="Arial" w:hAnsi="Arial"/>
                <w:sz w:val="18"/>
                <w:szCs w:val="18"/>
                <w:color w:val="auto"/>
              </w:rPr>
              <w:t>Numerator: (in thousands)</w:t>
            </w: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1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(loss)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(8,684)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(89,954)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18,504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(57,222)</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Less:</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Restricted stock dividends</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9"/>
        </w:trPr>
        <w:tc>
          <w:tcPr>
            <w:tcW w:w="5160" w:type="dxa"/>
            <w:vAlign w:val="bottom"/>
          </w:tcPr>
          <w:p>
            <w:pPr>
              <w:ind w:left="380"/>
              <w:spacing w:after="0"/>
              <w:rPr>
                <w:sz w:val="20"/>
                <w:szCs w:val="20"/>
                <w:color w:val="auto"/>
              </w:rPr>
            </w:pPr>
            <w:r>
              <w:rPr>
                <w:rFonts w:ascii="Arial" w:cs="Arial" w:eastAsia="Arial" w:hAnsi="Arial"/>
                <w:sz w:val="18"/>
                <w:szCs w:val="18"/>
                <w:color w:val="auto"/>
                <w:w w:val="96"/>
              </w:rPr>
              <w:t>Numerator for basic and diluted Class A net (loss) income per</w:t>
            </w:r>
          </w:p>
        </w:tc>
        <w:tc>
          <w:tcPr>
            <w:tcW w:w="32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(8,744)</w:t>
            </w:r>
          </w:p>
        </w:tc>
        <w:tc>
          <w:tcPr>
            <w:tcW w:w="120" w:type="dxa"/>
            <w:vAlign w:val="bottom"/>
          </w:tcPr>
          <w:p>
            <w:pPr>
              <w:spacing w:after="0"/>
              <w:rPr>
                <w:sz w:val="18"/>
                <w:szCs w:val="18"/>
                <w:color w:val="auto"/>
              </w:rPr>
            </w:pPr>
          </w:p>
        </w:tc>
        <w:tc>
          <w:tcPr>
            <w:tcW w:w="36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(90,011)</w:t>
            </w:r>
          </w:p>
        </w:tc>
        <w:tc>
          <w:tcPr>
            <w:tcW w:w="100" w:type="dxa"/>
            <w:vAlign w:val="bottom"/>
          </w:tcPr>
          <w:p>
            <w:pPr>
              <w:spacing w:after="0"/>
              <w:rPr>
                <w:sz w:val="18"/>
                <w:szCs w:val="18"/>
                <w:color w:val="auto"/>
              </w:rPr>
            </w:pPr>
          </w:p>
        </w:tc>
        <w:tc>
          <w:tcPr>
            <w:tcW w:w="36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18,385</w:t>
            </w:r>
          </w:p>
        </w:tc>
        <w:tc>
          <w:tcPr>
            <w:tcW w:w="100" w:type="dxa"/>
            <w:vAlign w:val="bottom"/>
          </w:tcPr>
          <w:p>
            <w:pPr>
              <w:spacing w:after="0"/>
              <w:rPr>
                <w:sz w:val="18"/>
                <w:szCs w:val="18"/>
                <w:color w:val="auto"/>
              </w:rPr>
            </w:pPr>
          </w:p>
        </w:tc>
        <w:tc>
          <w:tcPr>
            <w:tcW w:w="36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(57,337)</w:t>
            </w:r>
          </w:p>
        </w:tc>
        <w:tc>
          <w:tcPr>
            <w:tcW w:w="0" w:type="dxa"/>
            <w:vAlign w:val="bottom"/>
          </w:tcPr>
          <w:p>
            <w:pPr>
              <w:spacing w:after="0"/>
              <w:rPr>
                <w:sz w:val="1"/>
                <w:szCs w:val="1"/>
                <w:color w:val="auto"/>
              </w:rPr>
            </w:pPr>
          </w:p>
        </w:tc>
      </w:tr>
      <w:tr>
        <w:trPr>
          <w:trHeight w:val="277"/>
        </w:trPr>
        <w:tc>
          <w:tcPr>
            <w:tcW w:w="51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share</w:t>
            </w:r>
          </w:p>
        </w:tc>
        <w:tc>
          <w:tcPr>
            <w:tcW w:w="320" w:type="dxa"/>
            <w:vAlign w:val="bottom"/>
            <w:tcBorders>
              <w:bottom w:val="single" w:sz="8" w:color="auto"/>
            </w:tcBorders>
            <w:vMerge w:val="continue"/>
          </w:tcPr>
          <w:p>
            <w:pPr>
              <w:spacing w:after="0"/>
              <w:rPr>
                <w:sz w:val="24"/>
                <w:szCs w:val="24"/>
                <w:color w:val="auto"/>
              </w:rPr>
            </w:pPr>
          </w:p>
        </w:tc>
        <w:tc>
          <w:tcPr>
            <w:tcW w:w="11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380"/>
              <w:spacing w:after="0" w:line="203" w:lineRule="exact"/>
              <w:rPr>
                <w:sz w:val="20"/>
                <w:szCs w:val="20"/>
                <w:color w:val="auto"/>
              </w:rPr>
            </w:pPr>
            <w:r>
              <w:rPr>
                <w:rFonts w:ascii="Arial" w:cs="Arial" w:eastAsia="Arial" w:hAnsi="Arial"/>
                <w:sz w:val="18"/>
                <w:szCs w:val="18"/>
                <w:color w:val="auto"/>
              </w:rPr>
              <w:t>Less:</w:t>
            </w:r>
          </w:p>
        </w:tc>
        <w:tc>
          <w:tcPr>
            <w:tcW w:w="3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720"/>
              <w:spacing w:after="0"/>
              <w:rPr>
                <w:sz w:val="20"/>
                <w:szCs w:val="20"/>
                <w:color w:val="auto"/>
              </w:rPr>
            </w:pPr>
            <w:r>
              <w:rPr>
                <w:rFonts w:ascii="Arial" w:cs="Arial" w:eastAsia="Arial" w:hAnsi="Arial"/>
                <w:sz w:val="18"/>
                <w:szCs w:val="18"/>
                <w:color w:val="auto"/>
              </w:rPr>
              <w:t>Preferential dividends</w:t>
            </w:r>
          </w:p>
        </w:tc>
        <w:tc>
          <w:tcPr>
            <w:tcW w:w="32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Preferential dividends on dilutive stock options</w:t>
            </w:r>
          </w:p>
        </w:tc>
        <w:tc>
          <w:tcPr>
            <w:tcW w:w="3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9"/>
        </w:trPr>
        <w:tc>
          <w:tcPr>
            <w:tcW w:w="5160" w:type="dxa"/>
            <w:vAlign w:val="bottom"/>
          </w:tcPr>
          <w:p>
            <w:pPr>
              <w:ind w:left="380"/>
              <w:spacing w:after="0"/>
              <w:rPr>
                <w:sz w:val="20"/>
                <w:szCs w:val="20"/>
                <w:color w:val="auto"/>
              </w:rPr>
            </w:pPr>
            <w:r>
              <w:rPr>
                <w:rFonts w:ascii="Arial" w:cs="Arial" w:eastAsia="Arial" w:hAnsi="Arial"/>
                <w:sz w:val="18"/>
                <w:szCs w:val="18"/>
                <w:color w:val="auto"/>
                <w:w w:val="96"/>
              </w:rPr>
              <w:t>Numerator for basic and diluted Class B net (loss) income per</w:t>
            </w:r>
          </w:p>
        </w:tc>
        <w:tc>
          <w:tcPr>
            <w:tcW w:w="32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(8,744)</w:t>
            </w:r>
          </w:p>
        </w:tc>
        <w:tc>
          <w:tcPr>
            <w:tcW w:w="120" w:type="dxa"/>
            <w:vAlign w:val="bottom"/>
          </w:tcPr>
          <w:p>
            <w:pPr>
              <w:spacing w:after="0"/>
              <w:rPr>
                <w:sz w:val="18"/>
                <w:szCs w:val="18"/>
                <w:color w:val="auto"/>
              </w:rPr>
            </w:pPr>
          </w:p>
        </w:tc>
        <w:tc>
          <w:tcPr>
            <w:tcW w:w="36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(90,011)</w:t>
            </w:r>
          </w:p>
        </w:tc>
        <w:tc>
          <w:tcPr>
            <w:tcW w:w="100" w:type="dxa"/>
            <w:vAlign w:val="bottom"/>
          </w:tcPr>
          <w:p>
            <w:pPr>
              <w:spacing w:after="0"/>
              <w:rPr>
                <w:sz w:val="18"/>
                <w:szCs w:val="18"/>
                <w:color w:val="auto"/>
              </w:rPr>
            </w:pPr>
          </w:p>
        </w:tc>
        <w:tc>
          <w:tcPr>
            <w:tcW w:w="36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17,583</w:t>
            </w:r>
          </w:p>
        </w:tc>
        <w:tc>
          <w:tcPr>
            <w:tcW w:w="100" w:type="dxa"/>
            <w:vAlign w:val="bottom"/>
          </w:tcPr>
          <w:p>
            <w:pPr>
              <w:spacing w:after="0"/>
              <w:rPr>
                <w:sz w:val="18"/>
                <w:szCs w:val="18"/>
                <w:color w:val="auto"/>
              </w:rPr>
            </w:pPr>
          </w:p>
        </w:tc>
        <w:tc>
          <w:tcPr>
            <w:tcW w:w="36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(58,160)</w:t>
            </w:r>
          </w:p>
        </w:tc>
        <w:tc>
          <w:tcPr>
            <w:tcW w:w="0" w:type="dxa"/>
            <w:vAlign w:val="bottom"/>
          </w:tcPr>
          <w:p>
            <w:pPr>
              <w:spacing w:after="0"/>
              <w:rPr>
                <w:sz w:val="1"/>
                <w:szCs w:val="1"/>
                <w:color w:val="auto"/>
              </w:rPr>
            </w:pPr>
          </w:p>
        </w:tc>
      </w:tr>
      <w:tr>
        <w:trPr>
          <w:trHeight w:val="277"/>
        </w:trPr>
        <w:tc>
          <w:tcPr>
            <w:tcW w:w="51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share</w:t>
            </w:r>
          </w:p>
        </w:tc>
        <w:tc>
          <w:tcPr>
            <w:tcW w:w="320" w:type="dxa"/>
            <w:vAlign w:val="bottom"/>
            <w:tcBorders>
              <w:bottom w:val="single" w:sz="8" w:color="auto"/>
            </w:tcBorders>
            <w:vMerge w:val="continue"/>
          </w:tcPr>
          <w:p>
            <w:pPr>
              <w:spacing w:after="0"/>
              <w:rPr>
                <w:sz w:val="24"/>
                <w:szCs w:val="24"/>
                <w:color w:val="auto"/>
              </w:rPr>
            </w:pPr>
          </w:p>
        </w:tc>
        <w:tc>
          <w:tcPr>
            <w:tcW w:w="11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Denominator: (in thousands)</w:t>
            </w:r>
          </w:p>
        </w:tc>
        <w:tc>
          <w:tcPr>
            <w:tcW w:w="3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380"/>
              <w:spacing w:after="0"/>
              <w:rPr>
                <w:sz w:val="20"/>
                <w:szCs w:val="20"/>
                <w:color w:val="auto"/>
              </w:rPr>
            </w:pPr>
            <w:r>
              <w:rPr>
                <w:rFonts w:ascii="Arial" w:cs="Arial" w:eastAsia="Arial" w:hAnsi="Arial"/>
                <w:sz w:val="18"/>
                <w:szCs w:val="18"/>
                <w:color w:val="auto"/>
              </w:rPr>
              <w:t>Denominator for basic net (loss) income per share for both</w:t>
            </w: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380"/>
              <w:spacing w:after="0"/>
              <w:rPr>
                <w:sz w:val="20"/>
                <w:szCs w:val="20"/>
                <w:color w:val="auto"/>
              </w:rPr>
            </w:pPr>
            <w:r>
              <w:rPr>
                <w:rFonts w:ascii="Arial" w:cs="Arial" w:eastAsia="Arial" w:hAnsi="Arial"/>
                <w:sz w:val="18"/>
                <w:szCs w:val="18"/>
                <w:color w:val="auto"/>
              </w:rPr>
              <w:t>Class A and Class B</w:t>
            </w:r>
          </w:p>
        </w:tc>
        <w:tc>
          <w:tcPr>
            <w:tcW w:w="320" w:type="dxa"/>
            <w:vAlign w:val="bottom"/>
          </w:tcPr>
          <w:p>
            <w:pPr>
              <w:spacing w:after="0"/>
              <w:rPr>
                <w:sz w:val="20"/>
                <w:szCs w:val="20"/>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51,177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52,447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51,108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52,552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Plus: Effect of dilutive stock options</w:t>
            </w:r>
          </w:p>
        </w:tc>
        <w:tc>
          <w:tcPr>
            <w:tcW w:w="3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160" w:type="dxa"/>
            <w:vAlign w:val="bottom"/>
          </w:tcPr>
          <w:p>
            <w:pPr>
              <w:ind w:left="380"/>
              <w:spacing w:after="0"/>
              <w:rPr>
                <w:sz w:val="20"/>
                <w:szCs w:val="20"/>
                <w:color w:val="auto"/>
              </w:rPr>
            </w:pPr>
            <w:r>
              <w:rPr>
                <w:rFonts w:ascii="Arial" w:cs="Arial" w:eastAsia="Arial" w:hAnsi="Arial"/>
                <w:sz w:val="18"/>
                <w:szCs w:val="18"/>
                <w:color w:val="auto"/>
                <w:w w:val="99"/>
              </w:rPr>
              <w:t>Denominator for diluted net (loss) income per share for both</w:t>
            </w: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51,177</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52,447</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51,507</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52,552</w:t>
            </w:r>
          </w:p>
        </w:tc>
        <w:tc>
          <w:tcPr>
            <w:tcW w:w="0" w:type="dxa"/>
            <w:vAlign w:val="bottom"/>
          </w:tcPr>
          <w:p>
            <w:pPr>
              <w:spacing w:after="0"/>
              <w:rPr>
                <w:sz w:val="1"/>
                <w:szCs w:val="1"/>
                <w:color w:val="auto"/>
              </w:rPr>
            </w:pPr>
          </w:p>
        </w:tc>
      </w:tr>
      <w:tr>
        <w:trPr>
          <w:trHeight w:val="277"/>
        </w:trPr>
        <w:tc>
          <w:tcPr>
            <w:tcW w:w="51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Class A and Class B</w:t>
            </w: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Class A Nonvoting Common Stock net (loss) income per share:</w:t>
            </w:r>
          </w:p>
        </w:tc>
        <w:tc>
          <w:tcPr>
            <w:tcW w:w="3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720"/>
              <w:spacing w:after="0"/>
              <w:rPr>
                <w:sz w:val="20"/>
                <w:szCs w:val="20"/>
                <w:color w:val="auto"/>
              </w:rPr>
            </w:pPr>
            <w:r>
              <w:rPr>
                <w:rFonts w:ascii="Arial" w:cs="Arial" w:eastAsia="Arial" w:hAnsi="Arial"/>
                <w:sz w:val="18"/>
                <w:szCs w:val="18"/>
                <w:color w:val="auto"/>
              </w:rPr>
              <w:t>Basic</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(0.17)</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0.36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Class B Voting Common Stock net (loss) income per share:</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43"/>
        </w:trPr>
        <w:tc>
          <w:tcPr>
            <w:tcW w:w="5160" w:type="dxa"/>
            <w:vAlign w:val="bottom"/>
          </w:tcPr>
          <w:p>
            <w:pPr>
              <w:ind w:left="720"/>
              <w:spacing w:after="0"/>
              <w:rPr>
                <w:sz w:val="20"/>
                <w:szCs w:val="20"/>
                <w:color w:val="auto"/>
              </w:rPr>
            </w:pPr>
            <w:r>
              <w:rPr>
                <w:rFonts w:ascii="Arial" w:cs="Arial" w:eastAsia="Arial" w:hAnsi="Arial"/>
                <w:sz w:val="18"/>
                <w:szCs w:val="18"/>
                <w:color w:val="auto"/>
              </w:rPr>
              <w:t>Diluted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(0.17)</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0.34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In accordance with ASC 260, "Earnings per Share," dilutive options were not included in the computation of diluted loss per share for the three months ended January 31, 2013 and 2012, and the six months ended January 31, 2012, since to do so would reduce the calculated loss per share.</w:t>
      </w:r>
    </w:p>
    <w:p>
      <w:pPr>
        <w:spacing w:after="0" w:line="9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Options to purchase approximately 3,539,000 and 4,365,000 shares of Class A Nonvoting Common Stock for the three months ended January 31, 2013 and 2012, respectively, were not included in the computation of diluted net loss per share because the impact of the inclusion of the options would have been anti-dilutive. Options to purchase approximately 4,044,000 and 4,788,000 shares of Class A Nonvoting Common Stock for the six months ended January 31, 2013 and 2012, respectively, were not included in the computation of diluted net income or loss per share as the impact of the inclusion of the options would have been anti-dilutive.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NOTE D — Segment Information</w:t>
      </w:r>
    </w:p>
    <w:p>
      <w:pPr>
        <w:spacing w:after="0" w:line="90"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The Company evaluates short-term segment performance based on segment profit or loss and customer sales. Segment profit or loss does not include certain administrative costs, such as the cost of finance, information technology, human resources, and executive leadership, which are managed as global functions. Restructuring charges, impairment charges, equity compensation costs, interest expense, investment and other income (expense) and income taxes are also excluded when evaluating performance. Intersegment sales and transfers are recorded at cost plus a standard percentage markup.</w:t>
      </w:r>
    </w:p>
    <w:p>
      <w:pPr>
        <w:spacing w:after="0" w:line="10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is organized and managed on a geographic basis by region. Each of these regions, Americas, EMEA and Asia-Pacific, has a President that reports directly to the Company’s chief operating decision maker, its Chief Executive Officer. Each region has its own distinct operations, is managed locally by its own management team, maintains its own financial reports and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is evaluated based on regional segment profit. The Company has determined that these regions comprise its operating and reportable segments based on the information used by the Chief Executive Officer to allocate resources and assess performance.</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Following is a summary of segment information for the three and six months ended January 31, 2013 and 2012:</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Corporate</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Americas</w:t>
            </w:r>
          </w:p>
        </w:tc>
        <w:tc>
          <w:tcPr>
            <w:tcW w:w="280" w:type="dxa"/>
            <w:vAlign w:val="bottom"/>
          </w:tcPr>
          <w:p>
            <w:pPr>
              <w:spacing w:after="0"/>
              <w:rPr>
                <w:sz w:val="12"/>
                <w:szCs w:val="12"/>
                <w:color w:val="auto"/>
              </w:rPr>
            </w:pPr>
          </w:p>
        </w:tc>
        <w:tc>
          <w:tcPr>
            <w:tcW w:w="11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EMEA</w:t>
            </w:r>
          </w:p>
        </w:tc>
        <w:tc>
          <w:tcPr>
            <w:tcW w:w="180" w:type="dxa"/>
            <w:vAlign w:val="bottom"/>
          </w:tcPr>
          <w:p>
            <w:pPr>
              <w:spacing w:after="0"/>
              <w:rPr>
                <w:sz w:val="12"/>
                <w:szCs w:val="12"/>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Asia-Pacific</w:t>
            </w:r>
          </w:p>
        </w:tc>
        <w:tc>
          <w:tcPr>
            <w:tcW w:w="180" w:type="dxa"/>
            <w:vAlign w:val="bottom"/>
          </w:tcPr>
          <w:p>
            <w:pPr>
              <w:spacing w:after="0"/>
              <w:rPr>
                <w:sz w:val="12"/>
                <w:szCs w:val="12"/>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 Region</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and</w:t>
            </w:r>
          </w:p>
        </w:tc>
        <w:tc>
          <w:tcPr>
            <w:tcW w:w="280" w:type="dxa"/>
            <w:vAlign w:val="bottom"/>
          </w:tcPr>
          <w:p>
            <w:pPr>
              <w:spacing w:after="0"/>
              <w:rPr>
                <w:sz w:val="12"/>
                <w:szCs w:val="12"/>
                <w:color w:val="auto"/>
              </w:rPr>
            </w:pPr>
          </w:p>
        </w:tc>
        <w:tc>
          <w:tcPr>
            <w:tcW w:w="980" w:type="dxa"/>
            <w:vAlign w:val="bottom"/>
            <w:vMerge w:val="restart"/>
          </w:tcPr>
          <w:p>
            <w:pPr>
              <w:jc w:val="right"/>
              <w:ind w:right="351"/>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Eliminations</w:t>
            </w:r>
          </w:p>
        </w:tc>
        <w:tc>
          <w:tcPr>
            <w:tcW w:w="2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Three months ended January 31, 2013</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380"/>
              <w:spacing w:after="0"/>
              <w:rPr>
                <w:sz w:val="20"/>
                <w:szCs w:val="20"/>
                <w:color w:val="auto"/>
              </w:rPr>
            </w:pPr>
            <w:r>
              <w:rPr>
                <w:rFonts w:ascii="Arial" w:cs="Arial" w:eastAsia="Arial" w:hAnsi="Arial"/>
                <w:sz w:val="18"/>
                <w:szCs w:val="18"/>
                <w:color w:val="auto"/>
              </w:rPr>
              <w:t>Revenues from external customers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147,716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94,395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82,071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324,182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324,182</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Intersegment revenues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6,099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15,216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tcPr>
          <w:p>
            <w:pPr>
              <w:ind w:left="380"/>
              <w:spacing w:after="0"/>
              <w:rPr>
                <w:sz w:val="20"/>
                <w:szCs w:val="20"/>
                <w:color w:val="auto"/>
              </w:rPr>
            </w:pPr>
            <w:r>
              <w:rPr>
                <w:rFonts w:ascii="Arial" w:cs="Arial" w:eastAsia="Arial" w:hAnsi="Arial"/>
                <w:sz w:val="18"/>
                <w:szCs w:val="18"/>
                <w:color w:val="auto"/>
              </w:rPr>
              <w:t>Segment profit</w:t>
            </w: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32,336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23,723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5,514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61,573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(1,794)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59,779</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Three months ended January 31, 2012</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380"/>
              <w:spacing w:after="0"/>
              <w:rPr>
                <w:sz w:val="20"/>
                <w:szCs w:val="20"/>
                <w:color w:val="auto"/>
              </w:rPr>
            </w:pPr>
            <w:r>
              <w:rPr>
                <w:rFonts w:ascii="Arial" w:cs="Arial" w:eastAsia="Arial" w:hAnsi="Arial"/>
                <w:sz w:val="18"/>
                <w:szCs w:val="18"/>
                <w:color w:val="auto"/>
              </w:rPr>
              <w:t>Revenues from external customers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138,405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95,593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86,586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320,584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320,584</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Intersegment revenues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18,583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tcPr>
          <w:p>
            <w:pPr>
              <w:ind w:left="380"/>
              <w:spacing w:after="0"/>
              <w:rPr>
                <w:sz w:val="20"/>
                <w:szCs w:val="20"/>
                <w:color w:val="auto"/>
              </w:rPr>
            </w:pPr>
            <w:r>
              <w:rPr>
                <w:rFonts w:ascii="Arial" w:cs="Arial" w:eastAsia="Arial" w:hAnsi="Arial"/>
                <w:sz w:val="18"/>
                <w:szCs w:val="18"/>
                <w:color w:val="auto"/>
              </w:rPr>
              <w:t>Segment profit</w:t>
            </w: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35,798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26,562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7,733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70,093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(2,359)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67,734</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3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Six months ended January 31, 2013</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Revenues from external customers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296,408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187,628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177,792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661,828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661,828</w:t>
            </w:r>
          </w:p>
        </w:tc>
        <w:tc>
          <w:tcPr>
            <w:tcW w:w="0" w:type="dxa"/>
            <w:vAlign w:val="bottom"/>
          </w:tcPr>
          <w:p>
            <w:pPr>
              <w:spacing w:after="0"/>
              <w:rPr>
                <w:sz w:val="1"/>
                <w:szCs w:val="1"/>
                <w:color w:val="auto"/>
              </w:rPr>
            </w:pPr>
          </w:p>
        </w:tc>
      </w:tr>
      <w:tr>
        <w:trPr>
          <w:trHeight w:val="243"/>
        </w:trPr>
        <w:tc>
          <w:tcPr>
            <w:tcW w:w="3340" w:type="dxa"/>
            <w:vAlign w:val="bottom"/>
          </w:tcPr>
          <w:p>
            <w:pPr>
              <w:ind w:left="380"/>
              <w:spacing w:after="0"/>
              <w:rPr>
                <w:sz w:val="20"/>
                <w:szCs w:val="20"/>
                <w:color w:val="auto"/>
              </w:rPr>
            </w:pPr>
            <w:r>
              <w:rPr>
                <w:rFonts w:ascii="Arial" w:cs="Arial" w:eastAsia="Arial" w:hAnsi="Arial"/>
                <w:sz w:val="18"/>
                <w:szCs w:val="18"/>
                <w:color w:val="auto"/>
              </w:rPr>
              <w:t>Intersegment revenues</w:t>
            </w: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18,420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1,701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12,506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32,627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(32,627)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Segment profit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76,969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47,290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141,828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138,061</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Six months ended January 31, 2012</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Revenues from external customers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292,267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192,949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184,876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670,092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670,092</w:t>
            </w:r>
          </w:p>
        </w:tc>
        <w:tc>
          <w:tcPr>
            <w:tcW w:w="0" w:type="dxa"/>
            <w:vAlign w:val="bottom"/>
          </w:tcPr>
          <w:p>
            <w:pPr>
              <w:spacing w:after="0"/>
              <w:rPr>
                <w:sz w:val="1"/>
                <w:szCs w:val="1"/>
                <w:color w:val="auto"/>
              </w:rPr>
            </w:pPr>
          </w:p>
        </w:tc>
      </w:tr>
      <w:tr>
        <w:trPr>
          <w:trHeight w:val="243"/>
        </w:trPr>
        <w:tc>
          <w:tcPr>
            <w:tcW w:w="3340" w:type="dxa"/>
            <w:vAlign w:val="bottom"/>
          </w:tcPr>
          <w:p>
            <w:pPr>
              <w:ind w:left="380"/>
              <w:spacing w:after="0"/>
              <w:rPr>
                <w:sz w:val="20"/>
                <w:szCs w:val="20"/>
                <w:color w:val="auto"/>
              </w:rPr>
            </w:pPr>
            <w:r>
              <w:rPr>
                <w:rFonts w:ascii="Arial" w:cs="Arial" w:eastAsia="Arial" w:hAnsi="Arial"/>
                <w:sz w:val="18"/>
                <w:szCs w:val="18"/>
                <w:color w:val="auto"/>
              </w:rPr>
              <w:t>Intersegment revenues</w:t>
            </w: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20,216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2,032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14,763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37,011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(37,011)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Segment profit</w:t>
            </w: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79,028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52,861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21,037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152,926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147,304</w:t>
            </w:r>
          </w:p>
        </w:tc>
        <w:tc>
          <w:tcPr>
            <w:tcW w:w="0" w:type="dxa"/>
            <w:vAlign w:val="bottom"/>
          </w:tcPr>
          <w:p>
            <w:pPr>
              <w:spacing w:after="0"/>
              <w:rPr>
                <w:sz w:val="1"/>
                <w:szCs w:val="1"/>
                <w:color w:val="auto"/>
              </w:rPr>
            </w:pPr>
          </w:p>
        </w:tc>
      </w:tr>
      <w:tr>
        <w:trPr>
          <w:trHeight w:val="27"/>
        </w:trPr>
        <w:tc>
          <w:tcPr>
            <w:tcW w:w="33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Following is a reconciliation of segment profit to net (loss) income for the three and six months ended January 31, 2013 and 2012:</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8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January 31,</w:t>
            </w:r>
          </w:p>
        </w:tc>
        <w:tc>
          <w:tcPr>
            <w:tcW w:w="360" w:type="dxa"/>
            <w:vAlign w:val="bottom"/>
          </w:tcPr>
          <w:p>
            <w:pPr>
              <w:spacing w:after="0"/>
              <w:rPr>
                <w:sz w:val="16"/>
                <w:szCs w:val="16"/>
                <w:color w:val="auto"/>
              </w:rPr>
            </w:pPr>
          </w:p>
        </w:tc>
        <w:tc>
          <w:tcPr>
            <w:tcW w:w="2700" w:type="dxa"/>
            <w:vAlign w:val="bottom"/>
            <w:gridSpan w:val="4"/>
          </w:tcPr>
          <w:p>
            <w:pPr>
              <w:ind w:left="240"/>
              <w:spacing w:after="0"/>
              <w:rPr>
                <w:sz w:val="20"/>
                <w:szCs w:val="20"/>
                <w:color w:val="auto"/>
              </w:rPr>
            </w:pPr>
            <w:r>
              <w:rPr>
                <w:rFonts w:ascii="Arial" w:cs="Arial" w:eastAsia="Arial" w:hAnsi="Arial"/>
                <w:sz w:val="14"/>
                <w:szCs w:val="14"/>
                <w:b w:val="1"/>
                <w:bCs w:val="1"/>
                <w:color w:val="auto"/>
              </w:rPr>
              <w:t>Six Months Ended January 31,</w:t>
            </w:r>
          </w:p>
        </w:tc>
      </w:tr>
      <w:tr>
        <w:trPr>
          <w:trHeight w:val="264"/>
        </w:trPr>
        <w:tc>
          <w:tcPr>
            <w:tcW w:w="516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profit from reportable segments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61,573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70,093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141,828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152,926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Corporate and eliminations</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(1,794)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(5,622)</w:t>
            </w: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Unallocated amounts: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Administrative costs</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(35,518)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(29,244)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(65,926)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(59,724)</w:t>
            </w: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Restructuring charges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Impairment charge</w:t>
            </w:r>
          </w:p>
        </w:tc>
        <w:tc>
          <w:tcPr>
            <w:tcW w:w="32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(115,688)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(115,688)</w:t>
            </w: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Non-routine items (1)</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5,220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Investment and other income</w:t>
            </w:r>
          </w:p>
        </w:tc>
        <w:tc>
          <w:tcPr>
            <w:tcW w:w="32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897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1,294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610</w:t>
            </w: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(8,569)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(9,980)</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Income (loss) before income taxes</w:t>
            </w: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21,941</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(81,319)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62,611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(37,478)</w:t>
            </w: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(30,625)</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(8,635)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(44,107)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(19,744)</w:t>
            </w:r>
          </w:p>
        </w:tc>
      </w:tr>
      <w:tr>
        <w:trPr>
          <w:trHeight w:val="237"/>
        </w:trPr>
        <w:tc>
          <w:tcPr>
            <w:tcW w:w="5160" w:type="dxa"/>
            <w:vAlign w:val="bottom"/>
          </w:tcPr>
          <w:p>
            <w:pPr>
              <w:ind w:left="380"/>
              <w:spacing w:after="0"/>
              <w:rPr>
                <w:sz w:val="20"/>
                <w:szCs w:val="20"/>
                <w:color w:val="auto"/>
              </w:rPr>
            </w:pPr>
            <w:r>
              <w:rPr>
                <w:rFonts w:ascii="Arial" w:cs="Arial" w:eastAsia="Arial" w:hAnsi="Arial"/>
                <w:sz w:val="18"/>
                <w:szCs w:val="18"/>
                <w:color w:val="auto"/>
              </w:rPr>
              <w:t>Net (loss) income</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(8,684)</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(89,954)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18,504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(57,222)</w:t>
            </w:r>
          </w:p>
        </w:tc>
      </w:tr>
      <w:tr>
        <w:trPr>
          <w:trHeight w:val="27"/>
        </w:trPr>
        <w:tc>
          <w:tcPr>
            <w:tcW w:w="5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20" w:hanging="7"/>
        <w:spacing w:after="0" w:line="277" w:lineRule="auto"/>
        <w:tabs>
          <w:tab w:leader="none" w:pos="710" w:val="left"/>
        </w:tabs>
        <w:numPr>
          <w:ilvl w:val="0"/>
          <w:numId w:val="3"/>
        </w:numPr>
        <w:rPr>
          <w:rFonts w:ascii="Arial" w:cs="Arial" w:eastAsia="Arial" w:hAnsi="Arial"/>
          <w:sz w:val="18"/>
          <w:szCs w:val="18"/>
          <w:color w:val="auto"/>
        </w:rPr>
      </w:pPr>
      <w:r>
        <w:rPr>
          <w:rFonts w:ascii="Arial" w:cs="Arial" w:eastAsia="Arial" w:hAnsi="Arial"/>
          <w:sz w:val="18"/>
          <w:szCs w:val="18"/>
          <w:color w:val="auto"/>
        </w:rPr>
        <w:t>- Non-routine items for the three months ended January 31, 2013, consist of the gain on the Thailand flood insurance settlement of $5,220 recognized within the Asia-Pacific reporting segment. Non-routine items for the six months ended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left="420" w:right="20"/>
        <w:spacing w:after="0" w:line="277" w:lineRule="auto"/>
        <w:rPr>
          <w:sz w:val="20"/>
          <w:szCs w:val="20"/>
          <w:color w:val="auto"/>
        </w:rPr>
      </w:pPr>
      <w:r>
        <w:rPr>
          <w:rFonts w:ascii="Arial" w:cs="Arial" w:eastAsia="Arial" w:hAnsi="Arial"/>
          <w:sz w:val="18"/>
          <w:szCs w:val="18"/>
          <w:color w:val="auto"/>
        </w:rPr>
        <w:t>January 31, 2013, consist of the gain on the Thailand flood insurance settlement of $5,220 recognized within the Asia-Pacific segment, partially offset by the net loss on the sales of businesses of $3,438 recognized within the Americas segment.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Following is a summary of sales by business platform for the three and six months ended January 31, 2013 and 2012:</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8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January 31,</w:t>
            </w:r>
          </w:p>
        </w:tc>
        <w:tc>
          <w:tcPr>
            <w:tcW w:w="360" w:type="dxa"/>
            <w:vAlign w:val="bottom"/>
          </w:tcPr>
          <w:p>
            <w:pPr>
              <w:spacing w:after="0"/>
              <w:rPr>
                <w:sz w:val="16"/>
                <w:szCs w:val="16"/>
                <w:color w:val="auto"/>
              </w:rPr>
            </w:pPr>
          </w:p>
        </w:tc>
        <w:tc>
          <w:tcPr>
            <w:tcW w:w="2700" w:type="dxa"/>
            <w:vAlign w:val="bottom"/>
            <w:gridSpan w:val="4"/>
          </w:tcPr>
          <w:p>
            <w:pPr>
              <w:ind w:left="240"/>
              <w:spacing w:after="0"/>
              <w:rPr>
                <w:sz w:val="20"/>
                <w:szCs w:val="20"/>
                <w:color w:val="auto"/>
              </w:rPr>
            </w:pPr>
            <w:r>
              <w:rPr>
                <w:rFonts w:ascii="Arial" w:cs="Arial" w:eastAsia="Arial" w:hAnsi="Arial"/>
                <w:sz w:val="14"/>
                <w:szCs w:val="14"/>
                <w:b w:val="1"/>
                <w:bCs w:val="1"/>
                <w:color w:val="auto"/>
              </w:rPr>
              <w:t>Six Months Ended January 31,</w:t>
            </w:r>
          </w:p>
        </w:tc>
      </w:tr>
      <w:tr>
        <w:trPr>
          <w:trHeight w:val="264"/>
        </w:trPr>
        <w:tc>
          <w:tcPr>
            <w:tcW w:w="516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Identification Solutions (1)</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185,218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172,425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371,519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366,760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Direct Marketing</w:t>
            </w:r>
          </w:p>
        </w:tc>
        <w:tc>
          <w:tcPr>
            <w:tcW w:w="320" w:type="dxa"/>
            <w:vAlign w:val="bottom"/>
          </w:tcPr>
          <w:p>
            <w:pPr>
              <w:spacing w:after="0"/>
              <w:rPr>
                <w:sz w:val="21"/>
                <w:szCs w:val="21"/>
                <w:color w:val="auto"/>
              </w:rPr>
            </w:pPr>
          </w:p>
        </w:tc>
        <w:tc>
          <w:tcPr>
            <w:tcW w:w="1180" w:type="dxa"/>
            <w:vAlign w:val="bottom"/>
          </w:tcPr>
          <w:p>
            <w:pPr>
              <w:jc w:val="right"/>
              <w:ind w:right="36"/>
              <w:spacing w:after="0"/>
              <w:rPr>
                <w:sz w:val="20"/>
                <w:szCs w:val="20"/>
                <w:color w:val="auto"/>
              </w:rPr>
            </w:pPr>
            <w:r>
              <w:rPr>
                <w:rFonts w:ascii="Arial" w:cs="Arial" w:eastAsia="Arial" w:hAnsi="Arial"/>
                <w:sz w:val="18"/>
                <w:szCs w:val="18"/>
                <w:color w:val="auto"/>
              </w:rPr>
              <w:t>87,477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88,425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178,105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177,258</w:t>
            </w: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Die-Cut</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51,487</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59,734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112,204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126,074</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324,182</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320,584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661,828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670,092</w:t>
            </w:r>
          </w:p>
        </w:tc>
      </w:tr>
      <w:tr>
        <w:trPr>
          <w:trHeight w:val="27"/>
        </w:trPr>
        <w:tc>
          <w:tcPr>
            <w:tcW w:w="5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(1) - The Company acquired PDC during the three months ended January 31, 2013, which is included in the ID Solutions business platform.</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NOTE E – Stock-Based Compensation</w:t>
      </w:r>
    </w:p>
    <w:p>
      <w:pPr>
        <w:spacing w:after="0" w:line="90"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The Company has an incentive stock plan under which the Board of Directors may grant nonqualified stock options to purchase shares of Class A Nonvoting Common Stock or restricted shares of Class A Nonvoting Common Stock to employees and non-employee directors. The options have an exercise price equal to the fair market value of the underlying stock at the date of grant and generally vest ratably over a three-year period, with one-third becoming exercisable one year after the grant date and one-third additional in each of the succeeding two years. Options issued under the plan, referred to herein as “service-based” options, generally expire 10 years from the date of grant. The Company also grants stock options to certain executives and key management employees that vest upon meeting certain financial performance conditions over the vesting schedule described above. These options are referred to herein as “performance-based” options. Performance-based stock options expire 10 years from the date of grant.</w:t>
      </w:r>
    </w:p>
    <w:p>
      <w:pPr>
        <w:spacing w:after="0" w:line="4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Restricted shares issued under the plan have an issuance price equal to the fair market value of the underlying stock at the date of grant. The restricted shares granted in fiscal 2008 were amended in fiscal 2011 to allow for vesting after either a five-year period or a seven-year period based upon both performance and service conditions. The restricted shares granted in fiscal 2011 vest ratably at the end of years 3, 4 and 5 upon meeting certain performance and service conditions. These shares are referred to herein as “performance-based restricted shares.” Restricted shares granted in fiscal 2013 vest at the end of a three-year period based upon service conditions. These shares are referred to herein as “cliff-vested restricted shares.”</w:t>
      </w:r>
    </w:p>
    <w:p>
      <w:pPr>
        <w:spacing w:after="0" w:line="37"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Company also grants restricted stock units to certain executives and key management employees that vest upon meeting certain financial performance conditions over a specified vesting period, referred to herein as “performance-based restricted stock units.” The performance-based restricted stock units granted in fiscal 2013 vest over a two-year period upon meeting both performance and service conditions.</w:t>
      </w:r>
    </w:p>
    <w:p>
      <w:pPr>
        <w:spacing w:after="0" w:line="11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As of January 31, 2013, the Company has reserved 6,529,489 shares of Class A Nonvoting Common Stock for outstanding stock options and restricted shares and 4,206,850 shares of Class A Nonvoting Common Stock remain for future issuance of stock options and restricted shares under the active plans. The Company uses treasury stock or will issue new Class A Nonvoting Common Stock to deliver shares under these plans.</w:t>
      </w:r>
    </w:p>
    <w:p>
      <w:pPr>
        <w:spacing w:after="0" w:line="111"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Company recognizes the compensation cost of all share-based awards on a straight-line basis over the vesting period of the award. Total stock compensation expense recognized by the Company during the three months ended January 31, 2013 and 2012, was $2,521 ($1,538 net of taxes) and $1,939 ($1,183 net of taxes), respectively, and expense recognized during the six months ended January 31, 2013 and 2012 was $6,868 ($4,190 net of taxes), and $5,506 ($3,359 net of taxes), respectively. As of January 31, 2013, total unrecognized compensation cost related to share-based compensation awards was $14,179 pre-tax, net of estimated forfeitures, which the Company expects to recognize over a weighted-average period of 1.8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has estimated the fair value of its service-based and performance-based stock option awards granted during the six months ended January 31, 2013 and 2012, using the Black-Scholes option valuation model. The weighted-average assumptions used in the Black-Scholes valuation model are reflected in the following table:</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80" w:type="dxa"/>
            <w:vAlign w:val="bottom"/>
            <w:gridSpan w:val="3"/>
          </w:tcPr>
          <w:p>
            <w:pPr>
              <w:jc w:val="right"/>
              <w:ind w:right="699"/>
              <w:spacing w:after="0"/>
              <w:rPr>
                <w:sz w:val="20"/>
                <w:szCs w:val="20"/>
                <w:color w:val="auto"/>
              </w:rPr>
            </w:pPr>
            <w:r>
              <w:rPr>
                <w:rFonts w:ascii="Arial" w:cs="Arial" w:eastAsia="Arial" w:hAnsi="Arial"/>
                <w:sz w:val="14"/>
                <w:szCs w:val="14"/>
                <w:b w:val="1"/>
                <w:bCs w:val="1"/>
                <w:color w:val="auto"/>
              </w:rPr>
              <w:t>Six Months Ended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180" w:type="dxa"/>
            <w:vAlign w:val="bottom"/>
            <w:gridSpan w:val="4"/>
          </w:tcPr>
          <w:p>
            <w:pPr>
              <w:jc w:val="right"/>
              <w:ind w:right="1055"/>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2"/>
        </w:trPr>
        <w:tc>
          <w:tcPr>
            <w:tcW w:w="45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3"/>
          </w:tcPr>
          <w:p>
            <w:pPr>
              <w:jc w:val="right"/>
              <w:ind w:right="739"/>
              <w:spacing w:after="0"/>
              <w:rPr>
                <w:sz w:val="20"/>
                <w:szCs w:val="20"/>
                <w:color w:val="auto"/>
              </w:rPr>
            </w:pPr>
            <w:r>
              <w:rPr>
                <w:rFonts w:ascii="Arial" w:cs="Arial" w:eastAsia="Arial" w:hAnsi="Arial"/>
                <w:sz w:val="14"/>
                <w:szCs w:val="14"/>
                <w:b w:val="1"/>
                <w:bCs w:val="1"/>
                <w:color w:val="auto"/>
              </w:rPr>
              <w:t>January 31, 2013</w:t>
            </w:r>
          </w:p>
        </w:tc>
        <w:tc>
          <w:tcPr>
            <w:tcW w:w="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4"/>
          </w:tcPr>
          <w:p>
            <w:pPr>
              <w:jc w:val="right"/>
              <w:ind w:right="1095"/>
              <w:spacing w:after="0"/>
              <w:rPr>
                <w:sz w:val="20"/>
                <w:szCs w:val="20"/>
                <w:color w:val="auto"/>
              </w:rPr>
            </w:pPr>
            <w:r>
              <w:rPr>
                <w:rFonts w:ascii="Arial" w:cs="Arial" w:eastAsia="Arial" w:hAnsi="Arial"/>
                <w:sz w:val="14"/>
                <w:szCs w:val="14"/>
                <w:b w:val="1"/>
                <w:bCs w:val="1"/>
                <w:color w:val="auto"/>
              </w:rPr>
              <w:t>January 31, 2012</w:t>
            </w:r>
          </w:p>
        </w:tc>
        <w:tc>
          <w:tcPr>
            <w:tcW w:w="0" w:type="dxa"/>
            <w:vAlign w:val="bottom"/>
          </w:tcPr>
          <w:p>
            <w:pPr>
              <w:spacing w:after="0"/>
              <w:rPr>
                <w:sz w:val="1"/>
                <w:szCs w:val="1"/>
                <w:color w:val="auto"/>
              </w:rPr>
            </w:pPr>
          </w:p>
        </w:tc>
      </w:tr>
      <w:tr>
        <w:trPr>
          <w:trHeight w:val="152"/>
        </w:trPr>
        <w:tc>
          <w:tcPr>
            <w:tcW w:w="4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Service-Based</w:t>
            </w:r>
          </w:p>
        </w:tc>
        <w:tc>
          <w:tcPr>
            <w:tcW w:w="1260" w:type="dxa"/>
            <w:vAlign w:val="bottom"/>
          </w:tcPr>
          <w:p>
            <w:pPr>
              <w:jc w:val="center"/>
              <w:ind w:left="239"/>
              <w:spacing w:after="0" w:line="153" w:lineRule="exact"/>
              <w:rPr>
                <w:sz w:val="20"/>
                <w:szCs w:val="20"/>
                <w:color w:val="auto"/>
              </w:rPr>
            </w:pPr>
            <w:r>
              <w:rPr>
                <w:rFonts w:ascii="Arial" w:cs="Arial" w:eastAsia="Arial" w:hAnsi="Arial"/>
                <w:sz w:val="14"/>
                <w:szCs w:val="14"/>
                <w:b w:val="1"/>
                <w:bCs w:val="1"/>
                <w:color w:val="auto"/>
                <w:w w:val="95"/>
              </w:rPr>
              <w:t>Performance-</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Service-Based</w:t>
            </w:r>
          </w:p>
        </w:tc>
        <w:tc>
          <w:tcPr>
            <w:tcW w:w="260" w:type="dxa"/>
            <w:vAlign w:val="bottom"/>
          </w:tcPr>
          <w:p>
            <w:pPr>
              <w:spacing w:after="0"/>
              <w:rPr>
                <w:sz w:val="13"/>
                <w:szCs w:val="13"/>
                <w:color w:val="auto"/>
              </w:rPr>
            </w:pPr>
          </w:p>
        </w:tc>
        <w:tc>
          <w:tcPr>
            <w:tcW w:w="1400" w:type="dxa"/>
            <w:vAlign w:val="bottom"/>
          </w:tcPr>
          <w:p>
            <w:pPr>
              <w:jc w:val="center"/>
              <w:ind w:right="175"/>
              <w:spacing w:after="0" w:line="153" w:lineRule="exact"/>
              <w:rPr>
                <w:sz w:val="20"/>
                <w:szCs w:val="20"/>
                <w:color w:val="auto"/>
              </w:rPr>
            </w:pPr>
            <w:r>
              <w:rPr>
                <w:rFonts w:ascii="Arial" w:cs="Arial" w:eastAsia="Arial" w:hAnsi="Arial"/>
                <w:sz w:val="14"/>
                <w:szCs w:val="14"/>
                <w:b w:val="1"/>
                <w:bCs w:val="1"/>
                <w:color w:val="auto"/>
                <w:w w:val="95"/>
              </w:rPr>
              <w:t>Performance-</w:t>
            </w:r>
          </w:p>
        </w:tc>
        <w:tc>
          <w:tcPr>
            <w:tcW w:w="0" w:type="dxa"/>
            <w:vAlign w:val="bottom"/>
          </w:tcPr>
          <w:p>
            <w:pPr>
              <w:spacing w:after="0"/>
              <w:rPr>
                <w:sz w:val="1"/>
                <w:szCs w:val="1"/>
                <w:color w:val="auto"/>
              </w:rPr>
            </w:pPr>
          </w:p>
        </w:tc>
      </w:tr>
      <w:tr>
        <w:trPr>
          <w:trHeight w:val="186"/>
        </w:trPr>
        <w:tc>
          <w:tcPr>
            <w:tcW w:w="4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260" w:type="dxa"/>
            <w:vAlign w:val="bottom"/>
          </w:tcPr>
          <w:p>
            <w:pPr>
              <w:jc w:val="center"/>
              <w:ind w:left="239"/>
              <w:spacing w:after="0"/>
              <w:rPr>
                <w:sz w:val="20"/>
                <w:szCs w:val="20"/>
                <w:color w:val="auto"/>
              </w:rPr>
            </w:pPr>
            <w:r>
              <w:rPr>
                <w:rFonts w:ascii="Arial" w:cs="Arial" w:eastAsia="Arial" w:hAnsi="Arial"/>
                <w:sz w:val="14"/>
                <w:szCs w:val="14"/>
                <w:b w:val="1"/>
                <w:bCs w:val="1"/>
                <w:color w:val="auto"/>
                <w:w w:val="90"/>
              </w:rPr>
              <w:t>Based Option</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jc w:val="center"/>
              <w:ind w:right="175"/>
              <w:spacing w:after="0"/>
              <w:rPr>
                <w:sz w:val="20"/>
                <w:szCs w:val="20"/>
                <w:color w:val="auto"/>
              </w:rPr>
            </w:pPr>
            <w:r>
              <w:rPr>
                <w:rFonts w:ascii="Arial" w:cs="Arial" w:eastAsia="Arial" w:hAnsi="Arial"/>
                <w:sz w:val="14"/>
                <w:szCs w:val="14"/>
                <w:b w:val="1"/>
                <w:bCs w:val="1"/>
                <w:color w:val="auto"/>
                <w:w w:val="90"/>
              </w:rPr>
              <w:t>Based Option</w:t>
            </w:r>
          </w:p>
        </w:tc>
        <w:tc>
          <w:tcPr>
            <w:tcW w:w="0" w:type="dxa"/>
            <w:vAlign w:val="bottom"/>
          </w:tcPr>
          <w:p>
            <w:pPr>
              <w:spacing w:after="0"/>
              <w:rPr>
                <w:sz w:val="1"/>
                <w:szCs w:val="1"/>
                <w:color w:val="auto"/>
              </w:rPr>
            </w:pPr>
          </w:p>
        </w:tc>
      </w:tr>
      <w:tr>
        <w:trPr>
          <w:trHeight w:val="276"/>
        </w:trPr>
        <w:tc>
          <w:tcPr>
            <w:tcW w:w="45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Black-Scholes Option Valuation Assumptions</w:t>
            </w:r>
          </w:p>
        </w:tc>
        <w:tc>
          <w:tcPr>
            <w:tcW w:w="2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Option Awards</w:t>
            </w:r>
          </w:p>
        </w:tc>
        <w:tc>
          <w:tcPr>
            <w:tcW w:w="100" w:type="dxa"/>
            <w:vAlign w:val="bottom"/>
            <w:tcBorders>
              <w:bottom w:val="single" w:sz="8" w:color="CCEEFF"/>
            </w:tcBorders>
          </w:tcPr>
          <w:p>
            <w:pPr>
              <w:spacing w:after="0"/>
              <w:rPr>
                <w:sz w:val="24"/>
                <w:szCs w:val="24"/>
                <w:color w:val="auto"/>
              </w:rPr>
            </w:pPr>
          </w:p>
        </w:tc>
        <w:tc>
          <w:tcPr>
            <w:tcW w:w="1260" w:type="dxa"/>
            <w:vAlign w:val="bottom"/>
            <w:tcBorders>
              <w:bottom w:val="single" w:sz="8" w:color="auto"/>
            </w:tcBorders>
          </w:tcPr>
          <w:p>
            <w:pPr>
              <w:jc w:val="center"/>
              <w:ind w:left="239"/>
              <w:spacing w:after="0"/>
              <w:rPr>
                <w:sz w:val="20"/>
                <w:szCs w:val="20"/>
                <w:color w:val="auto"/>
              </w:rPr>
            </w:pPr>
            <w:r>
              <w:rPr>
                <w:rFonts w:ascii="Arial" w:cs="Arial" w:eastAsia="Arial" w:hAnsi="Arial"/>
                <w:sz w:val="14"/>
                <w:szCs w:val="14"/>
                <w:b w:val="1"/>
                <w:bCs w:val="1"/>
                <w:color w:val="auto"/>
                <w:w w:val="90"/>
              </w:rPr>
              <w:t>Awards</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Option Awards</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90"/>
              </w:rPr>
              <w:t>Awards</w:t>
            </w:r>
          </w:p>
        </w:tc>
        <w:tc>
          <w:tcPr>
            <w:tcW w:w="0" w:type="dxa"/>
            <w:vAlign w:val="bottom"/>
          </w:tcPr>
          <w:p>
            <w:pPr>
              <w:spacing w:after="0"/>
              <w:rPr>
                <w:sz w:val="1"/>
                <w:szCs w:val="1"/>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term (in years)</w:t>
            </w: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5.95</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5.89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2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38.68%</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39.40%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39.21%</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dividend yield</w:t>
            </w: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2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0.90%</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5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Weighted-average market value of underlying stock at grant</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date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30.36</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05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27.00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29.55</w:t>
            </w: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Weighted-average exercise price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17"/>
              <w:spacing w:after="0"/>
              <w:rPr>
                <w:sz w:val="20"/>
                <w:szCs w:val="20"/>
                <w:color w:val="auto"/>
              </w:rPr>
            </w:pPr>
            <w:r>
              <w:rPr>
                <w:rFonts w:ascii="Arial" w:cs="Arial" w:eastAsia="Arial" w:hAnsi="Arial"/>
                <w:sz w:val="18"/>
                <w:szCs w:val="18"/>
                <w:color w:val="auto"/>
              </w:rPr>
              <w:t>30.36</w:t>
            </w:r>
          </w:p>
        </w:tc>
        <w:tc>
          <w:tcPr>
            <w:tcW w:w="100" w:type="dxa"/>
            <w:vAlign w:val="bottom"/>
          </w:tcPr>
          <w:p>
            <w:pPr>
              <w:spacing w:after="0"/>
              <w:rPr>
                <w:sz w:val="21"/>
                <w:szCs w:val="21"/>
                <w:color w:val="auto"/>
              </w:rPr>
            </w:pPr>
          </w:p>
        </w:tc>
        <w:tc>
          <w:tcPr>
            <w:tcW w:w="1260" w:type="dxa"/>
            <w:vAlign w:val="bottom"/>
          </w:tcPr>
          <w:p>
            <w:pPr>
              <w:jc w:val="right"/>
              <w:ind w:right="1059"/>
              <w:spacing w:after="0"/>
              <w:rPr>
                <w:sz w:val="20"/>
                <w:szCs w:val="20"/>
                <w:color w:val="auto"/>
              </w:rPr>
            </w:pPr>
            <w:r>
              <w:rPr>
                <w:rFonts w:ascii="Arial" w:cs="Arial" w:eastAsia="Arial" w:hAnsi="Arial"/>
                <w:sz w:val="18"/>
                <w:szCs w:val="18"/>
                <w:color w:val="auto"/>
                <w:w w:val="99"/>
              </w:rPr>
              <w:t>$</w:t>
            </w: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17"/>
              <w:spacing w:after="0"/>
              <w:rPr>
                <w:sz w:val="20"/>
                <w:szCs w:val="20"/>
                <w:color w:val="auto"/>
              </w:rPr>
            </w:pPr>
            <w:r>
              <w:rPr>
                <w:rFonts w:ascii="Arial" w:cs="Arial" w:eastAsia="Arial" w:hAnsi="Arial"/>
                <w:sz w:val="18"/>
                <w:szCs w:val="18"/>
                <w:color w:val="auto"/>
              </w:rPr>
              <w:t>27.00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95"/>
              <w:spacing w:after="0"/>
              <w:rPr>
                <w:sz w:val="20"/>
                <w:szCs w:val="20"/>
                <w:color w:val="auto"/>
              </w:rPr>
            </w:pPr>
            <w:r>
              <w:rPr>
                <w:rFonts w:ascii="Arial" w:cs="Arial" w:eastAsia="Arial" w:hAnsi="Arial"/>
                <w:sz w:val="18"/>
                <w:szCs w:val="18"/>
                <w:color w:val="auto"/>
              </w:rPr>
              <w:t>29.55</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5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Weighted-average fair value of options granted during the</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period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9.01</w:t>
            </w: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1059"/>
              <w:spacing w:after="0"/>
              <w:rPr>
                <w:sz w:val="20"/>
                <w:szCs w:val="20"/>
                <w:color w:val="auto"/>
              </w:rPr>
            </w:pPr>
            <w:r>
              <w:rPr>
                <w:rFonts w:ascii="Arial" w:cs="Arial" w:eastAsia="Arial" w:hAnsi="Arial"/>
                <w:sz w:val="18"/>
                <w:szCs w:val="18"/>
                <w:color w:val="auto"/>
                <w:w w:val="99"/>
              </w:rPr>
              <w:t>$</w:t>
            </w: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8.37</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10.01</w:t>
            </w:r>
          </w:p>
        </w:tc>
        <w:tc>
          <w:tcPr>
            <w:tcW w:w="0" w:type="dxa"/>
            <w:vAlign w:val="bottom"/>
          </w:tcPr>
          <w:p>
            <w:pPr>
              <w:spacing w:after="0"/>
              <w:rPr>
                <w:sz w:val="1"/>
                <w:szCs w:val="1"/>
                <w:color w:val="auto"/>
              </w:rPr>
            </w:pPr>
          </w:p>
        </w:tc>
      </w:tr>
      <w:tr>
        <w:trPr>
          <w:trHeight w:val="27"/>
        </w:trPr>
        <w:tc>
          <w:tcPr>
            <w:tcW w:w="45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 uses historical data regarding stock option exercise behaviors to estimate the expected term of options granted based on the period of time that options granted are expected to be outstanding. Expected volatilities are based on the historical volatility of the Company’s stock. The expected dividend yield is based on the Company’s historical dividend payments and historical yield. The risk-free interest rate is based on the U.S. Treasury yield curve in effect on the grant date for the length of time corresponding to the expected term of the option. The market value is calculated as the average of the high and the low stock price on the date of the grant.</w:t>
      </w:r>
    </w:p>
    <w:p>
      <w:pPr>
        <w:spacing w:after="0" w:line="13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Company granted 5,000 cliff-vested restricted shares in December 2012, with a grant price and fair value of $32.99. The Company granted 10,000 shares of performance-based restricted stock units in September 2012, with a grant price and fair value of $30.21. The Company granted 100,000 shares of performance-based restricted stock in August of 2010, with a grant price and fair value of $28.35, and 210,000 shares in fiscal 2008, with a grant price and fair value of $32.83. As of January 31, 2013, 5,000 cliff-vested restricted shares were outstanding, 10,000 performance-based restricted stock units were outstanding and 310,000 performance-based restricted shares were outstanding.</w:t>
      </w:r>
    </w:p>
    <w:p>
      <w:pPr>
        <w:spacing w:after="0" w:line="119"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The Company granted 790,450 service-based stock options during the six months ended January 31, 2013, with a weighted average exercise price of $30.36 and a weighted average fair value of $9.01. There were no performance-based stock options granted during the six months ended January 31, 2013.</w:t>
      </w:r>
    </w:p>
    <w:p>
      <w:pPr>
        <w:spacing w:after="0" w:line="70"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A summary of stock option activity under the Company’s share-based compensation plans for the six months ended January 31, 2013 is presented below:</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1"/>
              </w:rPr>
              <w:t>Weighted</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Weighted</w:t>
            </w: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5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2"/>
                <w:szCs w:val="12"/>
                <w:color w:val="auto"/>
              </w:rPr>
            </w:pPr>
          </w:p>
        </w:tc>
        <w:tc>
          <w:tcPr>
            <w:tcW w:w="1200" w:type="dxa"/>
            <w:vAlign w:val="bottom"/>
            <w:vMerge w:val="restart"/>
          </w:tcPr>
          <w:p>
            <w:pPr>
              <w:jc w:val="center"/>
              <w:ind w:right="201"/>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Average</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2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Options</w:t>
            </w:r>
          </w:p>
        </w:tc>
        <w:tc>
          <w:tcPr>
            <w:tcW w:w="148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Exercise</w:t>
            </w:r>
          </w:p>
        </w:tc>
        <w:tc>
          <w:tcPr>
            <w:tcW w:w="15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80" w:type="dxa"/>
            <w:vAlign w:val="bottom"/>
          </w:tcPr>
          <w:p>
            <w:pPr>
              <w:spacing w:after="0"/>
              <w:rPr>
                <w:sz w:val="12"/>
                <w:szCs w:val="12"/>
                <w:color w:val="auto"/>
              </w:rPr>
            </w:pPr>
          </w:p>
        </w:tc>
        <w:tc>
          <w:tcPr>
            <w:tcW w:w="1200" w:type="dxa"/>
            <w:vAlign w:val="bottom"/>
          </w:tcPr>
          <w:p>
            <w:pPr>
              <w:jc w:val="center"/>
              <w:ind w:right="201"/>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3"/>
              </w:rPr>
              <w:t>Price</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Term</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81"/>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July 31, 2012</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6,253,751</w:t>
            </w:r>
          </w:p>
        </w:tc>
        <w:tc>
          <w:tcPr>
            <w:tcW w:w="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29.24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New grants</w:t>
            </w:r>
          </w:p>
        </w:tc>
        <w:tc>
          <w:tcPr>
            <w:tcW w:w="1480" w:type="dxa"/>
            <w:vAlign w:val="bottom"/>
          </w:tcPr>
          <w:p>
            <w:pPr>
              <w:jc w:val="right"/>
              <w:spacing w:after="0"/>
              <w:rPr>
                <w:sz w:val="20"/>
                <w:szCs w:val="20"/>
                <w:color w:val="auto"/>
              </w:rPr>
            </w:pPr>
            <w:r>
              <w:rPr>
                <w:rFonts w:ascii="Arial" w:cs="Arial" w:eastAsia="Arial" w:hAnsi="Arial"/>
                <w:sz w:val="18"/>
                <w:szCs w:val="18"/>
                <w:color w:val="auto"/>
              </w:rPr>
              <w:t>790,450</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30.36</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(330,338)</w:t>
            </w:r>
          </w:p>
        </w:tc>
        <w:tc>
          <w:tcPr>
            <w:tcW w:w="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18.57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Forfeited or expired</w:t>
            </w:r>
          </w:p>
        </w:tc>
        <w:tc>
          <w:tcPr>
            <w:tcW w:w="1480" w:type="dxa"/>
            <w:vAlign w:val="bottom"/>
          </w:tcPr>
          <w:p>
            <w:pPr>
              <w:jc w:val="right"/>
              <w:spacing w:after="0"/>
              <w:rPr>
                <w:sz w:val="20"/>
                <w:szCs w:val="20"/>
                <w:color w:val="auto"/>
              </w:rPr>
            </w:pPr>
            <w:r>
              <w:rPr>
                <w:rFonts w:ascii="Arial" w:cs="Arial" w:eastAsia="Arial" w:hAnsi="Arial"/>
                <w:sz w:val="18"/>
                <w:szCs w:val="18"/>
                <w:color w:val="auto"/>
              </w:rPr>
              <w:t>(497,273)</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30.53</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January 31, 2013</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6,216,590</w:t>
            </w:r>
          </w:p>
        </w:tc>
        <w:tc>
          <w:tcPr>
            <w:tcW w:w="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29.84</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rPr>
              <w:t>35,476</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40"/>
              <w:spacing w:after="0"/>
              <w:rPr>
                <w:sz w:val="20"/>
                <w:szCs w:val="20"/>
                <w:color w:val="auto"/>
              </w:rPr>
            </w:pPr>
            <w:r>
              <w:rPr>
                <w:rFonts w:ascii="Arial" w:cs="Arial" w:eastAsia="Arial" w:hAnsi="Arial"/>
                <w:sz w:val="18"/>
                <w:szCs w:val="18"/>
                <w:color w:val="auto"/>
              </w:rPr>
              <w:t>Exercisable at January 31, 2013</w:t>
            </w: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160" w:type="dxa"/>
            <w:vAlign w:val="bottom"/>
            <w:vMerge w:val="continue"/>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4,049,293</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30.19</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color w:val="auto"/>
              </w:rPr>
              <w:t>22,891</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There were 4,049,293 and 4,024,955 options exercisable with a weighted average exercise price of $30.19 and $29.31 at January 31, 2013 and 2012, respectively. The cash received from the exercise of options during the three months ended January 31, 2013 and 2012, was $2,725 and $1,710, respectively. The cash received from the exercise of options during the six months ended January 31, 2013 and 2012, was $4,409 and $2,301, respectively. The tax benefit on stock options exercised during the three months ended January 31, 2013 and 2012, was $630 and $126, respectively. The tax benefit on stock options exercised during the six months ended January 31, 2013 and 2012, was $1,265 and $595, respectively.</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total intrinsic value of options exercised during the six months ended January 31, 2013 and 2012, based upon the average market price at the time of exercise during the period, was $4,216 and $855, respectively. The total fair value of stock options vested during the six months ended January 31, 2013 and 2012, was $10,832 and $8,012,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NOTE F — Stockholders’ Equity</w:t>
      </w:r>
    </w:p>
    <w:p>
      <w:pPr>
        <w:spacing w:after="0" w:line="9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On September 9, 2011, the Company’s Board of Directors authorized a share repurchase program for up to two million shares of the Company’s Class A Nonvoting Common Stock. The plan may be implemented by purchasing shares in the open market or in privately negotiated transactions, with repurchased shares available for use in connection with the Company’s stock-based plans and for other corporate purposes. As of July 31, 2012, there remained 334,940 shares to purchase in connection with this share repurchase plan. During the three months ended October 31, 2012, the Company purchased 188,167 shares of its Class A Nonvoting Common Stock under this plan for $5,121. There were no share repurchases during the three months ended January 31, 2013.</w:t>
      </w:r>
    </w:p>
    <w:p>
      <w:pPr>
        <w:spacing w:after="0" w:line="13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On September 6, 2012, the Company’s Board of Directors authorized an additional share repurchase program for up to two million additional shares of the Company’s Class A Nonvoting Common Stock. As of January 31, 2013, there remained 2,146,773 shares to purchase in connection with the Company’s share repurchase plans.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NOTE G — Employee Benefit Plans</w:t>
      </w:r>
    </w:p>
    <w:p>
      <w:pPr>
        <w:spacing w:after="0" w:line="9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Company provides postretirement medical benefits for eligible regular full and part-time domestic employees (including spouses) outlined by the plan. Postretirement benefits are provided only if the employee was hired prior to April 1, 2008, and retires on or after attainment of age 55 with 15 years of credited service. Credited service begins accruing at the later of age 40 or date of hire. All active employees first eligible to retire after July 31, 1992, are covered by an unfunded, contributory postretirement healthcare plan where employer contributions will not exceed a defined dollar benefit amount, regardless of the cost of the program. Employer contributions to the plan are based on the employee’s age and service at retirement.</w:t>
      </w:r>
    </w:p>
    <w:p>
      <w:pPr>
        <w:spacing w:after="0" w:line="3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funds benefit costs on a pay-as-you-go basis. There have been no changes to the components of net periodic benefit cost or the amount that the Company expects to fund in fiscal 2013 from those reported in Note 3 to the consolidated financial statements included in the Company’s latest annual report on Form 10-K for the year ended July 31, 2012.</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NOTE H — Fair Value Measurements</w:t>
      </w:r>
    </w:p>
    <w:p>
      <w:pPr>
        <w:spacing w:after="0" w:line="9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 accordance with fair value accounting guidance, the Company’s assets and liabilities measured at fair market value are classified in one of the following categories:</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6"/>
          <w:szCs w:val="16"/>
          <w:u w:val="single" w:color="auto"/>
          <w:color w:val="auto"/>
        </w:rPr>
        <w:t>Level 1</w:t>
      </w:r>
      <w:r>
        <w:rPr>
          <w:rFonts w:ascii="Arial" w:cs="Arial" w:eastAsia="Arial" w:hAnsi="Arial"/>
          <w:sz w:val="16"/>
          <w:szCs w:val="16"/>
          <w:color w:val="auto"/>
        </w:rPr>
        <w:t xml:space="preserve"> — Assets or liabilities for which fair value is based on quoted market prices in active markets for identical instruments as of the reporting date.</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6"/>
          <w:szCs w:val="16"/>
          <w:u w:val="single" w:color="auto"/>
          <w:color w:val="auto"/>
        </w:rPr>
        <w:t>Level 2</w:t>
      </w:r>
      <w:r>
        <w:rPr>
          <w:rFonts w:ascii="Arial" w:cs="Arial" w:eastAsia="Arial" w:hAnsi="Arial"/>
          <w:sz w:val="16"/>
          <w:szCs w:val="16"/>
          <w:color w:val="auto"/>
        </w:rPr>
        <w:t xml:space="preserve"> — Assets or liabilities for which fair value is based on valuation models for which pricing inputs were either directly or indirectly observable.</w:t>
      </w:r>
    </w:p>
    <w:p>
      <w:pPr>
        <w:spacing w:after="0" w:line="11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xml:space="preserve"> — Assets or liabilities for which fair value is based on valuation models with significant unobservable pricing inputs and which result in the use of management estimates.</w:t>
      </w:r>
    </w:p>
    <w:p>
      <w:pPr>
        <w:spacing w:after="0" w:line="116"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The following tables set forth by level within the fair value hierarchy, our financial assets and liabilities that were accounted for at fair value on a recurring basis at January 31, 2013, and July 31, 2012, according to the valuation techniques the Company used to determine their fair values.</w:t>
      </w:r>
    </w:p>
    <w:p>
      <w:pPr>
        <w:spacing w:after="0" w:line="273" w:lineRule="exact"/>
        <w:rPr>
          <w:sz w:val="20"/>
          <w:szCs w:val="20"/>
          <w:color w:val="auto"/>
        </w:rPr>
      </w:pPr>
    </w:p>
    <w:p>
      <w:pPr>
        <w:jc w:val="center"/>
        <w:ind w:right="1640"/>
        <w:spacing w:after="0"/>
        <w:rPr>
          <w:sz w:val="20"/>
          <w:szCs w:val="20"/>
          <w:color w:val="auto"/>
        </w:rPr>
      </w:pPr>
      <w:r>
        <w:rPr>
          <w:rFonts w:ascii="Arial" w:cs="Arial" w:eastAsia="Arial" w:hAnsi="Arial"/>
          <w:sz w:val="14"/>
          <w:szCs w:val="14"/>
          <w:b w:val="1"/>
          <w:bCs w:val="1"/>
          <w:color w:val="auto"/>
        </w:rPr>
        <w:t>Inputs</w:t>
      </w:r>
    </w:p>
    <w:p>
      <w:pPr>
        <w:spacing w:after="0" w:line="4" w:lineRule="exact"/>
        <w:rPr>
          <w:sz w:val="20"/>
          <w:szCs w:val="20"/>
          <w:color w:val="auto"/>
        </w:rPr>
      </w:pPr>
    </w:p>
    <w:p>
      <w:pPr>
        <w:jc w:val="center"/>
        <w:ind w:right="1640"/>
        <w:spacing w:after="0"/>
        <w:rPr>
          <w:sz w:val="20"/>
          <w:szCs w:val="20"/>
          <w:color w:val="auto"/>
        </w:rPr>
      </w:pPr>
      <w:r>
        <w:rPr>
          <w:rFonts w:ascii="Arial" w:cs="Arial" w:eastAsia="Arial" w:hAnsi="Arial"/>
          <w:sz w:val="14"/>
          <w:szCs w:val="14"/>
          <w:b w:val="1"/>
          <w:bCs w:val="1"/>
          <w:color w:val="auto"/>
        </w:rPr>
        <w:t>Considered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13335</wp:posOffset>
            </wp:positionV>
            <wp:extent cx="22555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Quoted Prices in Active</w:t>
            </w:r>
          </w:p>
        </w:tc>
        <w:tc>
          <w:tcPr>
            <w:tcW w:w="200" w:type="dxa"/>
            <w:vAlign w:val="bottom"/>
          </w:tcPr>
          <w:p>
            <w:pPr>
              <w:spacing w:after="0"/>
              <w:rPr>
                <w:sz w:val="14"/>
                <w:szCs w:val="14"/>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Significant Other</w:t>
            </w:r>
          </w:p>
        </w:tc>
        <w:tc>
          <w:tcPr>
            <w:tcW w:w="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Markets for Identical</w:t>
            </w:r>
          </w:p>
        </w:tc>
        <w:tc>
          <w:tcPr>
            <w:tcW w:w="18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Observable Inputs (Level</w:t>
            </w:r>
          </w:p>
        </w:tc>
        <w:tc>
          <w:tcPr>
            <w:tcW w:w="300" w:type="dxa"/>
            <w:vAlign w:val="bottom"/>
          </w:tcPr>
          <w:p>
            <w:pPr>
              <w:spacing w:after="0"/>
              <w:rPr>
                <w:sz w:val="12"/>
                <w:szCs w:val="12"/>
                <w:color w:val="auto"/>
              </w:rPr>
            </w:pPr>
          </w:p>
        </w:tc>
        <w:tc>
          <w:tcPr>
            <w:tcW w:w="140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Fair Values</w:t>
            </w:r>
          </w:p>
        </w:tc>
        <w:tc>
          <w:tcPr>
            <w:tcW w:w="120" w:type="dxa"/>
            <w:vAlign w:val="bottom"/>
          </w:tcPr>
          <w:p>
            <w:pPr>
              <w:spacing w:after="0"/>
              <w:rPr>
                <w:sz w:val="12"/>
                <w:szCs w:val="12"/>
                <w:color w:val="auto"/>
              </w:rPr>
            </w:pPr>
          </w:p>
        </w:tc>
        <w:tc>
          <w:tcPr>
            <w:tcW w:w="284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Balance Sheet Classifications</w:t>
            </w:r>
          </w:p>
        </w:tc>
        <w:tc>
          <w:tcPr>
            <w:tcW w:w="0" w:type="dxa"/>
            <w:vAlign w:val="bottom"/>
          </w:tcPr>
          <w:p>
            <w:pPr>
              <w:spacing w:after="0"/>
              <w:rPr>
                <w:sz w:val="1"/>
                <w:szCs w:val="1"/>
                <w:color w:val="auto"/>
              </w:rPr>
            </w:pPr>
          </w:p>
        </w:tc>
      </w:tr>
      <w:tr>
        <w:trPr>
          <w:trHeight w:val="192"/>
        </w:trPr>
        <w:tc>
          <w:tcPr>
            <w:tcW w:w="3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Assets (Level 1)</w:t>
            </w:r>
          </w:p>
        </w:tc>
        <w:tc>
          <w:tcPr>
            <w:tcW w:w="200" w:type="dxa"/>
            <w:vAlign w:val="bottom"/>
          </w:tcPr>
          <w:p>
            <w:pPr>
              <w:spacing w:after="0"/>
              <w:rPr>
                <w:sz w:val="16"/>
                <w:szCs w:val="16"/>
                <w:color w:val="auto"/>
              </w:rPr>
            </w:pPr>
          </w:p>
        </w:tc>
        <w:tc>
          <w:tcPr>
            <w:tcW w:w="1500" w:type="dxa"/>
            <w:vAlign w:val="bottom"/>
          </w:tcPr>
          <w:p>
            <w:pPr>
              <w:jc w:val="center"/>
              <w:ind w:right="133"/>
              <w:spacing w:after="0"/>
              <w:rPr>
                <w:sz w:val="20"/>
                <w:szCs w:val="20"/>
                <w:color w:val="auto"/>
              </w:rPr>
            </w:pPr>
            <w:r>
              <w:rPr>
                <w:rFonts w:ascii="Arial" w:cs="Arial" w:eastAsia="Arial" w:hAnsi="Arial"/>
                <w:sz w:val="14"/>
                <w:szCs w:val="14"/>
                <w:b w:val="1"/>
                <w:bCs w:val="1"/>
                <w:color w:val="auto"/>
                <w:w w:val="96"/>
              </w:rPr>
              <w:t>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1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January 31, 2013</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Trading securities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34"/>
              <w:spacing w:after="0"/>
              <w:rPr>
                <w:sz w:val="20"/>
                <w:szCs w:val="20"/>
                <w:color w:val="auto"/>
              </w:rPr>
            </w:pPr>
            <w:r>
              <w:rPr>
                <w:rFonts w:ascii="Arial" w:cs="Arial" w:eastAsia="Arial" w:hAnsi="Arial"/>
                <w:sz w:val="18"/>
                <w:szCs w:val="18"/>
                <w:color w:val="auto"/>
              </w:rPr>
              <w:t>13,864</w:t>
            </w:r>
          </w:p>
        </w:tc>
        <w:tc>
          <w:tcPr>
            <w:tcW w:w="120" w:type="dxa"/>
            <w:vAlign w:val="bottom"/>
          </w:tcPr>
          <w:p>
            <w:pPr>
              <w:spacing w:after="0"/>
              <w:rPr>
                <w:sz w:val="21"/>
                <w:szCs w:val="21"/>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13,864</w:t>
            </w:r>
          </w:p>
        </w:tc>
        <w:tc>
          <w:tcPr>
            <w:tcW w:w="120" w:type="dxa"/>
            <w:vAlign w:val="bottom"/>
          </w:tcPr>
          <w:p>
            <w:pPr>
              <w:spacing w:after="0"/>
              <w:rPr>
                <w:sz w:val="21"/>
                <w:szCs w:val="21"/>
                <w:color w:val="auto"/>
              </w:rPr>
            </w:pPr>
          </w:p>
        </w:tc>
        <w:tc>
          <w:tcPr>
            <w:tcW w:w="284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exchange contracts</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Prepaid expenses and other current</w:t>
            </w:r>
          </w:p>
        </w:tc>
        <w:tc>
          <w:tcPr>
            <w:tcW w:w="0" w:type="dxa"/>
            <w:vAlign w:val="bottom"/>
          </w:tcPr>
          <w:p>
            <w:pPr>
              <w:spacing w:after="0"/>
              <w:rPr>
                <w:sz w:val="1"/>
                <w:szCs w:val="1"/>
                <w:color w:val="auto"/>
              </w:rPr>
            </w:pPr>
          </w:p>
        </w:tc>
      </w:tr>
      <w:tr>
        <w:trPr>
          <w:trHeight w:val="257"/>
        </w:trPr>
        <w:tc>
          <w:tcPr>
            <w:tcW w:w="3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817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817</w:t>
            </w:r>
          </w:p>
        </w:tc>
        <w:tc>
          <w:tcPr>
            <w:tcW w:w="120" w:type="dxa"/>
            <w:vAlign w:val="bottom"/>
            <w:tcBorders>
              <w:bottom w:val="single" w:sz="8" w:color="CCEEFF"/>
            </w:tcBorders>
            <w:shd w:val="clear" w:color="auto" w:fill="CCEEFF"/>
          </w:tcPr>
          <w:p>
            <w:pPr>
              <w:spacing w:after="0"/>
              <w:rPr>
                <w:sz w:val="22"/>
                <w:szCs w:val="22"/>
                <w:color w:val="auto"/>
              </w:rPr>
            </w:pPr>
          </w:p>
        </w:tc>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0" w:type="dxa"/>
            <w:vAlign w:val="bottom"/>
          </w:tcPr>
          <w:p>
            <w:pPr>
              <w:spacing w:after="0"/>
              <w:rPr>
                <w:sz w:val="1"/>
                <w:szCs w:val="1"/>
                <w:color w:val="auto"/>
              </w:rPr>
            </w:pPr>
          </w:p>
        </w:tc>
      </w:tr>
      <w:tr>
        <w:trPr>
          <w:trHeight w:val="237"/>
        </w:trPr>
        <w:tc>
          <w:tcPr>
            <w:tcW w:w="3100" w:type="dxa"/>
            <w:vAlign w:val="bottom"/>
          </w:tcPr>
          <w:p>
            <w:pPr>
              <w:ind w:left="38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13,864</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817</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14,681</w:t>
            </w:r>
          </w:p>
        </w:tc>
        <w:tc>
          <w:tcPr>
            <w:tcW w:w="1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3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40" w:type="dxa"/>
            <w:vAlign w:val="bottom"/>
            <w:tcBorders>
              <w:bottom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31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Foreign exchange contracts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584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584</w:t>
            </w:r>
          </w:p>
        </w:tc>
        <w:tc>
          <w:tcPr>
            <w:tcW w:w="120" w:type="dxa"/>
            <w:vAlign w:val="bottom"/>
            <w:tcBorders>
              <w:bottom w:val="single" w:sz="8" w:color="CCEEFF"/>
            </w:tcBorders>
            <w:shd w:val="clear" w:color="auto" w:fill="CCEEFF"/>
          </w:tcPr>
          <w:p>
            <w:pPr>
              <w:spacing w:after="0"/>
              <w:rPr>
                <w:sz w:val="20"/>
                <w:szCs w:val="20"/>
                <w:color w:val="auto"/>
              </w:rPr>
            </w:pPr>
          </w:p>
        </w:tc>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0" w:type="dxa"/>
            <w:vAlign w:val="bottom"/>
          </w:tcPr>
          <w:p>
            <w:pPr>
              <w:spacing w:after="0"/>
              <w:rPr>
                <w:sz w:val="1"/>
                <w:szCs w:val="1"/>
                <w:color w:val="auto"/>
              </w:rPr>
            </w:pPr>
          </w:p>
        </w:tc>
      </w:tr>
      <w:tr>
        <w:trPr>
          <w:trHeight w:val="229"/>
        </w:trPr>
        <w:tc>
          <w:tcPr>
            <w:tcW w:w="3100" w:type="dxa"/>
            <w:vAlign w:val="bottom"/>
          </w:tcPr>
          <w:p>
            <w:pPr>
              <w:ind w:left="40"/>
              <w:spacing w:after="0"/>
              <w:rPr>
                <w:sz w:val="20"/>
                <w:szCs w:val="20"/>
                <w:color w:val="auto"/>
              </w:rPr>
            </w:pPr>
            <w:r>
              <w:rPr>
                <w:rFonts w:ascii="Arial" w:cs="Arial" w:eastAsia="Arial" w:hAnsi="Arial"/>
                <w:sz w:val="18"/>
                <w:szCs w:val="18"/>
                <w:color w:val="auto"/>
              </w:rPr>
              <w:t>Foreign currency denominated debt</w:t>
            </w:r>
          </w:p>
        </w:tc>
        <w:tc>
          <w:tcPr>
            <w:tcW w:w="1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ind w:left="20"/>
              <w:spacing w:after="0"/>
              <w:rPr>
                <w:sz w:val="20"/>
                <w:szCs w:val="20"/>
                <w:color w:val="auto"/>
              </w:rPr>
            </w:pPr>
            <w:r>
              <w:rPr>
                <w:rFonts w:ascii="Arial" w:cs="Arial" w:eastAsia="Arial" w:hAnsi="Arial"/>
                <w:sz w:val="18"/>
                <w:szCs w:val="18"/>
                <w:color w:val="auto"/>
              </w:rPr>
              <w:t>Long term obligations, less current</w:t>
            </w:r>
          </w:p>
        </w:tc>
        <w:tc>
          <w:tcPr>
            <w:tcW w:w="0" w:type="dxa"/>
            <w:vAlign w:val="bottom"/>
          </w:tcPr>
          <w:p>
            <w:pPr>
              <w:spacing w:after="0"/>
              <w:rPr>
                <w:sz w:val="1"/>
                <w:szCs w:val="1"/>
                <w:color w:val="auto"/>
              </w:rPr>
            </w:pPr>
          </w:p>
        </w:tc>
      </w:tr>
      <w:tr>
        <w:trPr>
          <w:trHeight w:val="230"/>
        </w:trPr>
        <w:tc>
          <w:tcPr>
            <w:tcW w:w="3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108,064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108,064</w:t>
            </w:r>
          </w:p>
        </w:tc>
        <w:tc>
          <w:tcPr>
            <w:tcW w:w="120" w:type="dxa"/>
            <w:vAlign w:val="bottom"/>
          </w:tcPr>
          <w:p>
            <w:pPr>
              <w:spacing w:after="0"/>
              <w:rPr>
                <w:sz w:val="20"/>
                <w:szCs w:val="20"/>
                <w:color w:val="auto"/>
              </w:rPr>
            </w:pPr>
          </w:p>
        </w:tc>
        <w:tc>
          <w:tcPr>
            <w:tcW w:w="2840" w:type="dxa"/>
            <w:vAlign w:val="bottom"/>
          </w:tcPr>
          <w:p>
            <w:pPr>
              <w:ind w:left="20"/>
              <w:spacing w:after="0"/>
              <w:rPr>
                <w:sz w:val="20"/>
                <w:szCs w:val="20"/>
                <w:color w:val="auto"/>
              </w:rPr>
            </w:pPr>
            <w:r>
              <w:rPr>
                <w:rFonts w:ascii="Arial" w:cs="Arial" w:eastAsia="Arial" w:hAnsi="Arial"/>
                <w:sz w:val="18"/>
                <w:szCs w:val="18"/>
                <w:color w:val="auto"/>
              </w:rPr>
              <w:t>maturities</w:t>
            </w:r>
          </w:p>
        </w:tc>
        <w:tc>
          <w:tcPr>
            <w:tcW w:w="0" w:type="dxa"/>
            <w:vAlign w:val="bottom"/>
          </w:tcPr>
          <w:p>
            <w:pPr>
              <w:spacing w:after="0"/>
              <w:rPr>
                <w:sz w:val="1"/>
                <w:szCs w:val="1"/>
                <w:color w:val="auto"/>
              </w:rPr>
            </w:pPr>
          </w:p>
        </w:tc>
      </w:tr>
      <w:tr>
        <w:trPr>
          <w:trHeight w:val="27"/>
        </w:trPr>
        <w:tc>
          <w:tcPr>
            <w:tcW w:w="3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108,648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108,648</w:t>
            </w:r>
          </w:p>
        </w:tc>
        <w:tc>
          <w:tcPr>
            <w:tcW w:w="120" w:type="dxa"/>
            <w:vAlign w:val="bottom"/>
            <w:tcBorders>
              <w:bottom w:val="single" w:sz="8" w:color="CCEEFF"/>
            </w:tcBorders>
            <w:shd w:val="clear" w:color="auto" w:fill="CCEEFF"/>
          </w:tcPr>
          <w:p>
            <w:pPr>
              <w:spacing w:after="0"/>
              <w:rPr>
                <w:sz w:val="22"/>
                <w:szCs w:val="22"/>
                <w:color w:val="auto"/>
              </w:rPr>
            </w:pPr>
          </w:p>
        </w:tc>
        <w:tc>
          <w:tcPr>
            <w:tcW w:w="28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July 31, 2012</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1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3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Trading securities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12,676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12,676</w:t>
            </w:r>
          </w:p>
        </w:tc>
        <w:tc>
          <w:tcPr>
            <w:tcW w:w="12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0" w:type="dxa"/>
            <w:vAlign w:val="bottom"/>
          </w:tcPr>
          <w:p>
            <w:pPr>
              <w:spacing w:after="0"/>
              <w:rPr>
                <w:sz w:val="1"/>
                <w:szCs w:val="1"/>
                <w:color w:val="auto"/>
              </w:rPr>
            </w:pPr>
          </w:p>
        </w:tc>
      </w:tr>
      <w:tr>
        <w:trPr>
          <w:trHeight w:val="229"/>
        </w:trPr>
        <w:tc>
          <w:tcPr>
            <w:tcW w:w="3100" w:type="dxa"/>
            <w:vAlign w:val="bottom"/>
          </w:tcPr>
          <w:p>
            <w:pPr>
              <w:ind w:left="40"/>
              <w:spacing w:after="0"/>
              <w:rPr>
                <w:sz w:val="20"/>
                <w:szCs w:val="20"/>
                <w:color w:val="auto"/>
              </w:rPr>
            </w:pPr>
            <w:r>
              <w:rPr>
                <w:rFonts w:ascii="Arial" w:cs="Arial" w:eastAsia="Arial" w:hAnsi="Arial"/>
                <w:sz w:val="18"/>
                <w:szCs w:val="18"/>
                <w:color w:val="auto"/>
              </w:rPr>
              <w:t>Foreign exchange contracts</w:t>
            </w:r>
          </w:p>
        </w:tc>
        <w:tc>
          <w:tcPr>
            <w:tcW w:w="1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ind w:left="20"/>
              <w:spacing w:after="0"/>
              <w:rPr>
                <w:sz w:val="20"/>
                <w:szCs w:val="20"/>
                <w:color w:val="auto"/>
              </w:rPr>
            </w:pPr>
            <w:r>
              <w:rPr>
                <w:rFonts w:ascii="Arial" w:cs="Arial" w:eastAsia="Arial" w:hAnsi="Arial"/>
                <w:sz w:val="18"/>
                <w:szCs w:val="18"/>
                <w:color w:val="auto"/>
                <w:w w:val="97"/>
              </w:rPr>
              <w:t>Prepaid expenses and other current</w:t>
            </w:r>
          </w:p>
        </w:tc>
        <w:tc>
          <w:tcPr>
            <w:tcW w:w="0" w:type="dxa"/>
            <w:vAlign w:val="bottom"/>
          </w:tcPr>
          <w:p>
            <w:pPr>
              <w:spacing w:after="0"/>
              <w:rPr>
                <w:sz w:val="1"/>
                <w:szCs w:val="1"/>
                <w:color w:val="auto"/>
              </w:rPr>
            </w:pPr>
          </w:p>
        </w:tc>
      </w:tr>
      <w:tr>
        <w:trPr>
          <w:trHeight w:val="230"/>
        </w:trPr>
        <w:tc>
          <w:tcPr>
            <w:tcW w:w="3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1,234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1,234</w:t>
            </w:r>
          </w:p>
        </w:tc>
        <w:tc>
          <w:tcPr>
            <w:tcW w:w="120" w:type="dxa"/>
            <w:vAlign w:val="bottom"/>
          </w:tcPr>
          <w:p>
            <w:pPr>
              <w:spacing w:after="0"/>
              <w:rPr>
                <w:sz w:val="20"/>
                <w:szCs w:val="20"/>
                <w:color w:val="auto"/>
              </w:rPr>
            </w:pPr>
          </w:p>
        </w:tc>
        <w:tc>
          <w:tcPr>
            <w:tcW w:w="2840" w:type="dxa"/>
            <w:vAlign w:val="bottom"/>
          </w:tcPr>
          <w:p>
            <w:pPr>
              <w:ind w:left="20"/>
              <w:spacing w:after="0"/>
              <w:rPr>
                <w:sz w:val="20"/>
                <w:szCs w:val="20"/>
                <w:color w:val="auto"/>
              </w:rPr>
            </w:pPr>
            <w:r>
              <w:rPr>
                <w:rFonts w:ascii="Arial" w:cs="Arial" w:eastAsia="Arial" w:hAnsi="Arial"/>
                <w:sz w:val="18"/>
                <w:szCs w:val="18"/>
                <w:color w:val="auto"/>
              </w:rPr>
              <w:t>assets</w:t>
            </w:r>
          </w:p>
        </w:tc>
        <w:tc>
          <w:tcPr>
            <w:tcW w:w="0" w:type="dxa"/>
            <w:vAlign w:val="bottom"/>
          </w:tcPr>
          <w:p>
            <w:pPr>
              <w:spacing w:after="0"/>
              <w:rPr>
                <w:sz w:val="1"/>
                <w:szCs w:val="1"/>
                <w:color w:val="auto"/>
              </w:rPr>
            </w:pPr>
          </w:p>
        </w:tc>
      </w:tr>
      <w:tr>
        <w:trPr>
          <w:trHeight w:val="27"/>
        </w:trPr>
        <w:tc>
          <w:tcPr>
            <w:tcW w:w="3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12,676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1,234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13,910</w:t>
            </w:r>
          </w:p>
        </w:tc>
        <w:tc>
          <w:tcPr>
            <w:tcW w:w="120" w:type="dxa"/>
            <w:vAlign w:val="bottom"/>
            <w:tcBorders>
              <w:bottom w:val="single" w:sz="8" w:color="CCEEFF"/>
            </w:tcBorders>
            <w:shd w:val="clear" w:color="auto" w:fill="CCEEFF"/>
          </w:tcPr>
          <w:p>
            <w:pPr>
              <w:spacing w:after="0"/>
              <w:rPr>
                <w:sz w:val="22"/>
                <w:szCs w:val="22"/>
                <w:color w:val="auto"/>
              </w:rPr>
            </w:pPr>
          </w:p>
        </w:tc>
        <w:tc>
          <w:tcPr>
            <w:tcW w:w="28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Foreign exchange contracts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10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281</w:t>
            </w:r>
          </w:p>
        </w:tc>
        <w:tc>
          <w:tcPr>
            <w:tcW w:w="120" w:type="dxa"/>
            <w:vAlign w:val="bottom"/>
          </w:tcPr>
          <w:p>
            <w:pPr>
              <w:spacing w:after="0"/>
              <w:rPr>
                <w:sz w:val="19"/>
                <w:szCs w:val="19"/>
                <w:color w:val="auto"/>
              </w:rPr>
            </w:pPr>
          </w:p>
        </w:tc>
        <w:tc>
          <w:tcPr>
            <w:tcW w:w="2840" w:type="dxa"/>
            <w:vAlign w:val="bottom"/>
          </w:tcPr>
          <w:p>
            <w:pPr>
              <w:ind w:left="20"/>
              <w:spacing w:after="0"/>
              <w:rPr>
                <w:sz w:val="20"/>
                <w:szCs w:val="20"/>
                <w:color w:val="auto"/>
              </w:rPr>
            </w:pPr>
            <w:r>
              <w:rPr>
                <w:rFonts w:ascii="Arial" w:cs="Arial" w:eastAsia="Arial" w:hAnsi="Arial"/>
                <w:sz w:val="18"/>
                <w:szCs w:val="18"/>
                <w:color w:val="auto"/>
              </w:rPr>
              <w:t>Other current liabilities</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currency denominated debt</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 term obligations, less current</w:t>
            </w:r>
          </w:p>
        </w:tc>
        <w:tc>
          <w:tcPr>
            <w:tcW w:w="0" w:type="dxa"/>
            <w:vAlign w:val="bottom"/>
          </w:tcPr>
          <w:p>
            <w:pPr>
              <w:spacing w:after="0"/>
              <w:rPr>
                <w:sz w:val="1"/>
                <w:szCs w:val="1"/>
                <w:color w:val="auto"/>
              </w:rPr>
            </w:pPr>
          </w:p>
        </w:tc>
      </w:tr>
      <w:tr>
        <w:trPr>
          <w:trHeight w:val="257"/>
        </w:trPr>
        <w:tc>
          <w:tcPr>
            <w:tcW w:w="3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99,081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99,081</w:t>
            </w:r>
          </w:p>
        </w:tc>
        <w:tc>
          <w:tcPr>
            <w:tcW w:w="120" w:type="dxa"/>
            <w:vAlign w:val="bottom"/>
            <w:tcBorders>
              <w:bottom w:val="single" w:sz="8" w:color="CCEEFF"/>
            </w:tcBorders>
            <w:shd w:val="clear" w:color="auto" w:fill="CCEEFF"/>
          </w:tcPr>
          <w:p>
            <w:pPr>
              <w:spacing w:after="0"/>
              <w:rPr>
                <w:sz w:val="22"/>
                <w:szCs w:val="22"/>
                <w:color w:val="auto"/>
              </w:rPr>
            </w:pPr>
          </w:p>
        </w:tc>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maturities</w:t>
            </w:r>
          </w:p>
        </w:tc>
        <w:tc>
          <w:tcPr>
            <w:tcW w:w="0" w:type="dxa"/>
            <w:vAlign w:val="bottom"/>
          </w:tcPr>
          <w:p>
            <w:pPr>
              <w:spacing w:after="0"/>
              <w:rPr>
                <w:sz w:val="1"/>
                <w:szCs w:val="1"/>
                <w:color w:val="auto"/>
              </w:rPr>
            </w:pPr>
          </w:p>
        </w:tc>
      </w:tr>
      <w:tr>
        <w:trPr>
          <w:trHeight w:val="237"/>
        </w:trPr>
        <w:tc>
          <w:tcPr>
            <w:tcW w:w="310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99,362</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99,362</w:t>
            </w:r>
          </w:p>
        </w:tc>
        <w:tc>
          <w:tcPr>
            <w:tcW w:w="1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methods and assumptions were used to estimate the fair value of each class of financial instrument:</w:t>
      </w:r>
    </w:p>
    <w:p>
      <w:pPr>
        <w:spacing w:after="0" w:line="90" w:lineRule="exact"/>
        <w:rPr>
          <w:sz w:val="20"/>
          <w:szCs w:val="20"/>
          <w:color w:val="auto"/>
        </w:rPr>
      </w:pPr>
    </w:p>
    <w:p>
      <w:pPr>
        <w:jc w:val="both"/>
        <w:ind w:firstLine="216"/>
        <w:spacing w:after="0" w:line="308" w:lineRule="auto"/>
        <w:rPr>
          <w:sz w:val="20"/>
          <w:szCs w:val="20"/>
          <w:color w:val="auto"/>
        </w:rPr>
      </w:pPr>
      <w:r>
        <w:rPr>
          <w:rFonts w:ascii="Arial" w:cs="Arial" w:eastAsia="Arial" w:hAnsi="Arial"/>
          <w:sz w:val="17"/>
          <w:szCs w:val="17"/>
          <w:i w:val="1"/>
          <w:iCs w:val="1"/>
          <w:color w:val="auto"/>
        </w:rPr>
        <w:t xml:space="preserve">Trading securities: </w:t>
      </w:r>
      <w:r>
        <w:rPr>
          <w:rFonts w:ascii="Arial" w:cs="Arial" w:eastAsia="Arial" w:hAnsi="Arial"/>
          <w:sz w:val="17"/>
          <w:szCs w:val="17"/>
          <w:color w:val="auto"/>
        </w:rPr>
        <w:t>The Company’s deferred compensation investments consist of investments in mutual funds. These investments were classified as Level</w:t>
      </w:r>
      <w:r>
        <w:rPr>
          <w:rFonts w:ascii="Arial" w:cs="Arial" w:eastAsia="Arial" w:hAnsi="Arial"/>
          <w:sz w:val="17"/>
          <w:szCs w:val="17"/>
          <w:i w:val="1"/>
          <w:iCs w:val="1"/>
          <w:color w:val="auto"/>
        </w:rPr>
        <w:t xml:space="preserve"> </w:t>
      </w:r>
      <w:r>
        <w:rPr>
          <w:rFonts w:ascii="Arial" w:cs="Arial" w:eastAsia="Arial" w:hAnsi="Arial"/>
          <w:sz w:val="17"/>
          <w:szCs w:val="17"/>
          <w:color w:val="auto"/>
        </w:rPr>
        <w:t>1 as the shares of these investments trade with sufficient frequency and volume to enable us to obtain pricing information on an ongoing basis.</w:t>
      </w:r>
    </w:p>
    <w:p>
      <w:pPr>
        <w:spacing w:after="0" w:line="228"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i w:val="1"/>
          <w:iCs w:val="1"/>
          <w:color w:val="auto"/>
        </w:rPr>
        <w:t xml:space="preserve">Foreign exchange contracts: </w:t>
      </w:r>
      <w:r>
        <w:rPr>
          <w:rFonts w:ascii="Arial" w:cs="Arial" w:eastAsia="Arial" w:hAnsi="Arial"/>
          <w:sz w:val="18"/>
          <w:szCs w:val="18"/>
          <w:color w:val="auto"/>
        </w:rPr>
        <w:t>The Company’s foreign exchange contracts were classified as Level 2, as the fair value was based on the present value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future cash flows using external models that use observable inputs, such as interest rates, yield curves and foreign exchange rates. See Note J, “Derivatives and Hedging Activities” for additional information.</w:t>
      </w:r>
    </w:p>
    <w:p>
      <w:pPr>
        <w:spacing w:after="0" w:line="181" w:lineRule="exact"/>
        <w:rPr>
          <w:sz w:val="20"/>
          <w:szCs w:val="20"/>
          <w:color w:val="auto"/>
        </w:rPr>
      </w:pPr>
    </w:p>
    <w:p>
      <w:pPr>
        <w:jc w:val="both"/>
        <w:ind w:firstLine="216"/>
        <w:spacing w:after="0" w:line="286" w:lineRule="auto"/>
        <w:rPr>
          <w:sz w:val="20"/>
          <w:szCs w:val="20"/>
          <w:color w:val="auto"/>
        </w:rPr>
      </w:pPr>
      <w:r>
        <w:rPr>
          <w:rFonts w:ascii="Arial" w:cs="Arial" w:eastAsia="Arial" w:hAnsi="Arial"/>
          <w:sz w:val="17"/>
          <w:szCs w:val="17"/>
          <w:i w:val="1"/>
          <w:iCs w:val="1"/>
          <w:color w:val="auto"/>
        </w:rPr>
        <w:t xml:space="preserve">Foreign currency denominated debt: </w:t>
      </w:r>
      <w:r>
        <w:rPr>
          <w:rFonts w:ascii="Arial" w:cs="Arial" w:eastAsia="Arial" w:hAnsi="Arial"/>
          <w:sz w:val="17"/>
          <w:szCs w:val="17"/>
          <w:color w:val="auto"/>
        </w:rPr>
        <w:t>The Company’s foreign currency denominated debt designated as a net investment hedge was classified as Level 2, as</w:t>
      </w:r>
      <w:r>
        <w:rPr>
          <w:rFonts w:ascii="Arial" w:cs="Arial" w:eastAsia="Arial" w:hAnsi="Arial"/>
          <w:sz w:val="17"/>
          <w:szCs w:val="17"/>
          <w:i w:val="1"/>
          <w:iCs w:val="1"/>
          <w:color w:val="auto"/>
        </w:rPr>
        <w:t xml:space="preserve"> </w:t>
      </w:r>
      <w:r>
        <w:rPr>
          <w:rFonts w:ascii="Arial" w:cs="Arial" w:eastAsia="Arial" w:hAnsi="Arial"/>
          <w:sz w:val="17"/>
          <w:szCs w:val="17"/>
          <w:color w:val="auto"/>
        </w:rPr>
        <w:t>the fair value was based on the present value of the future cash flows using external models that use observable inputs, such as interest rates, yield curves and foreign currency exchange rates. See Note J, “Derivatives and Hedging Activities” for additional information.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There have been no transfers of assets or liabilities between the fair value hierarchy levels, outlined above, during the three or six months ended January 31, 2013 and 2012. In addition, the Company had no significant measurements of assets or liabilities at fair value on a nonrecurring basis subsequent to their initial recognition during the three and six months ended January 31, 2013. During the three months ended January 31, 2012, goodwill with a carrying amount of $163,702 in the former North/South Asia reporting unit was written down to its estimated implied fair value of $48,014, resulting in a non-cash impairment charge of $115,688. In order to arrive at the implied fair value of goodwill, the Company assigned the fair value to all of the assets and liabilities of the reporting unit as if the reporting unit had been acquired in a business combination. Intangible assets consisted of customer lists, and were valued using the income approach based upon customers in existence at the valuation date. After assigning fair value to the assets and liabilities of the reporting unit, the result was the implied fair value of goodwill of $48,014, which represented a Level 3 asset measured at fair value on a nonrecurring basis subsequent to its original recognition.</w:t>
      </w:r>
    </w:p>
    <w:p>
      <w:pPr>
        <w:spacing w:after="0" w:line="143"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Company’s financial instruments, other than those presented in the disclosures above, include cash and cash equivalents, accounts receivable, notes payable, accounts payable, accrued liabilities and short-term and long-term debt. The fair values of cash and cash equivalents, accounts receivable, notes payable, accounts payable, and accrued liabilities approximated carrying values because of the short-term nature of these instruments.</w:t>
      </w:r>
    </w:p>
    <w:p>
      <w:pPr>
        <w:spacing w:after="0" w:line="93"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estimated fair value of the Company’s short-term and long-term debt obligations, including notes payable, based on the quoted market prices for similar issues and on the current rates offered for debt of similar maturities, was $457,283 and $338,668 at January 31, 2013 and July 31, 2012, respectively, as compared to the carrying value of $438,023 and $316,208 at January 31, 2013 and July 31, 2012, respectively. The Company drew down on its revolving loan agreement during the three months ended January 31, 2013, in order to fund the acquisition of PDC. The outstanding balance is classified as "Notes Payable" on the condensed consolidated balance sheets, and the fair value approximates carrying value due to the short-term nature of the instrument.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NOTE I — Restructuring</w:t>
      </w:r>
    </w:p>
    <w:p>
      <w:pPr>
        <w:spacing w:after="0" w:line="9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During fiscal 2012 and fiscal 2013, the Company took various measures to address its cost structure in response to weaker sales forecasts across the Company. As a result of these actions, the Company recorded restructuring charges of $4,031 during the three months ended January 31, 2013, which consisted of $2,502 of employee separation costs, $204 of fixed asset write-offs, and $1,325 of other facility closure related costs. Of the $4,031 of restructuring charges recorded during fiscal 2013, $1,462 was incurred in the Americas, $2,017 was incurred in EMEA, and $552 was incurred in Asia-Pacific. The Company expects the majority of the remaining cash payments to be made during fiscal 2013.</w:t>
      </w:r>
    </w:p>
    <w:p>
      <w:pPr>
        <w:spacing w:after="0" w:line="3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it relates to the restructuring charges recognized during fiscal 2012 and 2013, the related restructuring actions are substantially complete and the Company does not anticipate incurring additional expenses pertaining to these actions.</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reconciliation of the Company’s restructuring liability is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Employee</w:t>
            </w: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Related</w:t>
            </w:r>
          </w:p>
        </w:tc>
        <w:tc>
          <w:tcPr>
            <w:tcW w:w="120" w:type="dxa"/>
            <w:vAlign w:val="bottom"/>
          </w:tcPr>
          <w:p>
            <w:pPr>
              <w:spacing w:after="0"/>
              <w:rPr>
                <w:sz w:val="18"/>
                <w:szCs w:val="18"/>
                <w:color w:val="auto"/>
              </w:rPr>
            </w:pPr>
          </w:p>
        </w:tc>
        <w:tc>
          <w:tcPr>
            <w:tcW w:w="1380" w:type="dxa"/>
            <w:vAlign w:val="bottom"/>
            <w:gridSpan w:val="2"/>
          </w:tcPr>
          <w:p>
            <w:pPr>
              <w:ind w:left="20"/>
              <w:spacing w:after="0"/>
              <w:rPr>
                <w:sz w:val="20"/>
                <w:szCs w:val="20"/>
                <w:color w:val="auto"/>
              </w:rPr>
            </w:pPr>
            <w:r>
              <w:rPr>
                <w:rFonts w:ascii="Arial" w:cs="Arial" w:eastAsia="Arial" w:hAnsi="Arial"/>
                <w:sz w:val="16"/>
                <w:szCs w:val="16"/>
                <w:b w:val="1"/>
                <w:bCs w:val="1"/>
                <w:color w:val="auto"/>
              </w:rPr>
              <w:t>Asset Write-offs</w:t>
            </w:r>
          </w:p>
        </w:tc>
        <w:tc>
          <w:tcPr>
            <w:tcW w:w="280" w:type="dxa"/>
            <w:vAlign w:val="bottom"/>
          </w:tcPr>
          <w:p>
            <w:pPr>
              <w:spacing w:after="0"/>
              <w:rPr>
                <w:sz w:val="18"/>
                <w:szCs w:val="18"/>
                <w:color w:val="auto"/>
              </w:rPr>
            </w:pPr>
          </w:p>
        </w:tc>
        <w:tc>
          <w:tcPr>
            <w:tcW w:w="1160" w:type="dxa"/>
            <w:vAlign w:val="bottom"/>
            <w:gridSpan w:val="2"/>
          </w:tcPr>
          <w:p>
            <w:pPr>
              <w:ind w:left="180"/>
              <w:spacing w:after="0"/>
              <w:rPr>
                <w:sz w:val="20"/>
                <w:szCs w:val="20"/>
                <w:color w:val="auto"/>
              </w:rPr>
            </w:pPr>
            <w:r>
              <w:rPr>
                <w:rFonts w:ascii="Arial" w:cs="Arial" w:eastAsia="Arial" w:hAnsi="Arial"/>
                <w:sz w:val="16"/>
                <w:szCs w:val="16"/>
                <w:b w:val="1"/>
                <w:bCs w:val="1"/>
                <w:color w:val="auto"/>
              </w:rPr>
              <w:t>Other</w:t>
            </w:r>
          </w:p>
        </w:tc>
        <w:tc>
          <w:tcPr>
            <w:tcW w:w="320" w:type="dxa"/>
            <w:vAlign w:val="bottom"/>
          </w:tcPr>
          <w:p>
            <w:pPr>
              <w:spacing w:after="0"/>
              <w:rPr>
                <w:sz w:val="18"/>
                <w:szCs w:val="18"/>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 July 31, 2012</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8,809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9,074</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6"/>
                <w:szCs w:val="16"/>
                <w:color w:val="auto"/>
              </w:rPr>
              <w:t>Restructuring charge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6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2,502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204</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1,325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4,031</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Non-cash write-offs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37"/>
        </w:trPr>
        <w:tc>
          <w:tcPr>
            <w:tcW w:w="5620" w:type="dxa"/>
            <w:vAlign w:val="bottom"/>
          </w:tcPr>
          <w:p>
            <w:pPr>
              <w:ind w:left="380"/>
              <w:spacing w:after="0"/>
              <w:rPr>
                <w:sz w:val="20"/>
                <w:szCs w:val="20"/>
                <w:color w:val="auto"/>
              </w:rPr>
            </w:pPr>
            <w:r>
              <w:rPr>
                <w:rFonts w:ascii="Arial" w:cs="Arial" w:eastAsia="Arial" w:hAnsi="Arial"/>
                <w:sz w:val="16"/>
                <w:szCs w:val="16"/>
                <w:color w:val="auto"/>
              </w:rPr>
              <w:t>Cash payments</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(6,955)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(7,088)</w:t>
            </w:r>
          </w:p>
        </w:tc>
        <w:tc>
          <w:tcPr>
            <w:tcW w:w="0" w:type="dxa"/>
            <w:vAlign w:val="bottom"/>
          </w:tcPr>
          <w:p>
            <w:pPr>
              <w:spacing w:after="0"/>
              <w:rPr>
                <w:sz w:val="1"/>
                <w:szCs w:val="1"/>
                <w:color w:val="auto"/>
              </w:rPr>
            </w:pPr>
          </w:p>
        </w:tc>
      </w:tr>
      <w:tr>
        <w:trPr>
          <w:trHeight w:val="33"/>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Ending balance, January 31, 2013</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4,356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1,457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5,817</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 J — Derivatives and Hedging Activities</w:t>
      </w:r>
    </w:p>
    <w:p>
      <w:pPr>
        <w:spacing w:after="0" w:line="90"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The Company utilizes forward foreign exchange currency contracts to reduce the exchange rate risk of specific foreign currency denominated transactions. These contracts typically require the exchange of a foreign currency for U.S. dollars at a fixed rate at a future date, with maturities of less than 18 months, which qualify as cash flow hedges or net investment hedges under the accounting guidance for derivative instruments and hedging activities. The primary objective of the Company’s foreign currency exchange risk management is to minimize the impact of currency movements due to transactions in other than the respective subsidiaries’ functional currency and to minimize the impact of currency movements on the Company’s net investment denominated in a currency other than the U.S. Dollar. To achieve this objective, the Company hedges a portion of known exposures using forward foreign exchange currency contracts. As of January 31, 2013 and July 31, 2012, the notional amount of outstanding forward exchange contracts was $130,282 and $61,169, respectively.</w:t>
      </w:r>
    </w:p>
    <w:p>
      <w:pPr>
        <w:spacing w:after="0" w:line="13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Company hedges a portion of known exposure using forward exchange contracts. Main exposures are related to transactions denominated in the British Pound, the Euro, Canadian Dollar, Australian Dollar, Malaysian Ringgit and Singapore Dollar. Generally, these risk management transactions will involve the use of foreign currency derivatives to minimize the impact of currency movements on non-functional currency transactions.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Hedge effectiveness is determined by how closely the changes in fair value of the hedging instrument offset the changes in the fair value or cash flows of the hedged item. Hedge accounting is permitted only if the hedging relationship is expected to be highly effective at the inception of the hedge and on an on-going basis. Gains or losses on the derivative related to hedge ineffectiveness are recognized in current earnings.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Hedges</w:t>
      </w:r>
    </w:p>
    <w:p>
      <w:pPr>
        <w:spacing w:after="0" w:line="175"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The Company has designated a portion of its foreign exchange contracts as cash flow hedges and recorded these contracts at fair value on the condensed consolidated balance sheets. For these instruments, the effective portion of the gain or loss on the derivative is reported as a component of other comprehensive income (“OCI”) and reclassified into earnings in the same period or periods during which the hedged transaction affects earnings. At January 31, 2013, unrealized losses of $207 have been included in OCI. As of January 31, 2012, unrealized gains of $1,010 were included in OCI. These balances are expected to be reclassified from OCI to earnings during the next twelve months when the hedged transactions impact earnings. For the three months ended January 31, 2013 and 2012, the Company reclassified gains of $90 and $142 from OCI into earnings, respectively. For the six months ended January 31, 2013 and 2012, the Company reclassified gains of $557 and losses of $635 from OCI into earnings, respectively. At January 31, 2013 and July 31, 2012, the U.S. dollar equivalent of these outstanding forward foreign exchange contracts totaled $23,389 and $39,458, respectively, including contracts to sell Euros, Canadian Dollars, Australian Dollars, British Pounds and U.S. Dollars.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Investment Hedges</w:t>
      </w:r>
    </w:p>
    <w:p>
      <w:pPr>
        <w:spacing w:after="0" w:line="9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Company has also designated intercompany and third party foreign currency denominated debt instruments as net investment hedges. At January 31, 2013, the Company designated £25,036 and €4,581 of intercompany loans as net investment hedges to hedge portions of its net investment in British and European foreign operations. At July 31, 2012, the Company designated €4,581 of intercompany loans as net investment hedges to hedge portions of its net investment in European foreign operations. On May 13, 2010, the Company completed the private placement of €75.0 million aggregate principal amount of senior unsecured notes to accredited institutional investors. This Euro-denominated debt obligation was designated as a net investment hedge to selectively hedge portions of its net investment in European foreign operations. The Company’s foreign denominated debt obligations are valued under a market approach using publicized spot prices.</w:t>
      </w:r>
    </w:p>
    <w:p>
      <w:pPr>
        <w:spacing w:after="0" w:line="13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Additionally, the Company utilizes forward foreign exchange currency contracts designated as hedge instruments to hedge portions of the Company’s net investments in foreign operations. The net gains or losses attributable to changes in spot exchange rates are recorded in other comprehensive income. Recognition in earnings of amounts previously recorded in cumulative translation is limited to circumstances such as complete or substantially complete liquidation of the net investment in the hedged foreign operation. At January 31, 2013 and July 31, 2012, the U.S dollar equivalent of these outstanding forward foreign exchange contracts totaled $8,050 and $10,650, respectively. As of January 31, 2013 and 2012, the Company recognized in OCI gains of $83 and $3,228, respectively, on its net investment hedges.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Non-Designated Hedges</w:t>
      </w:r>
    </w:p>
    <w:p>
      <w:pPr>
        <w:spacing w:after="0" w:line="9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For the three and six months ended January 31, 2013, the Company recognized gains of $42 and $228, respectively, in “Investment and other income” on the condensed consolidated statements of income related to non-designated hedges. The Company did not recognize a gain or loss on the condensed consolidated statements of income related to non-designated hedges during the three and six months ended January 31,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Fair values of derivative instruments in the condensed consolidated balance sheets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6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Asset Derivatives</w:t>
            </w: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Liability Derivatives</w:t>
            </w: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960" w:type="dxa"/>
            <w:vAlign w:val="bottom"/>
          </w:tcPr>
          <w:p>
            <w:pPr>
              <w:spacing w:after="0"/>
              <w:rPr>
                <w:sz w:val="22"/>
                <w:szCs w:val="22"/>
                <w:color w:val="auto"/>
              </w:rPr>
            </w:pPr>
          </w:p>
        </w:tc>
        <w:tc>
          <w:tcPr>
            <w:tcW w:w="2300" w:type="dxa"/>
            <w:vAlign w:val="bottom"/>
            <w:tcBorders>
              <w:bottom w:val="single" w:sz="8" w:color="auto"/>
            </w:tcBorders>
            <w:gridSpan w:val="4"/>
          </w:tcPr>
          <w:p>
            <w:pPr>
              <w:ind w:left="620"/>
              <w:spacing w:after="0"/>
              <w:rPr>
                <w:sz w:val="20"/>
                <w:szCs w:val="20"/>
                <w:color w:val="auto"/>
              </w:rPr>
            </w:pPr>
            <w:r>
              <w:rPr>
                <w:rFonts w:ascii="Arial" w:cs="Arial" w:eastAsia="Arial" w:hAnsi="Arial"/>
                <w:sz w:val="14"/>
                <w:szCs w:val="14"/>
                <w:b w:val="1"/>
                <w:bCs w:val="1"/>
                <w:color w:val="auto"/>
              </w:rPr>
              <w:t>January 31, 2013</w:t>
            </w:r>
          </w:p>
        </w:tc>
        <w:tc>
          <w:tcPr>
            <w:tcW w:w="120" w:type="dxa"/>
            <w:vAlign w:val="bottom"/>
          </w:tcPr>
          <w:p>
            <w:pPr>
              <w:spacing w:after="0"/>
              <w:rPr>
                <w:sz w:val="22"/>
                <w:szCs w:val="22"/>
                <w:color w:val="auto"/>
              </w:rPr>
            </w:pPr>
          </w:p>
        </w:tc>
        <w:tc>
          <w:tcPr>
            <w:tcW w:w="162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w w:val="97"/>
              </w:rPr>
              <w:t>July 31, 2012</w:t>
            </w:r>
          </w:p>
        </w:tc>
        <w:tc>
          <w:tcPr>
            <w:tcW w:w="7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60" w:type="dxa"/>
            <w:vAlign w:val="bottom"/>
            <w:tcBorders>
              <w:bottom w:val="single" w:sz="8" w:color="auto"/>
            </w:tcBorders>
            <w:gridSpan w:val="4"/>
          </w:tcPr>
          <w:p>
            <w:pPr>
              <w:ind w:left="600"/>
              <w:spacing w:after="0"/>
              <w:rPr>
                <w:sz w:val="20"/>
                <w:szCs w:val="20"/>
                <w:color w:val="auto"/>
              </w:rPr>
            </w:pPr>
            <w:r>
              <w:rPr>
                <w:rFonts w:ascii="Arial" w:cs="Arial" w:eastAsia="Arial" w:hAnsi="Arial"/>
                <w:sz w:val="14"/>
                <w:szCs w:val="14"/>
                <w:b w:val="1"/>
                <w:bCs w:val="1"/>
                <w:color w:val="auto"/>
              </w:rPr>
              <w:t>January 31, 2013</w:t>
            </w:r>
          </w:p>
        </w:tc>
        <w:tc>
          <w:tcPr>
            <w:tcW w:w="100" w:type="dxa"/>
            <w:vAlign w:val="bottom"/>
          </w:tcPr>
          <w:p>
            <w:pPr>
              <w:spacing w:after="0"/>
              <w:rPr>
                <w:sz w:val="22"/>
                <w:szCs w:val="22"/>
                <w:color w:val="auto"/>
              </w:rPr>
            </w:pPr>
          </w:p>
        </w:tc>
        <w:tc>
          <w:tcPr>
            <w:tcW w:w="158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w w:val="97"/>
              </w:rPr>
              <w:t>July 31, 2012</w:t>
            </w:r>
          </w:p>
        </w:tc>
        <w:tc>
          <w:tcPr>
            <w:tcW w:w="6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1960" w:type="dxa"/>
            <w:vAlign w:val="bottom"/>
          </w:tcPr>
          <w:p>
            <w:pPr>
              <w:spacing w:after="0"/>
              <w:rPr>
                <w:sz w:val="13"/>
                <w:szCs w:val="13"/>
                <w:color w:val="auto"/>
              </w:rPr>
            </w:pPr>
          </w:p>
        </w:tc>
        <w:tc>
          <w:tcPr>
            <w:tcW w:w="138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89"/>
              </w:rPr>
              <w:t>Balance</w:t>
            </w:r>
          </w:p>
        </w:tc>
        <w:tc>
          <w:tcPr>
            <w:tcW w:w="180" w:type="dxa"/>
            <w:vAlign w:val="bottom"/>
          </w:tcPr>
          <w:p>
            <w:pPr>
              <w:spacing w:after="0"/>
              <w:rPr>
                <w:sz w:val="13"/>
                <w:szCs w:val="13"/>
                <w:color w:val="auto"/>
              </w:rPr>
            </w:pPr>
          </w:p>
        </w:tc>
        <w:tc>
          <w:tcPr>
            <w:tcW w:w="74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3"/>
                <w:szCs w:val="13"/>
                <w:color w:val="auto"/>
              </w:rPr>
            </w:pPr>
          </w:p>
        </w:tc>
        <w:tc>
          <w:tcPr>
            <w:tcW w:w="13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3"/>
              </w:rPr>
              <w:t>Balance</w:t>
            </w:r>
          </w:p>
        </w:tc>
        <w:tc>
          <w:tcPr>
            <w:tcW w:w="240" w:type="dxa"/>
            <w:vAlign w:val="bottom"/>
          </w:tcPr>
          <w:p>
            <w:pPr>
              <w:spacing w:after="0"/>
              <w:rPr>
                <w:sz w:val="13"/>
                <w:szCs w:val="13"/>
                <w:color w:val="auto"/>
              </w:rPr>
            </w:pPr>
          </w:p>
        </w:tc>
        <w:tc>
          <w:tcPr>
            <w:tcW w:w="70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3"/>
                <w:szCs w:val="13"/>
                <w:color w:val="auto"/>
              </w:rPr>
            </w:pPr>
          </w:p>
        </w:tc>
        <w:tc>
          <w:tcPr>
            <w:tcW w:w="136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89"/>
              </w:rPr>
              <w:t>Balance</w:t>
            </w:r>
          </w:p>
        </w:tc>
        <w:tc>
          <w:tcPr>
            <w:tcW w:w="180" w:type="dxa"/>
            <w:vAlign w:val="bottom"/>
          </w:tcPr>
          <w:p>
            <w:pPr>
              <w:spacing w:after="0"/>
              <w:rPr>
                <w:sz w:val="13"/>
                <w:szCs w:val="13"/>
                <w:color w:val="auto"/>
              </w:rPr>
            </w:pPr>
          </w:p>
        </w:tc>
        <w:tc>
          <w:tcPr>
            <w:tcW w:w="72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3"/>
                <w:szCs w:val="13"/>
                <w:color w:val="auto"/>
              </w:rPr>
            </w:pPr>
          </w:p>
        </w:tc>
        <w:tc>
          <w:tcPr>
            <w:tcW w:w="13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89"/>
              </w:rPr>
              <w:t>Balance</w:t>
            </w:r>
          </w:p>
        </w:tc>
        <w:tc>
          <w:tcPr>
            <w:tcW w:w="240" w:type="dxa"/>
            <w:vAlign w:val="bottom"/>
          </w:tcPr>
          <w:p>
            <w:pPr>
              <w:spacing w:after="0"/>
              <w:rPr>
                <w:sz w:val="13"/>
                <w:szCs w:val="13"/>
                <w:color w:val="auto"/>
              </w:rPr>
            </w:pPr>
          </w:p>
        </w:tc>
        <w:tc>
          <w:tcPr>
            <w:tcW w:w="66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13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Sheet</w:t>
            </w:r>
          </w:p>
        </w:tc>
        <w:tc>
          <w:tcPr>
            <w:tcW w:w="1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Sheet</w:t>
            </w:r>
          </w:p>
        </w:tc>
        <w:tc>
          <w:tcPr>
            <w:tcW w:w="2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Sheet</w:t>
            </w: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Sheet</w:t>
            </w:r>
          </w:p>
        </w:tc>
        <w:tc>
          <w:tcPr>
            <w:tcW w:w="2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960" w:type="dxa"/>
            <w:vAlign w:val="bottom"/>
          </w:tcPr>
          <w:p>
            <w:pPr>
              <w:spacing w:after="0"/>
              <w:rPr>
                <w:sz w:val="16"/>
                <w:szCs w:val="16"/>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Location</w:t>
            </w:r>
          </w:p>
        </w:tc>
        <w:tc>
          <w:tcPr>
            <w:tcW w:w="180" w:type="dxa"/>
            <w:vAlign w:val="bottom"/>
          </w:tcPr>
          <w:p>
            <w:pPr>
              <w:spacing w:after="0"/>
              <w:rPr>
                <w:sz w:val="16"/>
                <w:szCs w:val="16"/>
                <w:color w:val="auto"/>
              </w:rPr>
            </w:pPr>
          </w:p>
        </w:tc>
        <w:tc>
          <w:tcPr>
            <w:tcW w:w="740" w:type="dxa"/>
            <w:vAlign w:val="bottom"/>
          </w:tcPr>
          <w:p>
            <w:pPr>
              <w:jc w:val="right"/>
              <w:ind w:right="228"/>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Location</w:t>
            </w:r>
          </w:p>
        </w:tc>
        <w:tc>
          <w:tcPr>
            <w:tcW w:w="240" w:type="dxa"/>
            <w:vAlign w:val="bottom"/>
          </w:tcPr>
          <w:p>
            <w:pPr>
              <w:spacing w:after="0"/>
              <w:rPr>
                <w:sz w:val="16"/>
                <w:szCs w:val="16"/>
                <w:color w:val="auto"/>
              </w:rPr>
            </w:pPr>
          </w:p>
        </w:tc>
        <w:tc>
          <w:tcPr>
            <w:tcW w:w="700" w:type="dxa"/>
            <w:vAlign w:val="bottom"/>
          </w:tcPr>
          <w:p>
            <w:pPr>
              <w:jc w:val="right"/>
              <w:ind w:right="228"/>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Location</w:t>
            </w:r>
          </w:p>
        </w:tc>
        <w:tc>
          <w:tcPr>
            <w:tcW w:w="180" w:type="dxa"/>
            <w:vAlign w:val="bottom"/>
          </w:tcPr>
          <w:p>
            <w:pPr>
              <w:spacing w:after="0"/>
              <w:rPr>
                <w:sz w:val="16"/>
                <w:szCs w:val="16"/>
                <w:color w:val="auto"/>
              </w:rPr>
            </w:pPr>
          </w:p>
        </w:tc>
        <w:tc>
          <w:tcPr>
            <w:tcW w:w="720" w:type="dxa"/>
            <w:vAlign w:val="bottom"/>
          </w:tcPr>
          <w:p>
            <w:pPr>
              <w:jc w:val="right"/>
              <w:ind w:right="208"/>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Location</w:t>
            </w:r>
          </w:p>
        </w:tc>
        <w:tc>
          <w:tcPr>
            <w:tcW w:w="240" w:type="dxa"/>
            <w:vAlign w:val="bottom"/>
          </w:tcPr>
          <w:p>
            <w:pPr>
              <w:spacing w:after="0"/>
              <w:rPr>
                <w:sz w:val="16"/>
                <w:szCs w:val="16"/>
                <w:color w:val="auto"/>
              </w:rPr>
            </w:pPr>
          </w:p>
        </w:tc>
        <w:tc>
          <w:tcPr>
            <w:tcW w:w="660" w:type="dxa"/>
            <w:vAlign w:val="bottom"/>
          </w:tcPr>
          <w:p>
            <w:pPr>
              <w:jc w:val="right"/>
              <w:ind w:right="208"/>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39"/>
        </w:trPr>
        <w:tc>
          <w:tcPr>
            <w:tcW w:w="1960" w:type="dxa"/>
            <w:vAlign w:val="bottom"/>
            <w:tcBorders>
              <w:top w:val="single" w:sz="8" w:color="CCEEFF"/>
            </w:tcBorders>
            <w:shd w:val="clear" w:color="auto" w:fill="CCEEFF"/>
          </w:tcPr>
          <w:p>
            <w:pPr>
              <w:ind w:left="40"/>
              <w:spacing w:after="0" w:line="139" w:lineRule="exact"/>
              <w:rPr>
                <w:sz w:val="20"/>
                <w:szCs w:val="20"/>
                <w:color w:val="auto"/>
              </w:rPr>
            </w:pPr>
            <w:r>
              <w:rPr>
                <w:rFonts w:ascii="Arial" w:cs="Arial" w:eastAsia="Arial" w:hAnsi="Arial"/>
                <w:sz w:val="14"/>
                <w:szCs w:val="14"/>
                <w:b w:val="1"/>
                <w:bCs w:val="1"/>
                <w:color w:val="auto"/>
              </w:rPr>
              <w:t>Derivatives designated as</w:t>
            </w:r>
          </w:p>
        </w:tc>
        <w:tc>
          <w:tcPr>
            <w:tcW w:w="12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hedging instruments</w:t>
            </w: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1960" w:type="dxa"/>
            <w:vAlign w:val="bottom"/>
          </w:tcPr>
          <w:p>
            <w:pPr>
              <w:ind w:left="40"/>
              <w:spacing w:after="0"/>
              <w:rPr>
                <w:sz w:val="20"/>
                <w:szCs w:val="20"/>
                <w:color w:val="auto"/>
              </w:rPr>
            </w:pPr>
            <w:r>
              <w:rPr>
                <w:rFonts w:ascii="Arial" w:cs="Arial" w:eastAsia="Arial" w:hAnsi="Arial"/>
                <w:sz w:val="14"/>
                <w:szCs w:val="14"/>
                <w:color w:val="auto"/>
              </w:rPr>
              <w:t>Cash flow hedges</w:t>
            </w: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19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960" w:type="dxa"/>
            <w:vAlign w:val="bottom"/>
            <w:shd w:val="clear" w:color="auto" w:fill="CCEEFF"/>
          </w:tcPr>
          <w:p>
            <w:pPr>
              <w:ind w:left="380"/>
              <w:spacing w:after="0" w:line="157" w:lineRule="exact"/>
              <w:rPr>
                <w:sz w:val="20"/>
                <w:szCs w:val="20"/>
                <w:color w:val="auto"/>
              </w:rPr>
            </w:pPr>
            <w:r>
              <w:rPr>
                <w:rFonts w:ascii="Arial" w:cs="Arial" w:eastAsia="Arial" w:hAnsi="Arial"/>
                <w:sz w:val="14"/>
                <w:szCs w:val="14"/>
                <w:color w:val="auto"/>
              </w:rPr>
              <w:t>Foreign exchange</w:t>
            </w:r>
          </w:p>
        </w:tc>
        <w:tc>
          <w:tcPr>
            <w:tcW w:w="138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Prepaid expenses</w:t>
            </w: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ind w:left="40"/>
              <w:spacing w:after="0" w:line="157" w:lineRule="exact"/>
              <w:rPr>
                <w:sz w:val="20"/>
                <w:szCs w:val="20"/>
                <w:color w:val="auto"/>
              </w:rPr>
            </w:pPr>
            <w:r>
              <w:rPr>
                <w:rFonts w:ascii="Arial" w:cs="Arial" w:eastAsia="Arial" w:hAnsi="Arial"/>
                <w:sz w:val="14"/>
                <w:szCs w:val="14"/>
                <w:color w:val="auto"/>
              </w:rPr>
              <w:t>Prepaid expenses</w:t>
            </w: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contracts</w:t>
            </w:r>
          </w:p>
        </w:tc>
        <w:tc>
          <w:tcPr>
            <w:tcW w:w="13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and other current</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and other current</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Other current</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Other current</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96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174</w:t>
            </w: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1,156</w:t>
            </w:r>
          </w:p>
        </w:tc>
        <w:tc>
          <w:tcPr>
            <w:tcW w:w="1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365</w:t>
            </w: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210</w:t>
            </w:r>
          </w:p>
        </w:tc>
        <w:tc>
          <w:tcPr>
            <w:tcW w:w="0" w:type="dxa"/>
            <w:vAlign w:val="bottom"/>
          </w:tcPr>
          <w:p>
            <w:pPr>
              <w:spacing w:after="0"/>
              <w:rPr>
                <w:sz w:val="1"/>
                <w:szCs w:val="1"/>
                <w:color w:val="auto"/>
              </w:rPr>
            </w:pPr>
          </w:p>
        </w:tc>
      </w:tr>
      <w:tr>
        <w:trPr>
          <w:trHeight w:val="171"/>
        </w:trPr>
        <w:tc>
          <w:tcPr>
            <w:tcW w:w="1960" w:type="dxa"/>
            <w:vAlign w:val="bottom"/>
          </w:tcPr>
          <w:p>
            <w:pPr>
              <w:ind w:left="40"/>
              <w:spacing w:after="0"/>
              <w:rPr>
                <w:sz w:val="20"/>
                <w:szCs w:val="20"/>
                <w:color w:val="auto"/>
              </w:rPr>
            </w:pPr>
            <w:r>
              <w:rPr>
                <w:rFonts w:ascii="Arial" w:cs="Arial" w:eastAsia="Arial" w:hAnsi="Arial"/>
                <w:sz w:val="14"/>
                <w:szCs w:val="14"/>
                <w:color w:val="auto"/>
              </w:rPr>
              <w:t>Net investment hedges</w:t>
            </w: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19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1960" w:type="dxa"/>
            <w:vAlign w:val="bottom"/>
            <w:shd w:val="clear" w:color="auto" w:fill="CCEEFF"/>
          </w:tcPr>
          <w:p>
            <w:pPr>
              <w:ind w:left="380"/>
              <w:spacing w:after="0" w:line="157" w:lineRule="exact"/>
              <w:rPr>
                <w:sz w:val="20"/>
                <w:szCs w:val="20"/>
                <w:color w:val="auto"/>
              </w:rPr>
            </w:pPr>
            <w:r>
              <w:rPr>
                <w:rFonts w:ascii="Arial" w:cs="Arial" w:eastAsia="Arial" w:hAnsi="Arial"/>
                <w:sz w:val="14"/>
                <w:szCs w:val="14"/>
                <w:color w:val="auto"/>
              </w:rPr>
              <w:t>Foreign exchange</w:t>
            </w:r>
          </w:p>
        </w:tc>
        <w:tc>
          <w:tcPr>
            <w:tcW w:w="138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Prepaid expenses</w:t>
            </w: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ind w:left="40"/>
              <w:spacing w:after="0" w:line="157" w:lineRule="exact"/>
              <w:rPr>
                <w:sz w:val="20"/>
                <w:szCs w:val="20"/>
                <w:color w:val="auto"/>
              </w:rPr>
            </w:pPr>
            <w:r>
              <w:rPr>
                <w:rFonts w:ascii="Arial" w:cs="Arial" w:eastAsia="Arial" w:hAnsi="Arial"/>
                <w:sz w:val="14"/>
                <w:szCs w:val="14"/>
                <w:color w:val="auto"/>
              </w:rPr>
              <w:t>Prepaid expenses</w:t>
            </w: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contracts</w:t>
            </w:r>
          </w:p>
        </w:tc>
        <w:tc>
          <w:tcPr>
            <w:tcW w:w="13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and other current</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and other current</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Other current</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Other current</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96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62</w:t>
            </w: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37"/>
        </w:trPr>
        <w:tc>
          <w:tcPr>
            <w:tcW w:w="1960" w:type="dxa"/>
            <w:vAlign w:val="bottom"/>
          </w:tcPr>
          <w:p>
            <w:pPr>
              <w:ind w:left="380"/>
              <w:spacing w:after="0" w:line="137" w:lineRule="exact"/>
              <w:rPr>
                <w:sz w:val="20"/>
                <w:szCs w:val="20"/>
                <w:color w:val="auto"/>
              </w:rPr>
            </w:pPr>
            <w:r>
              <w:rPr>
                <w:rFonts w:ascii="Arial" w:cs="Arial" w:eastAsia="Arial" w:hAnsi="Arial"/>
                <w:sz w:val="14"/>
                <w:szCs w:val="14"/>
                <w:color w:val="auto"/>
              </w:rPr>
              <w:t>Foreign currency</w:t>
            </w:r>
          </w:p>
        </w:tc>
        <w:tc>
          <w:tcPr>
            <w:tcW w:w="1380" w:type="dxa"/>
            <w:vAlign w:val="bottom"/>
            <w:gridSpan w:val="2"/>
          </w:tcPr>
          <w:p>
            <w:pPr>
              <w:ind w:left="20"/>
              <w:spacing w:after="0" w:line="137" w:lineRule="exact"/>
              <w:rPr>
                <w:sz w:val="20"/>
                <w:szCs w:val="20"/>
                <w:color w:val="auto"/>
              </w:rPr>
            </w:pPr>
            <w:r>
              <w:rPr>
                <w:rFonts w:ascii="Arial" w:cs="Arial" w:eastAsia="Arial" w:hAnsi="Arial"/>
                <w:sz w:val="14"/>
                <w:szCs w:val="14"/>
                <w:color w:val="auto"/>
              </w:rPr>
              <w:t>Prepaid expenses</w:t>
            </w: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2"/>
          </w:tcPr>
          <w:p>
            <w:pPr>
              <w:ind w:left="40"/>
              <w:spacing w:after="0" w:line="137" w:lineRule="exact"/>
              <w:rPr>
                <w:sz w:val="20"/>
                <w:szCs w:val="20"/>
                <w:color w:val="auto"/>
              </w:rPr>
            </w:pPr>
            <w:r>
              <w:rPr>
                <w:rFonts w:ascii="Arial" w:cs="Arial" w:eastAsia="Arial" w:hAnsi="Arial"/>
                <w:sz w:val="14"/>
                <w:szCs w:val="14"/>
                <w:color w:val="auto"/>
              </w:rPr>
              <w:t>Prepaid expenses</w:t>
            </w: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tcPr>
          <w:p>
            <w:pPr>
              <w:ind w:left="20"/>
              <w:spacing w:after="0" w:line="137" w:lineRule="exact"/>
              <w:rPr>
                <w:sz w:val="20"/>
                <w:szCs w:val="20"/>
                <w:color w:val="auto"/>
              </w:rPr>
            </w:pPr>
            <w:r>
              <w:rPr>
                <w:rFonts w:ascii="Arial" w:cs="Arial" w:eastAsia="Arial" w:hAnsi="Arial"/>
                <w:sz w:val="14"/>
                <w:szCs w:val="14"/>
                <w:color w:val="auto"/>
              </w:rPr>
              <w:t>Long term</w:t>
            </w: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gridSpan w:val="2"/>
          </w:tcPr>
          <w:p>
            <w:pPr>
              <w:ind w:left="20"/>
              <w:spacing w:after="0" w:line="137" w:lineRule="exact"/>
              <w:rPr>
                <w:sz w:val="20"/>
                <w:szCs w:val="20"/>
                <w:color w:val="auto"/>
              </w:rPr>
            </w:pPr>
            <w:r>
              <w:rPr>
                <w:rFonts w:ascii="Arial" w:cs="Arial" w:eastAsia="Arial" w:hAnsi="Arial"/>
                <w:sz w:val="14"/>
                <w:szCs w:val="14"/>
                <w:color w:val="auto"/>
              </w:rPr>
              <w:t>Long term</w:t>
            </w: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60" w:type="dxa"/>
            <w:vAlign w:val="bottom"/>
          </w:tcPr>
          <w:p>
            <w:pPr>
              <w:ind w:left="380"/>
              <w:spacing w:after="0" w:line="149" w:lineRule="exact"/>
              <w:rPr>
                <w:sz w:val="20"/>
                <w:szCs w:val="20"/>
                <w:color w:val="auto"/>
              </w:rPr>
            </w:pPr>
            <w:r>
              <w:rPr>
                <w:rFonts w:ascii="Arial" w:cs="Arial" w:eastAsia="Arial" w:hAnsi="Arial"/>
                <w:sz w:val="14"/>
                <w:szCs w:val="14"/>
                <w:color w:val="auto"/>
              </w:rPr>
              <w:t>denominated debt</w:t>
            </w:r>
          </w:p>
        </w:tc>
        <w:tc>
          <w:tcPr>
            <w:tcW w:w="13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and other current</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and other current</w:t>
            </w: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obligations, less</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obligations, less</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960" w:type="dxa"/>
            <w:vAlign w:val="bottom"/>
            <w:tcBorders>
              <w:bottom w:val="single" w:sz="8" w:color="CCEEFF"/>
            </w:tcBorders>
          </w:tcPr>
          <w:p>
            <w:pPr>
              <w:spacing w:after="0"/>
              <w:rPr>
                <w:sz w:val="16"/>
                <w:szCs w:val="16"/>
                <w:color w:val="auto"/>
              </w:rPr>
            </w:pPr>
          </w:p>
        </w:tc>
        <w:tc>
          <w:tcPr>
            <w:tcW w:w="13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assets</w:t>
            </w: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3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assets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current maturities</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108,064</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current maturities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99,081</w:t>
            </w:r>
          </w:p>
        </w:tc>
        <w:tc>
          <w:tcPr>
            <w:tcW w:w="0" w:type="dxa"/>
            <w:vAlign w:val="bottom"/>
          </w:tcPr>
          <w:p>
            <w:pPr>
              <w:spacing w:after="0"/>
              <w:rPr>
                <w:sz w:val="1"/>
                <w:szCs w:val="1"/>
                <w:color w:val="auto"/>
              </w:rPr>
            </w:pPr>
          </w:p>
        </w:tc>
      </w:tr>
      <w:tr>
        <w:trPr>
          <w:trHeight w:val="143"/>
        </w:trPr>
        <w:tc>
          <w:tcPr>
            <w:tcW w:w="196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w w:val="98"/>
              </w:rPr>
              <w:t>Total derivatives designated as</w:t>
            </w:r>
          </w:p>
        </w:tc>
        <w:tc>
          <w:tcPr>
            <w:tcW w:w="1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236</w:t>
            </w: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1,156</w:t>
            </w: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108,429</w:t>
            </w: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99,362</w:t>
            </w:r>
          </w:p>
        </w:tc>
        <w:tc>
          <w:tcPr>
            <w:tcW w:w="0" w:type="dxa"/>
            <w:vAlign w:val="bottom"/>
          </w:tcPr>
          <w:p>
            <w:pPr>
              <w:spacing w:after="0"/>
              <w:rPr>
                <w:sz w:val="1"/>
                <w:szCs w:val="1"/>
                <w:color w:val="auto"/>
              </w:rPr>
            </w:pPr>
          </w:p>
        </w:tc>
      </w:tr>
      <w:tr>
        <w:trPr>
          <w:trHeight w:val="181"/>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hedging instruments</w:t>
            </w:r>
          </w:p>
        </w:tc>
        <w:tc>
          <w:tcPr>
            <w:tcW w:w="12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7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vMerge w:val="continue"/>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7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vMerge w:val="continue"/>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60" w:type="dxa"/>
            <w:vAlign w:val="bottom"/>
            <w:vMerge w:val="restart"/>
          </w:tcPr>
          <w:p>
            <w:pPr>
              <w:ind w:left="40"/>
              <w:spacing w:after="0" w:line="147" w:lineRule="exact"/>
              <w:rPr>
                <w:sz w:val="20"/>
                <w:szCs w:val="20"/>
                <w:color w:val="auto"/>
              </w:rPr>
            </w:pPr>
            <w:r>
              <w:rPr>
                <w:rFonts w:ascii="Arial" w:cs="Arial" w:eastAsia="Arial" w:hAnsi="Arial"/>
                <w:sz w:val="14"/>
                <w:szCs w:val="14"/>
                <w:b w:val="1"/>
                <w:bCs w:val="1"/>
                <w:color w:val="auto"/>
                <w:w w:val="96"/>
              </w:rPr>
              <w:t>Derivatives not designated as</w:t>
            </w: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1960" w:type="dxa"/>
            <w:vAlign w:val="bottom"/>
            <w:vMerge w:val="continue"/>
          </w:tcPr>
          <w:p>
            <w:pPr>
              <w:spacing w:after="0"/>
              <w:rPr>
                <w:sz w:val="9"/>
                <w:szCs w:val="9"/>
                <w:color w:val="auto"/>
              </w:rPr>
            </w:pPr>
          </w:p>
        </w:tc>
        <w:tc>
          <w:tcPr>
            <w:tcW w:w="1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2"/>
        </w:trPr>
        <w:tc>
          <w:tcPr>
            <w:tcW w:w="1960" w:type="dxa"/>
            <w:vAlign w:val="bottom"/>
          </w:tcPr>
          <w:p>
            <w:pPr>
              <w:ind w:left="40"/>
              <w:spacing w:after="0"/>
              <w:rPr>
                <w:sz w:val="20"/>
                <w:szCs w:val="20"/>
                <w:color w:val="auto"/>
              </w:rPr>
            </w:pPr>
            <w:r>
              <w:rPr>
                <w:rFonts w:ascii="Arial" w:cs="Arial" w:eastAsia="Arial" w:hAnsi="Arial"/>
                <w:sz w:val="14"/>
                <w:szCs w:val="14"/>
                <w:b w:val="1"/>
                <w:bCs w:val="1"/>
                <w:color w:val="auto"/>
              </w:rPr>
              <w:t>hedging instruments</w:t>
            </w: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9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Foreign exchange</w:t>
            </w: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Prepaid expenses</w:t>
            </w: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Prepaid expenses</w:t>
            </w: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contracts</w:t>
            </w:r>
          </w:p>
        </w:tc>
        <w:tc>
          <w:tcPr>
            <w:tcW w:w="13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and other current</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and other current</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Other current</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Other current</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96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581</w:t>
            </w: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78</w:t>
            </w:r>
          </w:p>
        </w:tc>
        <w:tc>
          <w:tcPr>
            <w:tcW w:w="1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219</w:t>
            </w: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7"/>
        </w:trPr>
        <w:tc>
          <w:tcPr>
            <w:tcW w:w="1960" w:type="dxa"/>
            <w:vAlign w:val="bottom"/>
          </w:tcPr>
          <w:p>
            <w:pPr>
              <w:ind w:left="40"/>
              <w:spacing w:after="0" w:line="137" w:lineRule="exact"/>
              <w:rPr>
                <w:sz w:val="20"/>
                <w:szCs w:val="20"/>
                <w:color w:val="auto"/>
              </w:rPr>
            </w:pPr>
            <w:r>
              <w:rPr>
                <w:rFonts w:ascii="Arial" w:cs="Arial" w:eastAsia="Arial" w:hAnsi="Arial"/>
                <w:sz w:val="14"/>
                <w:szCs w:val="14"/>
                <w:color w:val="auto"/>
                <w:w w:val="96"/>
              </w:rPr>
              <w:t>Total derivatives not designated</w:t>
            </w:r>
          </w:p>
        </w:tc>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vMerge w:val="restart"/>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vMerge w:val="restart"/>
          </w:tcPr>
          <w:p>
            <w:pPr>
              <w:jc w:val="right"/>
              <w:ind w:right="48"/>
              <w:spacing w:after="0"/>
              <w:rPr>
                <w:sz w:val="20"/>
                <w:szCs w:val="20"/>
                <w:color w:val="auto"/>
              </w:rPr>
            </w:pPr>
            <w:r>
              <w:rPr>
                <w:rFonts w:ascii="Arial" w:cs="Arial" w:eastAsia="Arial" w:hAnsi="Arial"/>
                <w:sz w:val="14"/>
                <w:szCs w:val="14"/>
                <w:color w:val="auto"/>
              </w:rPr>
              <w:t>581</w:t>
            </w: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color w:val="auto"/>
              </w:rPr>
              <w:t>219</w:t>
            </w: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1960" w:type="dxa"/>
            <w:vAlign w:val="bottom"/>
          </w:tcPr>
          <w:p>
            <w:pPr>
              <w:ind w:left="40"/>
              <w:spacing w:after="0"/>
              <w:rPr>
                <w:sz w:val="20"/>
                <w:szCs w:val="20"/>
                <w:color w:val="auto"/>
              </w:rPr>
            </w:pPr>
            <w:r>
              <w:rPr>
                <w:rFonts w:ascii="Arial" w:cs="Arial" w:eastAsia="Arial" w:hAnsi="Arial"/>
                <w:sz w:val="14"/>
                <w:szCs w:val="14"/>
                <w:color w:val="auto"/>
              </w:rPr>
              <w:t>as hedging instruments</w:t>
            </w: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auto"/>
            </w:tcBorders>
            <w:vMerge w:val="continue"/>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vMerge w:val="continue"/>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vMerge w:val="continue"/>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vMerge w:val="continue"/>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 K — Acquisitions and Divestitures</w:t>
      </w:r>
    </w:p>
    <w:p>
      <w:pPr>
        <w:spacing w:after="0" w:line="9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In August 2012, the Company sold all of its assets of Precision Converting, LLC, doing business as Brady Medical, in Mesquite, Texas. Brady Medical specialized in manufacturing and converting die-cut products for the medical and diagnostic industry. Brady Medical had operations in the Company’s Americas segment. The Company received proceeds of $3,378 for this business, of which $3,018 was in cash and $360 was in non-cash consideration. The non-cash consideration consisted of an escrow account to be released upon the terms of the agreement, which is classified within “Other Long Term Assets” on the Condensed Consolidated Balance Sheets. The transaction resulted in a pre-tax loss of ($3,675), which was accounted for during the three month period ended October 31, 2012.</w:t>
      </w:r>
    </w:p>
    <w:p>
      <w:pPr>
        <w:spacing w:after="0" w:line="139"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In October 2012, the Company sold certain assets of its Varitronics business, an education technology solutions business. Varitronics had operations in the Company’s Americas segment. The Company received proceeds of $8,410 for this business, of which $7,160 was in cash and $1,250 was in the form of a promissory note. The promissory note is classified within “Other Long Term Assets” on the Condensed Consolidated Balance Sheets. The transaction resulted in a pre-tax gain of $237, which was accounted for during the three month period ended October 31, 2012.</w:t>
      </w:r>
    </w:p>
    <w:p>
      <w:pPr>
        <w:spacing w:after="0" w:line="117"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Brady Medical and Varitronics divestitures are part of the Company’s continued long-term strategy to focus resources on businesses with a clear path to sustainable organic growth and profitability.</w:t>
      </w:r>
    </w:p>
    <w:p>
      <w:pPr>
        <w:spacing w:after="0" w:line="116"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On December 28, 2012, the Company acquired all of the outstanding shares of Precision Dynamics Corporation ("PDC"), a manufacturer of identification products primarily for the healthcare sector headquartered in Valencia, California. PDC is being reported within the Company's Americas segment. Net sales and the net loss attributable to PDC from the acquisition date through January 31, 2013 were approximately $16,068 and ($1,239), respectively. The net loss attributable to PDC is primarily due to $1,530 of nonrecurring expense related to the fair value adjustment to acquisition-date inventory. Initial financing for this acquisition consisted of $220,000 from the Company's revolving loan agreement with a group of six banks, and the balance from cash on hand. Prior to January 31, 2013, the Company repaid $112,472 of the borrowing on the credit facility with cash on hand. The Company incurred $3,600 in acquisition-related expenses during the six months ended January 31, 2013.</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acquired PDC to create an anchor position in the healthcare sector, consistent with the Company's mission to identify and protect premises, products and people. PDC's large customer base, strong channels to market, and broad product offering provide a strong foundation to build upon PDC's market position.</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details a preliminary allocation of the PDC 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585724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57240" cy="171450"/>
                    </a:xfrm>
                    <a:prstGeom prst="rect">
                      <a:avLst/>
                    </a:prstGeom>
                    <a:noFill/>
                  </pic:spPr>
                </pic:pic>
              </a:graphicData>
            </a:graphic>
          </wp:anchor>
        </w:drawing>
      </w:r>
    </w:p>
    <w:p>
      <w:pPr>
        <w:spacing w:after="0" w:line="331" w:lineRule="exact"/>
        <w:rPr>
          <w:sz w:val="20"/>
          <w:szCs w:val="20"/>
          <w:color w:val="auto"/>
        </w:rPr>
      </w:pPr>
    </w:p>
    <w:p>
      <w:pPr>
        <w:ind w:left="40"/>
        <w:spacing w:after="0"/>
        <w:rPr>
          <w:sz w:val="20"/>
          <w:szCs w:val="20"/>
          <w:color w:val="auto"/>
        </w:rPr>
      </w:pPr>
      <w:r>
        <w:rPr>
          <w:rFonts w:ascii="Arial" w:cs="Arial" w:eastAsia="Arial" w:hAnsi="Arial"/>
          <w:sz w:val="16"/>
          <w:szCs w:val="16"/>
          <w:color w:val="auto"/>
        </w:rPr>
        <w:t>Fair values: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400" w:type="dxa"/>
            <w:vAlign w:val="bottom"/>
          </w:tcPr>
          <w:p>
            <w:pPr>
              <w:ind w:left="300"/>
              <w:spacing w:after="0"/>
              <w:rPr>
                <w:sz w:val="20"/>
                <w:szCs w:val="20"/>
                <w:color w:val="auto"/>
              </w:rPr>
            </w:pPr>
            <w:r>
              <w:rPr>
                <w:rFonts w:ascii="Arial" w:cs="Arial" w:eastAsia="Arial" w:hAnsi="Arial"/>
                <w:sz w:val="16"/>
                <w:szCs w:val="16"/>
                <w:color w:val="auto"/>
              </w:rPr>
              <w:t>Cash and cash equivalents</w:t>
            </w:r>
          </w:p>
        </w:tc>
        <w:tc>
          <w:tcPr>
            <w:tcW w:w="660" w:type="dxa"/>
            <w:vAlign w:val="bottom"/>
          </w:tcPr>
          <w:p>
            <w:pPr>
              <w:jc w:val="right"/>
              <w:ind w:right="4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12,904</w:t>
            </w:r>
          </w:p>
        </w:tc>
      </w:tr>
      <w:tr>
        <w:trPr>
          <w:trHeight w:val="33"/>
        </w:trPr>
        <w:tc>
          <w:tcPr>
            <w:tcW w:w="7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Accounts receivable — net</w:t>
            </w:r>
          </w:p>
        </w:tc>
        <w:tc>
          <w:tcPr>
            <w:tcW w:w="6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21,178</w:t>
            </w:r>
          </w:p>
        </w:tc>
      </w:tr>
      <w:tr>
        <w:trPr>
          <w:trHeight w:val="237"/>
        </w:trPr>
        <w:tc>
          <w:tcPr>
            <w:tcW w:w="7400" w:type="dxa"/>
            <w:vAlign w:val="bottom"/>
          </w:tcPr>
          <w:p>
            <w:pPr>
              <w:ind w:left="300"/>
              <w:spacing w:after="0"/>
              <w:rPr>
                <w:sz w:val="20"/>
                <w:szCs w:val="20"/>
                <w:color w:val="auto"/>
              </w:rPr>
            </w:pPr>
            <w:r>
              <w:rPr>
                <w:rFonts w:ascii="Arial" w:cs="Arial" w:eastAsia="Arial" w:hAnsi="Arial"/>
                <w:sz w:val="16"/>
                <w:szCs w:val="16"/>
                <w:color w:val="auto"/>
              </w:rPr>
              <w:t>Total inventories</w:t>
            </w:r>
          </w:p>
        </w:tc>
        <w:tc>
          <w:tcPr>
            <w:tcW w:w="6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16,788</w:t>
            </w:r>
          </w:p>
        </w:tc>
      </w:tr>
      <w:tr>
        <w:trPr>
          <w:trHeight w:val="33"/>
        </w:trPr>
        <w:tc>
          <w:tcPr>
            <w:tcW w:w="7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Prepaid expenses and other current assets</w:t>
            </w:r>
          </w:p>
        </w:tc>
        <w:tc>
          <w:tcPr>
            <w:tcW w:w="6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3,915</w:t>
            </w:r>
          </w:p>
        </w:tc>
      </w:tr>
      <w:tr>
        <w:trPr>
          <w:trHeight w:val="237"/>
        </w:trPr>
        <w:tc>
          <w:tcPr>
            <w:tcW w:w="7400" w:type="dxa"/>
            <w:vAlign w:val="bottom"/>
          </w:tcPr>
          <w:p>
            <w:pPr>
              <w:ind w:left="300"/>
              <w:spacing w:after="0"/>
              <w:rPr>
                <w:sz w:val="20"/>
                <w:szCs w:val="20"/>
                <w:color w:val="auto"/>
              </w:rPr>
            </w:pPr>
            <w:r>
              <w:rPr>
                <w:rFonts w:ascii="Arial" w:cs="Arial" w:eastAsia="Arial" w:hAnsi="Arial"/>
                <w:sz w:val="16"/>
                <w:szCs w:val="16"/>
                <w:color w:val="auto"/>
              </w:rPr>
              <w:t>Goodwill</w:t>
            </w:r>
          </w:p>
        </w:tc>
        <w:tc>
          <w:tcPr>
            <w:tcW w:w="6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189,942</w:t>
            </w:r>
          </w:p>
        </w:tc>
      </w:tr>
      <w:tr>
        <w:trPr>
          <w:trHeight w:val="33"/>
        </w:trPr>
        <w:tc>
          <w:tcPr>
            <w:tcW w:w="7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Other intangible assets</w:t>
            </w:r>
          </w:p>
        </w:tc>
        <w:tc>
          <w:tcPr>
            <w:tcW w:w="6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108,300</w:t>
            </w:r>
          </w:p>
        </w:tc>
      </w:tr>
      <w:tr>
        <w:trPr>
          <w:trHeight w:val="237"/>
        </w:trPr>
        <w:tc>
          <w:tcPr>
            <w:tcW w:w="7400" w:type="dxa"/>
            <w:vAlign w:val="bottom"/>
          </w:tcPr>
          <w:p>
            <w:pPr>
              <w:ind w:left="300"/>
              <w:spacing w:after="0"/>
              <w:rPr>
                <w:sz w:val="20"/>
                <w:szCs w:val="20"/>
                <w:color w:val="auto"/>
              </w:rPr>
            </w:pPr>
            <w:r>
              <w:rPr>
                <w:rFonts w:ascii="Arial" w:cs="Arial" w:eastAsia="Arial" w:hAnsi="Arial"/>
                <w:sz w:val="16"/>
                <w:szCs w:val="16"/>
                <w:color w:val="auto"/>
              </w:rPr>
              <w:t>Other assets</w:t>
            </w:r>
          </w:p>
        </w:tc>
        <w:tc>
          <w:tcPr>
            <w:tcW w:w="6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483</w:t>
            </w:r>
          </w:p>
        </w:tc>
      </w:tr>
      <w:tr>
        <w:trPr>
          <w:trHeight w:val="33"/>
        </w:trPr>
        <w:tc>
          <w:tcPr>
            <w:tcW w:w="7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Property, plant and equipment</w:t>
            </w:r>
          </w:p>
        </w:tc>
        <w:tc>
          <w:tcPr>
            <w:tcW w:w="6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18,010</w:t>
            </w:r>
          </w:p>
        </w:tc>
      </w:tr>
      <w:tr>
        <w:trPr>
          <w:trHeight w:val="237"/>
        </w:trPr>
        <w:tc>
          <w:tcPr>
            <w:tcW w:w="7400" w:type="dxa"/>
            <w:vAlign w:val="bottom"/>
          </w:tcPr>
          <w:p>
            <w:pPr>
              <w:ind w:left="300"/>
              <w:spacing w:after="0"/>
              <w:rPr>
                <w:sz w:val="20"/>
                <w:szCs w:val="20"/>
                <w:color w:val="auto"/>
              </w:rPr>
            </w:pPr>
            <w:r>
              <w:rPr>
                <w:rFonts w:ascii="Arial" w:cs="Arial" w:eastAsia="Arial" w:hAnsi="Arial"/>
                <w:sz w:val="16"/>
                <w:szCs w:val="16"/>
                <w:color w:val="auto"/>
              </w:rPr>
              <w:t>Accounts payable</w:t>
            </w:r>
          </w:p>
        </w:tc>
        <w:tc>
          <w:tcPr>
            <w:tcW w:w="6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(10,386)</w:t>
            </w:r>
          </w:p>
        </w:tc>
      </w:tr>
      <w:tr>
        <w:trPr>
          <w:trHeight w:val="33"/>
        </w:trPr>
        <w:tc>
          <w:tcPr>
            <w:tcW w:w="7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Wages and amounts withheld from employees</w:t>
            </w:r>
          </w:p>
        </w:tc>
        <w:tc>
          <w:tcPr>
            <w:tcW w:w="6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(4,234)</w:t>
            </w:r>
          </w:p>
        </w:tc>
      </w:tr>
      <w:tr>
        <w:trPr>
          <w:trHeight w:val="237"/>
        </w:trPr>
        <w:tc>
          <w:tcPr>
            <w:tcW w:w="7400" w:type="dxa"/>
            <w:vAlign w:val="bottom"/>
          </w:tcPr>
          <w:p>
            <w:pPr>
              <w:ind w:left="300"/>
              <w:spacing w:after="0"/>
              <w:rPr>
                <w:sz w:val="20"/>
                <w:szCs w:val="20"/>
                <w:color w:val="auto"/>
              </w:rPr>
            </w:pPr>
            <w:r>
              <w:rPr>
                <w:rFonts w:ascii="Arial" w:cs="Arial" w:eastAsia="Arial" w:hAnsi="Arial"/>
                <w:sz w:val="16"/>
                <w:szCs w:val="16"/>
                <w:color w:val="auto"/>
              </w:rPr>
              <w:t>Taxes, other than income taxes</w:t>
            </w:r>
          </w:p>
        </w:tc>
        <w:tc>
          <w:tcPr>
            <w:tcW w:w="6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(600)</w:t>
            </w:r>
          </w:p>
        </w:tc>
      </w:tr>
      <w:tr>
        <w:trPr>
          <w:trHeight w:val="33"/>
        </w:trPr>
        <w:tc>
          <w:tcPr>
            <w:tcW w:w="7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Accrued income taxes</w:t>
            </w:r>
          </w:p>
        </w:tc>
        <w:tc>
          <w:tcPr>
            <w:tcW w:w="6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w:t>
            </w:r>
          </w:p>
        </w:tc>
      </w:tr>
      <w:tr>
        <w:trPr>
          <w:trHeight w:val="237"/>
        </w:trPr>
        <w:tc>
          <w:tcPr>
            <w:tcW w:w="7400" w:type="dxa"/>
            <w:vAlign w:val="bottom"/>
          </w:tcPr>
          <w:p>
            <w:pPr>
              <w:ind w:left="300"/>
              <w:spacing w:after="0"/>
              <w:rPr>
                <w:sz w:val="20"/>
                <w:szCs w:val="20"/>
                <w:color w:val="auto"/>
              </w:rPr>
            </w:pPr>
            <w:r>
              <w:rPr>
                <w:rFonts w:ascii="Arial" w:cs="Arial" w:eastAsia="Arial" w:hAnsi="Arial"/>
                <w:sz w:val="16"/>
                <w:szCs w:val="16"/>
                <w:color w:val="auto"/>
              </w:rPr>
              <w:t>Other current liabilities</w:t>
            </w:r>
          </w:p>
        </w:tc>
        <w:tc>
          <w:tcPr>
            <w:tcW w:w="6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(4,704)</w:t>
            </w:r>
          </w:p>
        </w:tc>
      </w:tr>
      <w:tr>
        <w:trPr>
          <w:trHeight w:val="33"/>
        </w:trPr>
        <w:tc>
          <w:tcPr>
            <w:tcW w:w="7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74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Other long-term liabilities</w:t>
            </w:r>
          </w:p>
        </w:tc>
        <w:tc>
          <w:tcPr>
            <w:tcW w:w="6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(37,878)</w:t>
            </w:r>
          </w:p>
        </w:tc>
      </w:tr>
      <w:tr>
        <w:trPr>
          <w:trHeight w:val="217"/>
        </w:trPr>
        <w:tc>
          <w:tcPr>
            <w:tcW w:w="740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313,661</w:t>
            </w:r>
          </w:p>
        </w:tc>
      </w:tr>
      <w:tr>
        <w:trPr>
          <w:trHeight w:val="33"/>
        </w:trPr>
        <w:tc>
          <w:tcPr>
            <w:tcW w:w="7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74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Less: cash acquired</w:t>
            </w:r>
          </w:p>
        </w:tc>
        <w:tc>
          <w:tcPr>
            <w:tcW w:w="6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(12,904)</w:t>
            </w:r>
          </w:p>
        </w:tc>
      </w:tr>
      <w:tr>
        <w:trPr>
          <w:trHeight w:val="244"/>
        </w:trPr>
        <w:tc>
          <w:tcPr>
            <w:tcW w:w="7400" w:type="dxa"/>
            <w:vAlign w:val="bottom"/>
          </w:tcPr>
          <w:p>
            <w:pPr>
              <w:ind w:left="300"/>
              <w:spacing w:after="0"/>
              <w:rPr>
                <w:sz w:val="20"/>
                <w:szCs w:val="20"/>
                <w:color w:val="auto"/>
              </w:rPr>
            </w:pPr>
            <w:r>
              <w:rPr>
                <w:rFonts w:ascii="Arial" w:cs="Arial" w:eastAsia="Arial" w:hAnsi="Arial"/>
                <w:sz w:val="16"/>
                <w:szCs w:val="16"/>
                <w:color w:val="auto"/>
              </w:rPr>
              <w:t>Fair value of total consideration transferred</w:t>
            </w:r>
          </w:p>
        </w:tc>
        <w:tc>
          <w:tcPr>
            <w:tcW w:w="66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300,757</w:t>
            </w:r>
          </w:p>
        </w:tc>
      </w:tr>
      <w:tr>
        <w:trPr>
          <w:trHeight w:val="20"/>
        </w:trPr>
        <w:tc>
          <w:tcPr>
            <w:tcW w:w="74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The final purchase price allocation is subject to post-closing adjustments pursuant to the terms of the merger agreement with PDC and to completion of final valuation of the assets acquired and liabilities assumed. The final valuation is expected to be completed as soon as is practicable but no later than 12 months after the closing date of the acquisition. The intangible assets consist of a customer relationship of $101,500, which is being amortized over a life of 10 years, and a definite-lived trademark of $6,800, which is being amortized over a life of 3 years. The goodwill acquired of $189,942 is not tax deductible.</w:t>
      </w:r>
    </w:p>
    <w:p>
      <w:pPr>
        <w:spacing w:after="0" w:line="100"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The following table reflects the unaudited pro forma operating results of the Company for the three and six months ended January 31, 2013 and 2012, which give effect to the acquisition of PDC as if it had occurred at the beginning of fiscal 2012, after giving effect to certain adjustments, including amortization of intangible assets, interest expense on acquisition debt, and income tax effects. The pro forma results have been prepared for comparative purposes only and are not necessarily indicative of the results of operations which may occur in the future or that would have occurred had the acquisitions been effected on the date indicated, nor are they necessarily indicative of the Company's future results of operations.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gridSpan w:val="5"/>
          </w:tcPr>
          <w:p>
            <w:pPr>
              <w:ind w:left="20"/>
              <w:spacing w:after="0"/>
              <w:rPr>
                <w:sz w:val="20"/>
                <w:szCs w:val="20"/>
                <w:color w:val="auto"/>
              </w:rPr>
            </w:pPr>
            <w:r>
              <w:rPr>
                <w:rFonts w:ascii="Arial" w:cs="Arial" w:eastAsia="Arial" w:hAnsi="Arial"/>
                <w:sz w:val="16"/>
                <w:szCs w:val="16"/>
                <w:b w:val="1"/>
                <w:bCs w:val="1"/>
                <w:color w:val="auto"/>
                <w:w w:val="98"/>
              </w:rPr>
              <w:t>Three months ended January 31,</w:t>
            </w:r>
          </w:p>
        </w:tc>
        <w:tc>
          <w:tcPr>
            <w:tcW w:w="160" w:type="dxa"/>
            <w:vAlign w:val="bottom"/>
          </w:tcPr>
          <w:p>
            <w:pPr>
              <w:spacing w:after="0"/>
              <w:rPr>
                <w:sz w:val="18"/>
                <w:szCs w:val="18"/>
                <w:color w:val="auto"/>
              </w:rPr>
            </w:pPr>
          </w:p>
        </w:tc>
        <w:tc>
          <w:tcPr>
            <w:tcW w:w="2340" w:type="dxa"/>
            <w:vAlign w:val="bottom"/>
            <w:gridSpan w:val="4"/>
          </w:tcPr>
          <w:p>
            <w:pPr>
              <w:jc w:val="right"/>
              <w:ind w:right="79"/>
              <w:spacing w:after="0"/>
              <w:rPr>
                <w:sz w:val="20"/>
                <w:szCs w:val="20"/>
                <w:color w:val="auto"/>
              </w:rPr>
            </w:pPr>
            <w:r>
              <w:rPr>
                <w:rFonts w:ascii="Arial" w:cs="Arial" w:eastAsia="Arial" w:hAnsi="Arial"/>
                <w:sz w:val="16"/>
                <w:szCs w:val="16"/>
                <w:b w:val="1"/>
                <w:bCs w:val="1"/>
                <w:color w:val="auto"/>
                <w:w w:val="93"/>
              </w:rPr>
              <w:t>Six Months Ended January 31,</w:t>
            </w:r>
          </w:p>
        </w:tc>
      </w:tr>
      <w:tr>
        <w:trPr>
          <w:trHeight w:val="33"/>
        </w:trPr>
        <w:tc>
          <w:tcPr>
            <w:tcW w:w="4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1"/>
        </w:trPr>
        <w:tc>
          <w:tcPr>
            <w:tcW w:w="4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33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359"/>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33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2012</w:t>
            </w:r>
          </w:p>
        </w:tc>
      </w:tr>
      <w:tr>
        <w:trPr>
          <w:trHeight w:val="33"/>
        </w:trPr>
        <w:tc>
          <w:tcPr>
            <w:tcW w:w="4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 as reported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324,182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320,584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661,828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670,092</w:t>
            </w: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Net sales, pro forma</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350,558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360,074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730,253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751,603</w:t>
            </w:r>
          </w:p>
        </w:tc>
      </w:tr>
      <w:tr>
        <w:trPr>
          <w:trHeight w:val="33"/>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income, as reported</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(8,684)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(89,954)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18,504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(57,222)</w:t>
            </w: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Net (loss) income, pro forma</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(4,695)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(90,070)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23,414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(60,101)</w:t>
            </w:r>
          </w:p>
        </w:tc>
      </w:tr>
      <w:tr>
        <w:trPr>
          <w:trHeight w:val="33"/>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0"/>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Basic net (loss) income per Class A Common Share, as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reported</w:t>
            </w:r>
          </w:p>
        </w:tc>
        <w:tc>
          <w:tcPr>
            <w:tcW w:w="1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(0.17)</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0.36</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w:t>
            </w:r>
          </w:p>
        </w:tc>
      </w:tr>
      <w:tr>
        <w:trPr>
          <w:trHeight w:val="220"/>
        </w:trPr>
        <w:tc>
          <w:tcPr>
            <w:tcW w:w="4120" w:type="dxa"/>
            <w:vAlign w:val="bottom"/>
          </w:tcPr>
          <w:p>
            <w:pPr>
              <w:ind w:left="40"/>
              <w:spacing w:after="0"/>
              <w:rPr>
                <w:sz w:val="20"/>
                <w:szCs w:val="20"/>
                <w:color w:val="auto"/>
              </w:rPr>
            </w:pPr>
            <w:r>
              <w:rPr>
                <w:rFonts w:ascii="Arial" w:cs="Arial" w:eastAsia="Arial" w:hAnsi="Arial"/>
                <w:sz w:val="16"/>
                <w:szCs w:val="16"/>
                <w:color w:val="auto"/>
              </w:rPr>
              <w:t>Basic net (loss) income per Class A Common Share, pro</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06"/>
        </w:trPr>
        <w:tc>
          <w:tcPr>
            <w:tcW w:w="4120" w:type="dxa"/>
            <w:vAlign w:val="bottom"/>
          </w:tcPr>
          <w:p>
            <w:pPr>
              <w:ind w:left="40"/>
              <w:spacing w:after="0"/>
              <w:rPr>
                <w:sz w:val="20"/>
                <w:szCs w:val="20"/>
                <w:color w:val="auto"/>
              </w:rPr>
            </w:pPr>
            <w:r>
              <w:rPr>
                <w:rFonts w:ascii="Arial" w:cs="Arial" w:eastAsia="Arial" w:hAnsi="Arial"/>
                <w:sz w:val="16"/>
                <w:szCs w:val="16"/>
                <w:color w:val="auto"/>
              </w:rPr>
              <w:t>forma</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(0.09)</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0.46</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(1.15)</w:t>
            </w:r>
          </w:p>
        </w:tc>
      </w:tr>
      <w:tr>
        <w:trPr>
          <w:trHeight w:val="33"/>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0"/>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Diluted net (loss) income per Class A Common Share, as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reported</w:t>
            </w:r>
          </w:p>
        </w:tc>
        <w:tc>
          <w:tcPr>
            <w:tcW w:w="1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(0.17)</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0.36</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w:t>
            </w:r>
          </w:p>
        </w:tc>
      </w:tr>
      <w:tr>
        <w:trPr>
          <w:trHeight w:val="220"/>
        </w:trPr>
        <w:tc>
          <w:tcPr>
            <w:tcW w:w="4120" w:type="dxa"/>
            <w:vAlign w:val="bottom"/>
          </w:tcPr>
          <w:p>
            <w:pPr>
              <w:ind w:left="40"/>
              <w:spacing w:after="0"/>
              <w:rPr>
                <w:sz w:val="20"/>
                <w:szCs w:val="20"/>
                <w:color w:val="auto"/>
              </w:rPr>
            </w:pPr>
            <w:r>
              <w:rPr>
                <w:rFonts w:ascii="Arial" w:cs="Arial" w:eastAsia="Arial" w:hAnsi="Arial"/>
                <w:sz w:val="16"/>
                <w:szCs w:val="16"/>
                <w:color w:val="auto"/>
                <w:w w:val="98"/>
              </w:rPr>
              <w:t>Diluted net (loss) income per Class A Common Share, pro</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06"/>
        </w:trPr>
        <w:tc>
          <w:tcPr>
            <w:tcW w:w="4120" w:type="dxa"/>
            <w:vAlign w:val="bottom"/>
          </w:tcPr>
          <w:p>
            <w:pPr>
              <w:ind w:left="40"/>
              <w:spacing w:after="0"/>
              <w:rPr>
                <w:sz w:val="20"/>
                <w:szCs w:val="20"/>
                <w:color w:val="auto"/>
              </w:rPr>
            </w:pPr>
            <w:r>
              <w:rPr>
                <w:rFonts w:ascii="Arial" w:cs="Arial" w:eastAsia="Arial" w:hAnsi="Arial"/>
                <w:sz w:val="16"/>
                <w:szCs w:val="16"/>
                <w:color w:val="auto"/>
              </w:rPr>
              <w:t>forma</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(0.09)</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0.45</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(1.15)</w:t>
            </w:r>
          </w:p>
        </w:tc>
      </w:tr>
    </w:tbl>
    <w:p>
      <w:pPr>
        <w:spacing w:after="0" w:line="181"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Pro forma results for the three months ended January 31, 2012, were adjusted to include $3,600 of acquisition-related expenses, $1,530 of nonrecurring expense related to the fair value adjustment to acquisition-date inventory, $357 in interest expense on acquisition debt, and ($71) in income tax benefit. Pro forma results for the six months ended January 31, 2012, were adjusted to include $3,600 of acquisition-related expenses, $1,530 of nonrecurring expense related to the fair value adjustment to acquisition-date inventory, $720 in interest expense on acquisition debt, and ($827) in income tax benefit.</w:t>
      </w:r>
    </w:p>
    <w:p>
      <w:pPr>
        <w:sectPr>
          <w:pgSz w:w="11900" w:h="16838" w:orient="portrait"/>
          <w:cols w:equalWidth="0" w:num="1">
            <w:col w:w="11420"/>
          </w:cols>
          <w:pgMar w:left="240" w:top="122" w:right="239"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2" w:right="239" w:bottom="1440" w:gutter="0" w:footer="0" w:header="0"/>
          <w:type w:val="continuous"/>
        </w:sectPr>
      </w:pPr>
    </w:p>
    <w:bookmarkStart w:id="18" w:name="page19"/>
    <w:bookmarkEnd w:id="1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Pro forma results for the three months ended January 31, 2013, were adjusted to exclude $3,600 of acquisition-related expenses and $1,530 of nonrecurring expense related to the fair value adjustment to acquisition-date inventory, and were adjusted to include $320 in interest expense on acquisition debt and $564 of income tax expense. Pro forma results for the six months ended January 31, 2013, were adjusted to exclude $3,600 of acquisition-related expenses and $1,530 of nonrecurring expense related to the fair value adjustment to acquisition-date inventory, and were adjusted to include $529 in interest expense on acquisition debt and ($135) in income tax benefit.</w:t>
      </w:r>
    </w:p>
    <w:p>
      <w:pPr>
        <w:spacing w:after="0" w:line="134"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Pro forma results for each of the three and six months ended January 31, 2013 and 2012 include $3,104 and $6,208 of pretax amortization expense related to intangible assets,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NOTE L - Notes Payable</w:t>
      </w:r>
    </w:p>
    <w:p>
      <w:pPr>
        <w:spacing w:after="0" w:line="171"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On December 27, 2012, the Company drew down $220,000 from its revolving loan agreement with a group of six banks to fund a portion of the purchase price of the acquisition of PDC. The weighted average borrowing rate was 1.3226% as of January 31, 2013, which will be reset periodically based upon changes in the LIBOR rate. Prior to January 31, 2013, the Company repaid $112,472 of the borrowing with cash on hand. The Company intends to repay the borrowing within 12 months of the current period end, as such, the borrowing is classified as "Notes Payable" within current liabilities on the Condensed Consolidated Balance Sheets. During the three months ended January 31, 2013, the largest amount outstanding on the revolving loan agreement was $220,000. As of January 31, 2013, the outstanding balance on the credit facility was $112,340 and there was $187,660 available for future borrowing under the credit facility, which can be increased to $337,660 at the Company's option, subject to certain conditions.</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January 31, 2013, borrowings on the revolving loan agreement are as follows: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ind w:left="120"/>
              <w:spacing w:after="0"/>
              <w:rPr>
                <w:sz w:val="20"/>
                <w:szCs w:val="20"/>
                <w:color w:val="auto"/>
              </w:rPr>
            </w:pPr>
            <w:r>
              <w:rPr>
                <w:rFonts w:ascii="Arial" w:cs="Arial" w:eastAsia="Arial" w:hAnsi="Arial"/>
                <w:sz w:val="16"/>
                <w:szCs w:val="16"/>
                <w:color w:val="auto"/>
              </w:rPr>
              <w:t>Interest Rate</w:t>
            </w:r>
          </w:p>
        </w:tc>
        <w:tc>
          <w:tcPr>
            <w:tcW w:w="200" w:type="dxa"/>
            <w:vAlign w:val="bottom"/>
          </w:tcPr>
          <w:p>
            <w:pPr>
              <w:spacing w:after="0"/>
              <w:rPr>
                <w:sz w:val="17"/>
                <w:szCs w:val="17"/>
                <w:color w:val="auto"/>
              </w:rPr>
            </w:pPr>
          </w:p>
        </w:tc>
        <w:tc>
          <w:tcPr>
            <w:tcW w:w="860" w:type="dxa"/>
            <w:vAlign w:val="bottom"/>
          </w:tcPr>
          <w:p>
            <w:pPr>
              <w:jc w:val="right"/>
              <w:ind w:right="179"/>
              <w:spacing w:after="0"/>
              <w:rPr>
                <w:sz w:val="20"/>
                <w:szCs w:val="20"/>
                <w:color w:val="auto"/>
              </w:rPr>
            </w:pPr>
            <w:r>
              <w:rPr>
                <w:rFonts w:ascii="Arial" w:cs="Arial" w:eastAsia="Arial" w:hAnsi="Arial"/>
                <w:sz w:val="16"/>
                <w:szCs w:val="16"/>
                <w:color w:val="auto"/>
              </w:rPr>
              <w:t>Balance</w:t>
            </w:r>
          </w:p>
        </w:tc>
      </w:tr>
      <w:tr>
        <w:trPr>
          <w:trHeight w:val="33"/>
        </w:trPr>
        <w:tc>
          <w:tcPr>
            <w:tcW w:w="6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0"/>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USD-denominated borrowing</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1.3000%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13,000</w:t>
            </w:r>
          </w:p>
        </w:tc>
      </w:tr>
      <w:tr>
        <w:trPr>
          <w:trHeight w:val="237"/>
        </w:trPr>
        <w:tc>
          <w:tcPr>
            <w:tcW w:w="7000" w:type="dxa"/>
            <w:vAlign w:val="bottom"/>
            <w:gridSpan w:val="2"/>
          </w:tcPr>
          <w:p>
            <w:pPr>
              <w:ind w:left="40"/>
              <w:spacing w:after="0"/>
              <w:rPr>
                <w:sz w:val="20"/>
                <w:szCs w:val="20"/>
                <w:color w:val="auto"/>
              </w:rPr>
            </w:pPr>
            <w:r>
              <w:rPr>
                <w:rFonts w:ascii="Arial" w:cs="Arial" w:eastAsia="Arial" w:hAnsi="Arial"/>
                <w:sz w:val="16"/>
                <w:szCs w:val="16"/>
                <w:color w:val="auto"/>
              </w:rPr>
              <w:t>EUR-denominated borrowing</w:t>
            </w:r>
          </w:p>
        </w:tc>
        <w:tc>
          <w:tcPr>
            <w:tcW w:w="1060" w:type="dxa"/>
            <w:vAlign w:val="bottom"/>
          </w:tcPr>
          <w:p>
            <w:pPr>
              <w:jc w:val="right"/>
              <w:spacing w:after="0"/>
              <w:rPr>
                <w:sz w:val="20"/>
                <w:szCs w:val="20"/>
                <w:color w:val="auto"/>
              </w:rPr>
            </w:pPr>
            <w:r>
              <w:rPr>
                <w:rFonts w:ascii="Arial" w:cs="Arial" w:eastAsia="Arial" w:hAnsi="Arial"/>
                <w:sz w:val="16"/>
                <w:szCs w:val="16"/>
                <w:color w:val="auto"/>
              </w:rPr>
              <w:t>1.1800%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66,478</w:t>
            </w:r>
          </w:p>
        </w:tc>
      </w:tr>
      <w:tr>
        <w:trPr>
          <w:trHeight w:val="33"/>
        </w:trPr>
        <w:tc>
          <w:tcPr>
            <w:tcW w:w="6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GBP-denominated borrowing</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1.6200%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32,862</w:t>
            </w:r>
          </w:p>
        </w:tc>
      </w:tr>
      <w:tr>
        <w:trPr>
          <w:trHeight w:val="244"/>
        </w:trPr>
        <w:tc>
          <w:tcPr>
            <w:tcW w:w="68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borrowing on revolving loan agreement</w:t>
            </w:r>
          </w:p>
        </w:tc>
        <w:tc>
          <w:tcPr>
            <w:tcW w:w="120" w:type="dxa"/>
            <w:vAlign w:val="bottom"/>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1.3226%</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112,340</w:t>
            </w:r>
          </w:p>
        </w:tc>
      </w:tr>
      <w:tr>
        <w:trPr>
          <w:trHeight w:val="20"/>
        </w:trPr>
        <w:tc>
          <w:tcPr>
            <w:tcW w:w="6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M - Income Taxes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During the three months ended January 31, 2013, the Company recorded a $25,000 non-cash tax charge for the repatriation of approximately $208,000 of cash during the three months ended January 31, 2013, associated with the funding of the acquisition of PDC. The Company does not provide for U.S. deferred taxes on cumulative earnings of non-U.S. affiliates and associated companies that have been reinvested indefinitely. The remaining earnings continue to be reinvested indefinitely as of January 31, 2013, and it is impracticable to estimate the amount on an interim basis.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NOTE N — Subsequent Events</w:t>
      </w:r>
    </w:p>
    <w:p>
      <w:pPr>
        <w:spacing w:after="0" w:line="22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February 20, 2013, the Board of Directors declared a quarterly cash dividend to shareholders of the Company’s Class A and Class B Common Stock of $0.19 per share payable on April 30, 2013 to shareholders of record at the close of business on April 10, 2013.</w:t>
      </w:r>
    </w:p>
    <w:p>
      <w:pPr>
        <w:spacing w:after="0" w:line="17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On February 20, 2013, the Board of Directors approved a change in the Company's organizational structure effective May 1, 2013, from geographically-based to an organization structured around three global business platforms: Identification Solutions, Workplace Safety and Die-Cut. The Company is implementing the reorganization and restructuring actions to further enhance its coordinated global business strategies for each business platform, to improve efficiency of operations, to promote greater customer focus and to reduce operating expenses. The Company will begin segment reporting in the three business platforms in the fourth fiscal quarter of 2013.</w:t>
      </w:r>
    </w:p>
    <w:p>
      <w:pPr>
        <w:spacing w:after="0" w:line="5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expects to incur approximately $15,000 to $18,000 in restructuring charges to implement this reorganization, the majority of which will be incurred by the end of fiscal 2013. Upon completion of the restructuring action, the Company expects to realize annualized savings of approximately $25,000 to $30,000 from the restructuring.</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right="1840"/>
        <w:spacing w:after="0" w:line="344" w:lineRule="auto"/>
        <w:rPr>
          <w:sz w:val="20"/>
          <w:szCs w:val="20"/>
          <w:color w:val="auto"/>
        </w:rPr>
      </w:pPr>
      <w:r>
        <w:rPr>
          <w:rFonts w:ascii="Arial" w:cs="Arial" w:eastAsia="Arial" w:hAnsi="Arial"/>
          <w:sz w:val="18"/>
          <w:szCs w:val="18"/>
          <w:color w:val="auto"/>
        </w:rPr>
        <w:t xml:space="preserve">ITEM 2. MANAGEMENT’S DISCUSSION AND ANALYSIS OF FINANCIAL CONDITION AND RESULTS OF OPERATIONS </w:t>
      </w:r>
      <w:r>
        <w:rPr>
          <w:rFonts w:ascii="Arial" w:cs="Arial" w:eastAsia="Arial" w:hAnsi="Arial"/>
          <w:sz w:val="18"/>
          <w:szCs w:val="18"/>
          <w:u w:val="single" w:color="auto"/>
          <w:color w:val="auto"/>
        </w:rPr>
        <w:t>Overview</w:t>
      </w:r>
    </w:p>
    <w:p>
      <w:pPr>
        <w:spacing w:after="0" w:line="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Brady Corporation was incorporated under the laws of the state of Wisconsin in 1914. Brady Corporation is an international manufacturer of identification solutions and specialty materials that identify and protect premises, products and people. The ability to provide customers with a broad range of proprietary, customized, and diverse products for use in various applications, along with a commitment to quality and service, a global footprint and multiple sales channels, have made Brady a world leader in many of its markets.</w:t>
      </w:r>
    </w:p>
    <w:p>
      <w:pPr>
        <w:spacing w:after="0" w:line="13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 operates in Australia, Belgium, Brazil, Canada, the Cayman Islands, China, Denmark, France, Germany, Hong Kong, India, Italy, Japan, Luxembourg, Malaysia, Mexico, the Netherlands, Norway, the Philippines, Poland, Singapore, Slovakia, South Africa, South Korea, Spain, Sweden, Thailand, Turkey, the United Arab Emirates, the United Kingdom and the United States. Brady sells through subsidiaries or sales offices in these countries, with additional sales through a dedicated team of international sales representatives in Russia, Taiwan, Central Europe, the Middle East, Africa and South America.</w:t>
      </w:r>
    </w:p>
    <w:p>
      <w:pPr>
        <w:spacing w:after="0" w:line="13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is organized and managed on a geographic basis within three regions: Americas, EMEA (Europe, the Middle East and Africa), and Asia-Pacific, which are the reportable segments. Across these regions, the Company operates three primary business platforms: Identification Solutions (“ID Solutions”), Direct Marketing and Die-Cut. Refer to Item 1 of the Company’s fiscal 2012 Form 10-K for additional information regarding the business platforms.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Results of Operations</w:t>
      </w:r>
    </w:p>
    <w:p>
      <w:pPr>
        <w:spacing w:after="0" w:line="225"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During the three and six months ended January 31, 2013, the business and operating results were affected by continued global economic weakness mainly in Europe, Brazil and Australia, and the continued softness in the Direct Marketing Americas business as the growth in ecommerce sales has only partially offset the decline in the traditional catalog model sales. During the three months ended January 31, 2013, the Company made a strategic acquisition with the purchase of Precision Dynamics Corporation ("PDC"), a leader in the U.S. healthcare identification sector, moving into faster growing end markets. The purchase price paid for PDC on December 28, 2012, was $301 million, and annual revenue for PDC for calendar year 2012 was $173 million. This acquisition contributed 5% to our sales growth for the three months ended January 31, 2013. In addition to acquisitions, we are focused on the following initiatives in order to create growth:</w:t>
      </w:r>
    </w:p>
    <w:p>
      <w:pPr>
        <w:spacing w:after="0" w:line="189" w:lineRule="exact"/>
        <w:rPr>
          <w:sz w:val="20"/>
          <w:szCs w:val="20"/>
          <w:color w:val="auto"/>
        </w:rPr>
      </w:pPr>
    </w:p>
    <w:p>
      <w:pPr>
        <w:ind w:left="920" w:hanging="318"/>
        <w:spacing w:after="0"/>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Expanding our business in emerging geographies, or geographies where we are under-penetrated</w:t>
      </w:r>
    </w:p>
    <w:p>
      <w:pPr>
        <w:spacing w:after="0" w:line="23" w:lineRule="exact"/>
        <w:rPr>
          <w:rFonts w:ascii="Arial" w:cs="Arial" w:eastAsia="Arial" w:hAnsi="Arial"/>
          <w:sz w:val="18"/>
          <w:szCs w:val="18"/>
          <w:color w:val="auto"/>
        </w:rPr>
      </w:pPr>
    </w:p>
    <w:p>
      <w:pPr>
        <w:ind w:left="920" w:hanging="318"/>
        <w:spacing w:after="0"/>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Expanding globally in certain focus sectors, such as Aerospace and Mass Transit, Chemical, Oil &amp; Gas, and Food &amp; Beverage</w:t>
      </w:r>
    </w:p>
    <w:p>
      <w:pPr>
        <w:spacing w:after="0" w:line="9" w:lineRule="exact"/>
        <w:rPr>
          <w:rFonts w:ascii="Arial" w:cs="Arial" w:eastAsia="Arial" w:hAnsi="Arial"/>
          <w:sz w:val="18"/>
          <w:szCs w:val="18"/>
          <w:color w:val="auto"/>
        </w:rPr>
      </w:pPr>
    </w:p>
    <w:p>
      <w:pPr>
        <w:ind w:left="920" w:hanging="318"/>
        <w:spacing w:after="0"/>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Developing and introducing new products</w:t>
      </w:r>
    </w:p>
    <w:p>
      <w:pPr>
        <w:spacing w:after="0" w:line="9" w:lineRule="exact"/>
        <w:rPr>
          <w:rFonts w:ascii="Arial" w:cs="Arial" w:eastAsia="Arial" w:hAnsi="Arial"/>
          <w:sz w:val="18"/>
          <w:szCs w:val="18"/>
          <w:color w:val="auto"/>
        </w:rPr>
      </w:pPr>
    </w:p>
    <w:p>
      <w:pPr>
        <w:ind w:left="920" w:hanging="318"/>
        <w:spacing w:after="0"/>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Commitment to customer conversion, and</w:t>
      </w:r>
    </w:p>
    <w:p>
      <w:pPr>
        <w:spacing w:after="0" w:line="9" w:lineRule="exact"/>
        <w:rPr>
          <w:rFonts w:ascii="Arial" w:cs="Arial" w:eastAsia="Arial" w:hAnsi="Arial"/>
          <w:sz w:val="18"/>
          <w:szCs w:val="18"/>
          <w:color w:val="auto"/>
        </w:rPr>
      </w:pPr>
    </w:p>
    <w:p>
      <w:pPr>
        <w:ind w:left="920" w:hanging="318"/>
        <w:spacing w:after="0"/>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Expanding our on-line capabilities to deliver the best buying experience for our customers</w:t>
      </w:r>
    </w:p>
    <w:p>
      <w:pPr>
        <w:spacing w:after="0" w:line="211" w:lineRule="exact"/>
        <w:rPr>
          <w:sz w:val="20"/>
          <w:szCs w:val="20"/>
          <w:color w:val="auto"/>
        </w:rPr>
      </w:pPr>
    </w:p>
    <w:p>
      <w:pPr>
        <w:jc w:val="both"/>
        <w:ind w:firstLine="230"/>
        <w:spacing w:after="0" w:line="302" w:lineRule="auto"/>
        <w:rPr>
          <w:sz w:val="20"/>
          <w:szCs w:val="20"/>
          <w:color w:val="auto"/>
        </w:rPr>
      </w:pPr>
      <w:r>
        <w:rPr>
          <w:rFonts w:ascii="Arial" w:cs="Arial" w:eastAsia="Arial" w:hAnsi="Arial"/>
          <w:sz w:val="16"/>
          <w:szCs w:val="16"/>
          <w:color w:val="auto"/>
        </w:rPr>
        <w:t>We review our portfolio of businesses to ensure strategic fit, organic growth, and profitability are consistent with the Company's overall financial goals. We continue to evaluate options for strategic alliances, downsizing, and divestiture of businesses. Two businesses were divested during the three months ended October 31, 2012, as summarized within the table below. Divestitures involve risk, including difficulties in the separation of operations, services, products, and personnel, the diversion of management's attention from other business concerns, and the disruption of our business.</w:t>
      </w:r>
    </w:p>
    <w:p>
      <w:pPr>
        <w:spacing w:after="0" w:line="154"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color w:val="auto"/>
        </w:rPr>
        <w:t>The comparability of the operating results for the three and six months ended January 31, 2013, to the prior year has been impacted by the following acquisitions and divestitures completed in fiscal 2013 and fiscal 2012:</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2013</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Acquisitions</w:t>
            </w:r>
          </w:p>
        </w:tc>
        <w:tc>
          <w:tcPr>
            <w:tcW w:w="30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rPr>
              <w:t>Segment</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Date Completed</w:t>
            </w: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Precision Dynamics Corporation ("PDC")</w:t>
            </w:r>
          </w:p>
        </w:tc>
        <w:tc>
          <w:tcPr>
            <w:tcW w:w="3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2"/>
            <w:shd w:val="clear" w:color="auto" w:fill="CCEEFF"/>
          </w:tcPr>
          <w:p>
            <w:pPr>
              <w:ind w:left="1120"/>
              <w:spacing w:after="0"/>
              <w:rPr>
                <w:sz w:val="20"/>
                <w:szCs w:val="20"/>
                <w:color w:val="auto"/>
              </w:rPr>
            </w:pPr>
            <w:r>
              <w:rPr>
                <w:rFonts w:ascii="Arial" w:cs="Arial" w:eastAsia="Arial" w:hAnsi="Arial"/>
                <w:sz w:val="18"/>
                <w:szCs w:val="18"/>
                <w:color w:val="auto"/>
              </w:rPr>
              <w:t>Americas</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December 2012</w:t>
            </w:r>
          </w:p>
        </w:tc>
      </w:tr>
      <w:tr>
        <w:trPr>
          <w:trHeight w:val="548"/>
        </w:trPr>
        <w:tc>
          <w:tcPr>
            <w:tcW w:w="45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Divestitures</w:t>
            </w:r>
          </w:p>
        </w:tc>
        <w:tc>
          <w:tcPr>
            <w:tcW w:w="30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2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rPr>
              <w:t>Segment</w:t>
            </w:r>
          </w:p>
        </w:tc>
        <w:tc>
          <w:tcPr>
            <w:tcW w:w="120" w:type="dxa"/>
            <w:vAlign w:val="bottom"/>
            <w:tcBorders>
              <w:bottom w:val="single" w:sz="8" w:color="CCEEFF"/>
            </w:tcBorders>
          </w:tcPr>
          <w:p>
            <w:pPr>
              <w:spacing w:after="0"/>
              <w:rPr>
                <w:sz w:val="24"/>
                <w:szCs w:val="24"/>
                <w:color w:val="auto"/>
              </w:rPr>
            </w:pPr>
          </w:p>
        </w:tc>
        <w:tc>
          <w:tcPr>
            <w:tcW w:w="182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Date Completed</w:t>
            </w: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Precision Converting, LLC (“Brady Medical”)</w:t>
            </w:r>
          </w:p>
        </w:tc>
        <w:tc>
          <w:tcPr>
            <w:tcW w:w="3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2"/>
            <w:shd w:val="clear" w:color="auto" w:fill="CCEEFF"/>
          </w:tcPr>
          <w:p>
            <w:pPr>
              <w:ind w:left="1120"/>
              <w:spacing w:after="0"/>
              <w:rPr>
                <w:sz w:val="20"/>
                <w:szCs w:val="20"/>
                <w:color w:val="auto"/>
              </w:rPr>
            </w:pPr>
            <w:r>
              <w:rPr>
                <w:rFonts w:ascii="Arial" w:cs="Arial" w:eastAsia="Arial" w:hAnsi="Arial"/>
                <w:sz w:val="18"/>
                <w:szCs w:val="18"/>
                <w:color w:val="auto"/>
              </w:rPr>
              <w:t>Americas</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August 2012</w:t>
            </w: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Varitronics</w:t>
            </w:r>
          </w:p>
        </w:tc>
        <w:tc>
          <w:tcPr>
            <w:tcW w:w="3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40" w:type="dxa"/>
            <w:vAlign w:val="bottom"/>
            <w:gridSpan w:val="2"/>
          </w:tcPr>
          <w:p>
            <w:pPr>
              <w:ind w:left="1120"/>
              <w:spacing w:after="0"/>
              <w:rPr>
                <w:sz w:val="20"/>
                <w:szCs w:val="20"/>
                <w:color w:val="auto"/>
              </w:rPr>
            </w:pPr>
            <w:r>
              <w:rPr>
                <w:rFonts w:ascii="Arial" w:cs="Arial" w:eastAsia="Arial" w:hAnsi="Arial"/>
                <w:sz w:val="18"/>
                <w:szCs w:val="18"/>
                <w:color w:val="auto"/>
              </w:rPr>
              <w:t>Americas</w:t>
            </w:r>
          </w:p>
        </w:tc>
        <w:tc>
          <w:tcPr>
            <w:tcW w:w="1820" w:type="dxa"/>
            <w:vAlign w:val="bottom"/>
          </w:tcPr>
          <w:p>
            <w:pPr>
              <w:jc w:val="right"/>
              <w:spacing w:after="0"/>
              <w:rPr>
                <w:sz w:val="20"/>
                <w:szCs w:val="20"/>
                <w:color w:val="auto"/>
              </w:rPr>
            </w:pPr>
            <w:r>
              <w:rPr>
                <w:rFonts w:ascii="Arial" w:cs="Arial" w:eastAsia="Arial" w:hAnsi="Arial"/>
                <w:sz w:val="18"/>
                <w:szCs w:val="18"/>
                <w:color w:val="auto"/>
              </w:rPr>
              <w:t>October 2012</w:t>
            </w:r>
          </w:p>
        </w:tc>
      </w:tr>
      <w:tr>
        <w:trPr>
          <w:trHeight w:val="864"/>
        </w:trPr>
        <w:tc>
          <w:tcPr>
            <w:tcW w:w="4500" w:type="dxa"/>
            <w:vAlign w:val="bottom"/>
          </w:tcPr>
          <w:p>
            <w:pPr>
              <w:spacing w:after="0"/>
              <w:rPr>
                <w:sz w:val="24"/>
                <w:szCs w:val="24"/>
                <w:color w:val="auto"/>
              </w:rPr>
            </w:pPr>
          </w:p>
        </w:tc>
        <w:tc>
          <w:tcPr>
            <w:tcW w:w="3040" w:type="dxa"/>
            <w:vAlign w:val="bottom"/>
          </w:tcPr>
          <w:p>
            <w:pPr>
              <w:jc w:val="right"/>
              <w:ind w:right="165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2012</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Acquisitions</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rPr>
              <w:t>Segment</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Date Completed</w:t>
            </w: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Grafo Wiremarkers Africa (“Grafo”)</w:t>
            </w:r>
          </w:p>
        </w:tc>
        <w:tc>
          <w:tcPr>
            <w:tcW w:w="1940" w:type="dxa"/>
            <w:vAlign w:val="bottom"/>
            <w:tcBorders>
              <w:bottom w:val="single" w:sz="8" w:color="CCEEFF"/>
            </w:tcBorders>
            <w:gridSpan w:val="2"/>
            <w:shd w:val="clear" w:color="auto" w:fill="CCEEFF"/>
          </w:tcPr>
          <w:p>
            <w:pPr>
              <w:ind w:left="1300"/>
              <w:spacing w:after="0"/>
              <w:rPr>
                <w:sz w:val="20"/>
                <w:szCs w:val="20"/>
                <w:color w:val="auto"/>
              </w:rPr>
            </w:pPr>
            <w:r>
              <w:rPr>
                <w:rFonts w:ascii="Arial" w:cs="Arial" w:eastAsia="Arial" w:hAnsi="Arial"/>
                <w:sz w:val="18"/>
                <w:szCs w:val="18"/>
                <w:color w:val="auto"/>
              </w:rPr>
              <w:t>EMEA</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March 2012</w:t>
            </w: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Runelandhs Försäljnings AB (“Runelandhs”)</w:t>
            </w:r>
          </w:p>
        </w:tc>
        <w:tc>
          <w:tcPr>
            <w:tcW w:w="1940" w:type="dxa"/>
            <w:vAlign w:val="bottom"/>
            <w:gridSpan w:val="2"/>
          </w:tcPr>
          <w:p>
            <w:pPr>
              <w:ind w:left="1300"/>
              <w:spacing w:after="0"/>
              <w:rPr>
                <w:sz w:val="20"/>
                <w:szCs w:val="20"/>
                <w:color w:val="auto"/>
              </w:rPr>
            </w:pPr>
            <w:r>
              <w:rPr>
                <w:rFonts w:ascii="Arial" w:cs="Arial" w:eastAsia="Arial" w:hAnsi="Arial"/>
                <w:sz w:val="18"/>
                <w:szCs w:val="18"/>
                <w:color w:val="auto"/>
              </w:rPr>
              <w:t>EMEA</w:t>
            </w:r>
          </w:p>
        </w:tc>
        <w:tc>
          <w:tcPr>
            <w:tcW w:w="1820" w:type="dxa"/>
            <w:vAlign w:val="bottom"/>
          </w:tcPr>
          <w:p>
            <w:pPr>
              <w:jc w:val="right"/>
              <w:spacing w:after="0"/>
              <w:rPr>
                <w:sz w:val="20"/>
                <w:szCs w:val="20"/>
                <w:color w:val="auto"/>
              </w:rPr>
            </w:pPr>
            <w:r>
              <w:rPr>
                <w:rFonts w:ascii="Arial" w:cs="Arial" w:eastAsia="Arial" w:hAnsi="Arial"/>
                <w:sz w:val="18"/>
                <w:szCs w:val="18"/>
                <w:color w:val="auto"/>
              </w:rPr>
              <w:t>May 2012</w:t>
            </w: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Pervaco AS (“Pervaco”)</w:t>
            </w:r>
          </w:p>
        </w:tc>
        <w:tc>
          <w:tcPr>
            <w:tcW w:w="1940" w:type="dxa"/>
            <w:vAlign w:val="bottom"/>
            <w:tcBorders>
              <w:bottom w:val="single" w:sz="8" w:color="CCEEFF"/>
            </w:tcBorders>
            <w:gridSpan w:val="2"/>
            <w:shd w:val="clear" w:color="auto" w:fill="CCEEFF"/>
          </w:tcPr>
          <w:p>
            <w:pPr>
              <w:ind w:left="1300"/>
              <w:spacing w:after="0"/>
              <w:rPr>
                <w:sz w:val="20"/>
                <w:szCs w:val="20"/>
                <w:color w:val="auto"/>
              </w:rPr>
            </w:pPr>
            <w:r>
              <w:rPr>
                <w:rFonts w:ascii="Arial" w:cs="Arial" w:eastAsia="Arial" w:hAnsi="Arial"/>
                <w:sz w:val="18"/>
                <w:szCs w:val="18"/>
                <w:color w:val="auto"/>
              </w:rPr>
              <w:t>EMEA</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May 2012</w:t>
            </w:r>
          </w:p>
        </w:tc>
      </w:tr>
      <w:tr>
        <w:trPr>
          <w:trHeight w:val="588"/>
        </w:trPr>
        <w:tc>
          <w:tcPr>
            <w:tcW w:w="7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Divestiture</w:t>
            </w:r>
          </w:p>
        </w:tc>
        <w:tc>
          <w:tcPr>
            <w:tcW w:w="120" w:type="dxa"/>
            <w:vAlign w:val="bottom"/>
            <w:tcBorders>
              <w:bottom w:val="single" w:sz="8" w:color="CCEEFF"/>
            </w:tcBorders>
          </w:tcPr>
          <w:p>
            <w:pPr>
              <w:spacing w:after="0"/>
              <w:rPr>
                <w:sz w:val="24"/>
                <w:szCs w:val="24"/>
                <w:color w:val="auto"/>
              </w:rPr>
            </w:pPr>
          </w:p>
        </w:tc>
        <w:tc>
          <w:tcPr>
            <w:tcW w:w="182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rPr>
              <w:t>Segment</w:t>
            </w:r>
          </w:p>
        </w:tc>
        <w:tc>
          <w:tcPr>
            <w:tcW w:w="120" w:type="dxa"/>
            <w:vAlign w:val="bottom"/>
            <w:tcBorders>
              <w:bottom w:val="single" w:sz="8" w:color="CCEEFF"/>
            </w:tcBorders>
          </w:tcPr>
          <w:p>
            <w:pPr>
              <w:spacing w:after="0"/>
              <w:rPr>
                <w:sz w:val="24"/>
                <w:szCs w:val="24"/>
                <w:color w:val="auto"/>
              </w:rPr>
            </w:pPr>
          </w:p>
        </w:tc>
        <w:tc>
          <w:tcPr>
            <w:tcW w:w="18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Date Completed</w:t>
            </w:r>
          </w:p>
        </w:tc>
      </w:tr>
      <w:tr>
        <w:trPr>
          <w:trHeight w:val="243"/>
        </w:trPr>
        <w:tc>
          <w:tcPr>
            <w:tcW w:w="76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Etimark</w:t>
            </w:r>
          </w:p>
        </w:tc>
        <w:tc>
          <w:tcPr>
            <w:tcW w:w="194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EMEA</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July 2012</w:t>
            </w:r>
          </w:p>
        </w:tc>
      </w:tr>
      <w:tr>
        <w:trPr>
          <w:trHeight w:val="27"/>
        </w:trPr>
        <w:tc>
          <w:tcPr>
            <w:tcW w:w="7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230"/>
        <w:spacing w:after="0" w:line="271" w:lineRule="auto"/>
        <w:rPr>
          <w:sz w:val="20"/>
          <w:szCs w:val="20"/>
          <w:color w:val="auto"/>
        </w:rPr>
      </w:pPr>
      <w:r>
        <w:rPr>
          <w:rFonts w:ascii="Arial" w:cs="Arial" w:eastAsia="Arial" w:hAnsi="Arial"/>
          <w:sz w:val="17"/>
          <w:szCs w:val="17"/>
          <w:color w:val="auto"/>
        </w:rPr>
        <w:t>Sales for the three months ended January 31, 2013 increased 1.1% to $324.2 million, compared to $320.6 million in the same period of the last fiscal year. Of the 1.1% increase in sales, organic sales decreased by 3.1%, and fluctuations in the exchange rates used to translate financial results into the United States Dollar increased sales by 0.2%. Acquisitions, net of divestitures increased sales by 4.0% during the three months ended January 31, 2013. The decrease in organic sales for the three months ended January 31, 2013, was comprised of a 0.6% increase in the Americas, and 5.0% and 7.0% declines in sales in the EMEA and Asia-Pacific segments, respectively. The net loss for the three months ended January 31, 2013, was $8.7 million, which includes a non-cash tax charge of $25.0 million due to the repatriation of cash in order to fund the PDC acquisition. The net loss for the three months ended January 31, 2012, was $90.0 million. The net loss was a result of the $115.7 million non-cash goodwill impairment charge recorded during the three months ended January 31, 2012, related to the former North/South Asia reporting unit within the Asia-Pacific reporting segment.</w:t>
      </w:r>
    </w:p>
    <w:p>
      <w:pPr>
        <w:spacing w:after="0" w:line="179" w:lineRule="exact"/>
        <w:rPr>
          <w:sz w:val="20"/>
          <w:szCs w:val="20"/>
          <w:color w:val="auto"/>
        </w:rPr>
      </w:pPr>
    </w:p>
    <w:p>
      <w:pPr>
        <w:jc w:val="both"/>
        <w:ind w:firstLine="230"/>
        <w:spacing w:after="0" w:line="293" w:lineRule="auto"/>
        <w:rPr>
          <w:sz w:val="20"/>
          <w:szCs w:val="20"/>
          <w:color w:val="auto"/>
        </w:rPr>
      </w:pPr>
      <w:r>
        <w:rPr>
          <w:rFonts w:ascii="Arial" w:cs="Arial" w:eastAsia="Arial" w:hAnsi="Arial"/>
          <w:sz w:val="16"/>
          <w:szCs w:val="16"/>
          <w:color w:val="auto"/>
        </w:rPr>
        <w:t>Sales for the six months ended January 31, 2013 decreased 1.3% to $661.8 million, compared to $670.1 million in the same period of the last fiscal year. Organic sales declined 2.5%, acquisitions net of divestitures increased sales by 2.2% and the effects of fluctuations in the exchange rates used to translate financial results into the United States dollar decreased sales by 1.0%. Net income for the six months ended January 31, 2013 was $18.5 million, which includes a non-cash tax charge of $25.0 million due to the repatriation of cash in order to fund the PDC acquisition. The net loss for the six months ended January 31, 2012 was $57.2 million. The net loss was primarily a result of the $115.7 million non-cash goodwill impairment charge recorded during the three months ended January 31, 2012, related to the former North/South Asia reporting unit within the Asia-Pacific reporting segment.</w:t>
      </w:r>
    </w:p>
    <w:p>
      <w:pPr>
        <w:spacing w:after="0" w:line="165"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Gross margin as a percentage of sales decreased to 46.3% from 47.8% for the three months and decreased to 47.5% from 47.9% for the six months ended January 31, 2013, compared to the same periods of the prior year. Excluding the non-recurring fair value adjustment to acquisition-date inventory of $1.5 million, gross margin decreased 100 basis points to 46.8% for the three months ended January 31, 2013. For both the three and six months ended January 31, 2013, the margin decline was partially due to mix as sales have declined within the Direct Marketing business platform, which is our highest margin business platform. In addition to mix, the challenging global economy has not allowed us to pass cost increases on to our customers, resulting in reduced gross margin.</w:t>
      </w:r>
    </w:p>
    <w:p>
      <w:pPr>
        <w:spacing w:after="0" w:line="153"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Research and development (“R&amp;D”) expenses decreased 14.2% to $8.6 million for the three months ended January 31, 2013, compared to $10.0 million for the same period in the prior year, and decreased 13.9% to $17.0 million for the six months ended January 31, 2012, compared to $19.8 million for the same period in the prior year. As a percentage of sales, R&amp;D expenses decreased to 2.6% from 3.1% for the three months and decreased to 2.6% from 3.0% for the six months ended January 31, 2013, compared to the same periods of the previous year, respectively. R&amp;D expenditures within the ID Solutions business platform remained consistent with the prior year, the decline in R&amp;D expenditures was due to the Die-Cut Asia business platform due to the downsizing of the Beijing facility during the second half of fiscal 2012.</w:t>
      </w:r>
    </w:p>
    <w:p>
      <w:pPr>
        <w:spacing w:after="0" w:line="193" w:lineRule="exact"/>
        <w:rPr>
          <w:sz w:val="20"/>
          <w:szCs w:val="20"/>
          <w:color w:val="auto"/>
        </w:rPr>
      </w:pPr>
    </w:p>
    <w:p>
      <w:pPr>
        <w:jc w:val="both"/>
        <w:ind w:firstLine="230"/>
        <w:spacing w:after="0" w:line="290" w:lineRule="auto"/>
        <w:rPr>
          <w:sz w:val="20"/>
          <w:szCs w:val="20"/>
          <w:color w:val="auto"/>
        </w:rPr>
      </w:pPr>
      <w:r>
        <w:rPr>
          <w:rFonts w:ascii="Arial" w:cs="Arial" w:eastAsia="Arial" w:hAnsi="Arial"/>
          <w:sz w:val="16"/>
          <w:szCs w:val="16"/>
          <w:color w:val="auto"/>
        </w:rPr>
        <w:t>Selling, general and administrative (“SG&amp;A”) expenses increased 6.8% to $112.0 million for the three months ended January 31, 2013, compared to $104.8 million for the same period in the prior year, and increased 4.7% to $223.7 million for the six months ended January 31, 2013, compared to $213.7 million for the same period in the prior year. As a percentage of sales, SG&amp;A expenses increased to 34.6% from 32.7% for the second quarter, and increased to 33.8% from 31.9% for the six months ended January 31, 2013, compared to the same periods in the prior year. The increase for the three and six months was primarily due to the addition of PDC SG&amp;A expense of $5.2 million, as well as acquisition-related expenses for PDC of $3.6 million. SG&amp;A expense for the six months ended January 31, 2013, includes the losses recognized on the sales of Brady Medical and Varitronics of $3.4 million. These increases in SG&amp;A expense were reduced by the $5.2 million gain recognized on the Thailand flood insurance claim during the three months ended January 31, 2013. The remaining increase for the three and six months related to investments to fund key growth initiatives as well as other general expense increases.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jc w:val="both"/>
        <w:ind w:firstLine="230"/>
        <w:spacing w:after="0" w:line="291" w:lineRule="auto"/>
        <w:rPr>
          <w:sz w:val="20"/>
          <w:szCs w:val="20"/>
          <w:color w:val="auto"/>
        </w:rPr>
      </w:pPr>
      <w:r>
        <w:rPr>
          <w:rFonts w:ascii="Arial" w:cs="Arial" w:eastAsia="Arial" w:hAnsi="Arial"/>
          <w:sz w:val="16"/>
          <w:szCs w:val="16"/>
          <w:color w:val="auto"/>
        </w:rPr>
        <w:t>Restructuring charges were $4.0 million for the three and six months ended January 31, 2013. These charges relate primarily to the closure of the former die-cut business headquarters in Sweden, as well as restructuring charges in the Americas in connection with the acquisition of PDC and on-going facility consolidation activities. The Company expects the annual savings from these restructuring activities to be realized during the twelve-month period following the action, and for the savings to be substantially equal to the cost incurred. The Company does not anticipate incurring additional expenses pertaining to these specific restructuring actions. On February 20, 2013, the Board of Directors of the Company approved a change in the Company's organizational structure from geographically-based to an organization structured around three global business platforms. The Company expects to incur approximately $15.0 million to $18.0 million in restructuring charges to implement the reorganization. Refer to Note N, "Subsequent Events" for further discussion.</w:t>
      </w:r>
    </w:p>
    <w:p>
      <w:pPr>
        <w:spacing w:after="0" w:line="167"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Other income remained consistent for the three months ended January 31, 2013, compared to the same period in the prior year, and increased to $1.3 million from $0.6 million for the six months ended January 31, 2013 compared to the same period in the prior year. The increase was primarily due to foreign exchange losses recorded in the prior year.</w:t>
      </w:r>
    </w:p>
    <w:p>
      <w:pPr>
        <w:spacing w:after="0" w:line="181"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Interest expense decreased to $4.4 million from $4.9 million for the three months and to $8.6 million from $10.0 million for the six months ended January 31, 2013, compared to the same periods in the prior year. The decrease was due to the Company's declining principal balance under its outstanding debt agreements, along with changes in its debt structure reducing the Company's weighted average interest rate.</w:t>
      </w:r>
    </w:p>
    <w:p>
      <w:pPr>
        <w:spacing w:after="0" w:line="181" w:lineRule="exact"/>
        <w:rPr>
          <w:sz w:val="20"/>
          <w:szCs w:val="20"/>
          <w:color w:val="auto"/>
        </w:rPr>
      </w:pPr>
    </w:p>
    <w:p>
      <w:pPr>
        <w:jc w:val="both"/>
        <w:ind w:firstLine="230"/>
        <w:spacing w:after="0" w:line="291" w:lineRule="auto"/>
        <w:rPr>
          <w:sz w:val="20"/>
          <w:szCs w:val="20"/>
          <w:color w:val="auto"/>
        </w:rPr>
      </w:pPr>
      <w:r>
        <w:rPr>
          <w:rFonts w:ascii="Arial" w:cs="Arial" w:eastAsia="Arial" w:hAnsi="Arial"/>
          <w:sz w:val="16"/>
          <w:szCs w:val="16"/>
          <w:color w:val="auto"/>
        </w:rPr>
        <w:t>The Company's effective tax rate was 139.6% for the three months, and 70.5% for the six months ended January 31, 2013. The increased tax rate was primarily driven by the non-cash tax charge of $25.0 million associated with the funding of the PDC acquisition. Excluding this tax charge, the effective tax rate was 25.6% for the three months and 30.5% for the six months ended January 31, 2013. In the same three months of the prior year, the Company recorded a non-deductible goodwill impairment charge of $115.7 million on its former North/South Asia reporting unit. Excluding the goodwill impairment charge, the effective tax rate was 25.1% for the three months and 25.2% for the six months ended January 31, 2012. On January 2, 2013, the American Taxpayer Relief Act of 2012 was enacted, which retroactively reinstated and extended various tax provisions applicable to the Company, including the Federal Research and Development Tax Credit. As a result, a discrete tax benefit of $1.8 million was recorded in the three months ended January 31, 2013.</w:t>
      </w:r>
    </w:p>
    <w:p>
      <w:pPr>
        <w:spacing w:after="0" w:line="167"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Company's net loss was $8.7 million for the three months, and net income was $18.5 million for the six months ended January 31, 2013, compared to net losses of $90.0 million and $57.2 million for the same periods in the prior year, respectively. The net loss in the three months ended January 31, 2013 was primarily due to the acquisition funding related tax charge of $25.0 million recognized in the second quarter as previously discussed. The net loss for the three and six months ended January 31, 2012 was primarily due to the goodwill impairment charge of $115.7 million recognized on the former North/South Asia reporting unit within the Asia-Pacific reporting segment.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Segment Operating Results</w:t>
      </w:r>
    </w:p>
    <w:p>
      <w:pPr>
        <w:spacing w:after="0" w:line="90"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The Company is organized and managed on a geographic basis by region. Each of these regions, Americas, EMEA and Asia-Pacific, has a President that reports directly to the Company's chief operating decision maker, its Chief Executive Officer. Each region has its own distinct operations, is managed locally by its own management team, maintains its own financial reports and is evaluated based on regional segment profit. The Company has determined that these regions comprise its operating and reportable segments based on the information used by the Chief Executive Officer to allocate resources and assess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Following is a summary of segment information for the three and six months ended January 31, 2013 and 2012:</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20" w:type="dxa"/>
            <w:vAlign w:val="bottom"/>
          </w:tcPr>
          <w:p>
            <w:pPr>
              <w:ind w:left="60"/>
              <w:spacing w:after="0"/>
              <w:rPr>
                <w:sz w:val="20"/>
                <w:szCs w:val="20"/>
                <w:color w:val="auto"/>
              </w:rPr>
            </w:pPr>
            <w:r>
              <w:rPr>
                <w:rFonts w:ascii="Arial" w:cs="Arial" w:eastAsia="Arial" w:hAnsi="Arial"/>
                <w:sz w:val="16"/>
                <w:szCs w:val="16"/>
                <w:b w:val="1"/>
                <w:bCs w:val="1"/>
                <w:color w:val="auto"/>
                <w:w w:val="95"/>
              </w:rPr>
              <w:t>Corporate and</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0"/>
        </w:trPr>
        <w:tc>
          <w:tcPr>
            <w:tcW w:w="2040" w:type="dxa"/>
            <w:vAlign w:val="bottom"/>
          </w:tcPr>
          <w:p>
            <w:pPr>
              <w:ind w:left="40"/>
              <w:spacing w:after="0"/>
              <w:rPr>
                <w:sz w:val="20"/>
                <w:szCs w:val="20"/>
                <w:color w:val="auto"/>
              </w:rPr>
            </w:pPr>
            <w:r>
              <w:rPr>
                <w:rFonts w:ascii="Arial" w:cs="Arial" w:eastAsia="Arial" w:hAnsi="Arial"/>
                <w:sz w:val="16"/>
                <w:szCs w:val="16"/>
                <w:color w:val="auto"/>
              </w:rPr>
              <w:t>(in thousands)</w:t>
            </w:r>
          </w:p>
        </w:tc>
        <w:tc>
          <w:tcPr>
            <w:tcW w:w="80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b w:val="1"/>
                <w:bCs w:val="1"/>
                <w:color w:val="auto"/>
                <w:w w:val="91"/>
              </w:rPr>
              <w:t>Americas</w:t>
            </w:r>
          </w:p>
        </w:tc>
        <w:tc>
          <w:tcPr>
            <w:tcW w:w="300" w:type="dxa"/>
            <w:vAlign w:val="bottom"/>
          </w:tcPr>
          <w:p>
            <w:pPr>
              <w:spacing w:after="0"/>
              <w:rPr>
                <w:sz w:val="18"/>
                <w:szCs w:val="18"/>
                <w:color w:val="auto"/>
              </w:rPr>
            </w:pPr>
          </w:p>
        </w:tc>
        <w:tc>
          <w:tcPr>
            <w:tcW w:w="800" w:type="dxa"/>
            <w:vAlign w:val="bottom"/>
          </w:tcPr>
          <w:p>
            <w:pPr>
              <w:jc w:val="right"/>
              <w:ind w:right="139"/>
              <w:spacing w:after="0"/>
              <w:rPr>
                <w:sz w:val="20"/>
                <w:szCs w:val="20"/>
                <w:color w:val="auto"/>
              </w:rPr>
            </w:pPr>
            <w:r>
              <w:rPr>
                <w:rFonts w:ascii="Arial" w:cs="Arial" w:eastAsia="Arial" w:hAnsi="Arial"/>
                <w:sz w:val="16"/>
                <w:szCs w:val="16"/>
                <w:b w:val="1"/>
                <w:bCs w:val="1"/>
                <w:color w:val="auto"/>
              </w:rPr>
              <w:t>EMEA</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w w:val="92"/>
              </w:rPr>
              <w:t>Asia-Pacific</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w w:val="88"/>
              </w:rPr>
              <w:t>Total Region</w:t>
            </w:r>
          </w:p>
        </w:tc>
        <w:tc>
          <w:tcPr>
            <w:tcW w:w="1120" w:type="dxa"/>
            <w:vAlign w:val="bottom"/>
          </w:tcPr>
          <w:p>
            <w:pPr>
              <w:ind w:left="140"/>
              <w:spacing w:after="0"/>
              <w:rPr>
                <w:sz w:val="20"/>
                <w:szCs w:val="20"/>
                <w:color w:val="auto"/>
              </w:rPr>
            </w:pPr>
            <w:r>
              <w:rPr>
                <w:rFonts w:ascii="Arial" w:cs="Arial" w:eastAsia="Arial" w:hAnsi="Arial"/>
                <w:sz w:val="16"/>
                <w:szCs w:val="16"/>
                <w:b w:val="1"/>
                <w:bCs w:val="1"/>
                <w:color w:val="auto"/>
              </w:rPr>
              <w:t>Eliminations</w:t>
            </w:r>
          </w:p>
        </w:tc>
        <w:tc>
          <w:tcPr>
            <w:tcW w:w="240" w:type="dxa"/>
            <w:vAlign w:val="bottom"/>
          </w:tcPr>
          <w:p>
            <w:pPr>
              <w:spacing w:after="0"/>
              <w:rPr>
                <w:sz w:val="18"/>
                <w:szCs w:val="18"/>
                <w:color w:val="auto"/>
              </w:rPr>
            </w:pPr>
          </w:p>
        </w:tc>
        <w:tc>
          <w:tcPr>
            <w:tcW w:w="880" w:type="dxa"/>
            <w:vAlign w:val="bottom"/>
          </w:tcPr>
          <w:p>
            <w:pPr>
              <w:ind w:left="140"/>
              <w:spacing w:after="0"/>
              <w:rPr>
                <w:sz w:val="20"/>
                <w:szCs w:val="20"/>
                <w:color w:val="auto"/>
              </w:rPr>
            </w:pPr>
            <w:r>
              <w:rPr>
                <w:rFonts w:ascii="Arial" w:cs="Arial" w:eastAsia="Arial" w:hAnsi="Arial"/>
                <w:sz w:val="16"/>
                <w:szCs w:val="16"/>
                <w:b w:val="1"/>
                <w:bCs w:val="1"/>
                <w:color w:val="auto"/>
              </w:rPr>
              <w:t>Total</w:t>
            </w:r>
          </w:p>
        </w:tc>
      </w:tr>
      <w:tr>
        <w:trPr>
          <w:trHeight w:val="33"/>
        </w:trPr>
        <w:tc>
          <w:tcPr>
            <w:tcW w:w="2840" w:type="dxa"/>
            <w:vAlign w:val="bottom"/>
            <w:tcBorders>
              <w:bottom w:val="single" w:sz="8" w:color="auto"/>
            </w:tcBorders>
            <w:gridSpan w:val="2"/>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5"/>
        </w:trPr>
        <w:tc>
          <w:tcPr>
            <w:tcW w:w="2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SALES TO EXTERNAL CUSTOMERS</w:t>
            </w:r>
          </w:p>
        </w:tc>
        <w:tc>
          <w:tcPr>
            <w:tcW w:w="8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17"/>
        </w:trPr>
        <w:tc>
          <w:tcPr>
            <w:tcW w:w="20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Three months ended:</w:t>
            </w:r>
          </w:p>
        </w:tc>
        <w:tc>
          <w:tcPr>
            <w:tcW w:w="8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r>
      <w:tr>
        <w:trPr>
          <w:trHeight w:val="33"/>
        </w:trPr>
        <w:tc>
          <w:tcPr>
            <w:tcW w:w="2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7"/>
        </w:trPr>
        <w:tc>
          <w:tcPr>
            <w:tcW w:w="2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January 31, 2013</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147,716</w:t>
            </w:r>
          </w:p>
        </w:tc>
        <w:tc>
          <w:tcPr>
            <w:tcW w:w="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94,395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82,071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324,182</w:t>
            </w:r>
          </w:p>
        </w:tc>
        <w:tc>
          <w:tcPr>
            <w:tcW w:w="11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324,182</w:t>
            </w:r>
          </w:p>
        </w:tc>
      </w:tr>
      <w:tr>
        <w:trPr>
          <w:trHeight w:val="224"/>
        </w:trPr>
        <w:tc>
          <w:tcPr>
            <w:tcW w:w="2040" w:type="dxa"/>
            <w:vAlign w:val="bottom"/>
          </w:tcPr>
          <w:p>
            <w:pPr>
              <w:ind w:left="40"/>
              <w:spacing w:after="0"/>
              <w:rPr>
                <w:sz w:val="20"/>
                <w:szCs w:val="20"/>
                <w:color w:val="auto"/>
              </w:rPr>
            </w:pPr>
            <w:r>
              <w:rPr>
                <w:rFonts w:ascii="Arial" w:cs="Arial" w:eastAsia="Arial" w:hAnsi="Arial"/>
                <w:sz w:val="16"/>
                <w:szCs w:val="16"/>
                <w:color w:val="auto"/>
              </w:rPr>
              <w:t>January 31, 2012</w:t>
            </w:r>
          </w:p>
        </w:tc>
        <w:tc>
          <w:tcPr>
            <w:tcW w:w="800" w:type="dxa"/>
            <w:vAlign w:val="bottom"/>
          </w:tcPr>
          <w:p>
            <w:pPr>
              <w:spacing w:after="0"/>
              <w:rPr>
                <w:sz w:val="19"/>
                <w:szCs w:val="19"/>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138,405</w:t>
            </w:r>
          </w:p>
        </w:tc>
        <w:tc>
          <w:tcPr>
            <w:tcW w:w="300" w:type="dxa"/>
            <w:vAlign w:val="bottom"/>
          </w:tcPr>
          <w:p>
            <w:pPr>
              <w:spacing w:after="0"/>
              <w:rPr>
                <w:sz w:val="19"/>
                <w:szCs w:val="19"/>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95,593</w:t>
            </w:r>
          </w:p>
        </w:tc>
        <w:tc>
          <w:tcPr>
            <w:tcW w:w="200" w:type="dxa"/>
            <w:vAlign w:val="bottom"/>
          </w:tcPr>
          <w:p>
            <w:pPr>
              <w:spacing w:after="0"/>
              <w:rPr>
                <w:sz w:val="19"/>
                <w:szCs w:val="19"/>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86,586</w:t>
            </w:r>
          </w:p>
        </w:tc>
        <w:tc>
          <w:tcPr>
            <w:tcW w:w="160" w:type="dxa"/>
            <w:vAlign w:val="bottom"/>
          </w:tcPr>
          <w:p>
            <w:pPr>
              <w:spacing w:after="0"/>
              <w:rPr>
                <w:sz w:val="19"/>
                <w:szCs w:val="19"/>
                <w:color w:val="auto"/>
              </w:rPr>
            </w:pP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320,584</w:t>
            </w:r>
          </w:p>
        </w:tc>
        <w:tc>
          <w:tcPr>
            <w:tcW w:w="1120" w:type="dxa"/>
            <w:vAlign w:val="bottom"/>
          </w:tcPr>
          <w:p>
            <w:pPr>
              <w:ind w:left="8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880" w:type="dxa"/>
            <w:vAlign w:val="bottom"/>
          </w:tcPr>
          <w:p>
            <w:pPr>
              <w:ind w:left="120"/>
              <w:spacing w:after="0"/>
              <w:rPr>
                <w:sz w:val="20"/>
                <w:szCs w:val="20"/>
                <w:color w:val="auto"/>
              </w:rPr>
            </w:pPr>
            <w:r>
              <w:rPr>
                <w:rFonts w:ascii="Arial" w:cs="Arial" w:eastAsia="Arial" w:hAnsi="Arial"/>
                <w:sz w:val="16"/>
                <w:szCs w:val="16"/>
                <w:color w:val="auto"/>
              </w:rPr>
              <w:t>320,584</w:t>
            </w:r>
          </w:p>
        </w:tc>
      </w:tr>
      <w:tr>
        <w:trPr>
          <w:trHeight w:val="33"/>
        </w:trPr>
        <w:tc>
          <w:tcPr>
            <w:tcW w:w="2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84"/>
        </w:trPr>
        <w:tc>
          <w:tcPr>
            <w:tcW w:w="20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24"/>
        </w:trPr>
        <w:tc>
          <w:tcPr>
            <w:tcW w:w="2040" w:type="dxa"/>
            <w:vAlign w:val="bottom"/>
          </w:tcPr>
          <w:p>
            <w:pPr>
              <w:ind w:left="40"/>
              <w:spacing w:after="0"/>
              <w:rPr>
                <w:sz w:val="20"/>
                <w:szCs w:val="20"/>
                <w:color w:val="auto"/>
              </w:rPr>
            </w:pPr>
            <w:r>
              <w:rPr>
                <w:rFonts w:ascii="Arial" w:cs="Arial" w:eastAsia="Arial" w:hAnsi="Arial"/>
                <w:sz w:val="16"/>
                <w:szCs w:val="16"/>
                <w:color w:val="auto"/>
              </w:rPr>
              <w:t>Six months ended:</w:t>
            </w: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33"/>
        </w:trPr>
        <w:tc>
          <w:tcPr>
            <w:tcW w:w="2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7"/>
        </w:trPr>
        <w:tc>
          <w:tcPr>
            <w:tcW w:w="2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January 31, 2013</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296,408</w:t>
            </w:r>
          </w:p>
        </w:tc>
        <w:tc>
          <w:tcPr>
            <w:tcW w:w="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187,628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177,792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661,828</w:t>
            </w:r>
          </w:p>
        </w:tc>
        <w:tc>
          <w:tcPr>
            <w:tcW w:w="11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661,828</w:t>
            </w:r>
          </w:p>
        </w:tc>
      </w:tr>
      <w:tr>
        <w:trPr>
          <w:trHeight w:val="224"/>
        </w:trPr>
        <w:tc>
          <w:tcPr>
            <w:tcW w:w="2040" w:type="dxa"/>
            <w:vAlign w:val="bottom"/>
          </w:tcPr>
          <w:p>
            <w:pPr>
              <w:ind w:left="40"/>
              <w:spacing w:after="0"/>
              <w:rPr>
                <w:sz w:val="20"/>
                <w:szCs w:val="20"/>
                <w:color w:val="auto"/>
              </w:rPr>
            </w:pPr>
            <w:r>
              <w:rPr>
                <w:rFonts w:ascii="Arial" w:cs="Arial" w:eastAsia="Arial" w:hAnsi="Arial"/>
                <w:sz w:val="16"/>
                <w:szCs w:val="16"/>
                <w:color w:val="auto"/>
              </w:rPr>
              <w:t>January 31, 2012</w:t>
            </w:r>
          </w:p>
        </w:tc>
        <w:tc>
          <w:tcPr>
            <w:tcW w:w="800" w:type="dxa"/>
            <w:vAlign w:val="bottom"/>
          </w:tcPr>
          <w:p>
            <w:pPr>
              <w:spacing w:after="0"/>
              <w:rPr>
                <w:sz w:val="19"/>
                <w:szCs w:val="19"/>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292,267</w:t>
            </w:r>
          </w:p>
        </w:tc>
        <w:tc>
          <w:tcPr>
            <w:tcW w:w="300" w:type="dxa"/>
            <w:vAlign w:val="bottom"/>
          </w:tcPr>
          <w:p>
            <w:pPr>
              <w:spacing w:after="0"/>
              <w:rPr>
                <w:sz w:val="19"/>
                <w:szCs w:val="19"/>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192,949</w:t>
            </w:r>
          </w:p>
        </w:tc>
        <w:tc>
          <w:tcPr>
            <w:tcW w:w="200" w:type="dxa"/>
            <w:vAlign w:val="bottom"/>
          </w:tcPr>
          <w:p>
            <w:pPr>
              <w:spacing w:after="0"/>
              <w:rPr>
                <w:sz w:val="19"/>
                <w:szCs w:val="19"/>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184,876</w:t>
            </w:r>
          </w:p>
        </w:tc>
        <w:tc>
          <w:tcPr>
            <w:tcW w:w="160" w:type="dxa"/>
            <w:vAlign w:val="bottom"/>
          </w:tcPr>
          <w:p>
            <w:pPr>
              <w:spacing w:after="0"/>
              <w:rPr>
                <w:sz w:val="19"/>
                <w:szCs w:val="19"/>
                <w:color w:val="auto"/>
              </w:rPr>
            </w:pP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670,092</w:t>
            </w:r>
          </w:p>
        </w:tc>
        <w:tc>
          <w:tcPr>
            <w:tcW w:w="1120" w:type="dxa"/>
            <w:vAlign w:val="bottom"/>
          </w:tcPr>
          <w:p>
            <w:pPr>
              <w:ind w:left="8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880" w:type="dxa"/>
            <w:vAlign w:val="bottom"/>
          </w:tcPr>
          <w:p>
            <w:pPr>
              <w:ind w:left="120"/>
              <w:spacing w:after="0"/>
              <w:rPr>
                <w:sz w:val="20"/>
                <w:szCs w:val="20"/>
                <w:color w:val="auto"/>
              </w:rPr>
            </w:pPr>
            <w:r>
              <w:rPr>
                <w:rFonts w:ascii="Arial" w:cs="Arial" w:eastAsia="Arial" w:hAnsi="Arial"/>
                <w:sz w:val="16"/>
                <w:szCs w:val="16"/>
                <w:color w:val="auto"/>
              </w:rPr>
              <w:t>670,092</w:t>
            </w:r>
          </w:p>
        </w:tc>
      </w:tr>
      <w:tr>
        <w:trPr>
          <w:trHeight w:val="33"/>
        </w:trPr>
        <w:tc>
          <w:tcPr>
            <w:tcW w:w="2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84"/>
        </w:trPr>
        <w:tc>
          <w:tcPr>
            <w:tcW w:w="20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bl>
    <w:p>
      <w:pPr>
        <w:spacing w:after="0" w:line="1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SALES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585724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57240" cy="171450"/>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Three months ended January 31, 2013:</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640" w:type="dxa"/>
            <w:vAlign w:val="bottom"/>
          </w:tcPr>
          <w:p>
            <w:pPr>
              <w:ind w:left="200"/>
              <w:spacing w:after="0"/>
              <w:rPr>
                <w:sz w:val="20"/>
                <w:szCs w:val="20"/>
                <w:color w:val="auto"/>
              </w:rPr>
            </w:pPr>
            <w:r>
              <w:rPr>
                <w:rFonts w:ascii="Arial" w:cs="Arial" w:eastAsia="Arial" w:hAnsi="Arial"/>
                <w:sz w:val="16"/>
                <w:szCs w:val="16"/>
                <w:color w:val="auto"/>
              </w:rPr>
              <w:t>Organic</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0.6 %</w:t>
            </w: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(7.0)%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(3.1)%</w:t>
            </w:r>
          </w:p>
        </w:tc>
        <w:tc>
          <w:tcPr>
            <w:tcW w:w="20" w:type="dxa"/>
            <w:vAlign w:val="bottom"/>
          </w:tcPr>
          <w:p>
            <w:pPr>
              <w:spacing w:after="0"/>
              <w:rPr>
                <w:sz w:val="17"/>
                <w:szCs w:val="17"/>
                <w:color w:val="auto"/>
              </w:rPr>
            </w:pPr>
          </w:p>
        </w:tc>
      </w:tr>
      <w:tr>
        <w:trPr>
          <w:trHeight w:val="33"/>
        </w:trPr>
        <w:tc>
          <w:tcPr>
            <w:tcW w:w="2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2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Currency</w:t>
            </w: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2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1.8 %</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0.2 %</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0.2 %</w:t>
            </w:r>
          </w:p>
        </w:tc>
        <w:tc>
          <w:tcPr>
            <w:tcW w:w="20" w:type="dxa"/>
            <w:vAlign w:val="bottom"/>
            <w:tcBorders>
              <w:bottom w:val="single" w:sz="8" w:color="CCEEFF"/>
            </w:tcBorders>
            <w:shd w:val="clear" w:color="auto" w:fill="CCEEFF"/>
          </w:tcPr>
          <w:p>
            <w:pPr>
              <w:spacing w:after="0"/>
              <w:rPr>
                <w:sz w:val="20"/>
                <w:szCs w:val="20"/>
                <w:color w:val="auto"/>
              </w:rPr>
            </w:pPr>
          </w:p>
        </w:tc>
      </w:tr>
      <w:tr>
        <w:trPr>
          <w:trHeight w:val="224"/>
        </w:trPr>
        <w:tc>
          <w:tcPr>
            <w:tcW w:w="2640" w:type="dxa"/>
            <w:vAlign w:val="bottom"/>
          </w:tcPr>
          <w:p>
            <w:pPr>
              <w:ind w:left="180"/>
              <w:spacing w:after="0"/>
              <w:rPr>
                <w:sz w:val="20"/>
                <w:szCs w:val="20"/>
                <w:color w:val="auto"/>
              </w:rPr>
            </w:pPr>
            <w:r>
              <w:rPr>
                <w:rFonts w:ascii="Arial" w:cs="Arial" w:eastAsia="Arial" w:hAnsi="Arial"/>
                <w:sz w:val="16"/>
                <w:szCs w:val="16"/>
                <w:color w:val="auto"/>
              </w:rPr>
              <w:t>Acquisitions/Divestitures</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6.5 %</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4.0 %</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0.0 %</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4.0 %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4.0 %</w:t>
            </w:r>
          </w:p>
        </w:tc>
        <w:tc>
          <w:tcPr>
            <w:tcW w:w="20" w:type="dxa"/>
            <w:vAlign w:val="bottom"/>
          </w:tcPr>
          <w:p>
            <w:pPr>
              <w:spacing w:after="0"/>
              <w:rPr>
                <w:sz w:val="19"/>
                <w:szCs w:val="19"/>
                <w:color w:val="auto"/>
              </w:rPr>
            </w:pPr>
          </w:p>
        </w:tc>
      </w:tr>
      <w:tr>
        <w:trPr>
          <w:trHeight w:val="33"/>
        </w:trPr>
        <w:tc>
          <w:tcPr>
            <w:tcW w:w="26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0"/>
        </w:trPr>
        <w:tc>
          <w:tcPr>
            <w:tcW w:w="2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6.7 %</w:t>
            </w:r>
          </w:p>
        </w:tc>
        <w:tc>
          <w:tcPr>
            <w:tcW w:w="2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(5.2)%</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1.1 %</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1.1 %</w:t>
            </w:r>
          </w:p>
        </w:tc>
        <w:tc>
          <w:tcPr>
            <w:tcW w:w="20" w:type="dxa"/>
            <w:vAlign w:val="bottom"/>
            <w:tcBorders>
              <w:bottom w:val="single" w:sz="8" w:color="CCEEFF"/>
            </w:tcBorders>
            <w:shd w:val="clear" w:color="auto" w:fill="CCEEFF"/>
          </w:tcPr>
          <w:p>
            <w:pPr>
              <w:spacing w:after="0"/>
              <w:rPr>
                <w:sz w:val="20"/>
                <w:szCs w:val="20"/>
                <w:color w:val="auto"/>
              </w:rPr>
            </w:pPr>
          </w:p>
        </w:tc>
      </w:tr>
      <w:tr>
        <w:trPr>
          <w:trHeight w:val="284"/>
        </w:trPr>
        <w:tc>
          <w:tcPr>
            <w:tcW w:w="2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7"/>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8"/>
              </w:rPr>
              <w:t>Six months ended January 31, 2013:</w:t>
            </w: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r>
      <w:tr>
        <w:trPr>
          <w:trHeight w:val="224"/>
        </w:trPr>
        <w:tc>
          <w:tcPr>
            <w:tcW w:w="2640" w:type="dxa"/>
            <w:vAlign w:val="bottom"/>
          </w:tcPr>
          <w:p>
            <w:pPr>
              <w:ind w:left="200"/>
              <w:spacing w:after="0"/>
              <w:rPr>
                <w:sz w:val="20"/>
                <w:szCs w:val="20"/>
                <w:color w:val="auto"/>
              </w:rPr>
            </w:pPr>
            <w:r>
              <w:rPr>
                <w:rFonts w:ascii="Arial" w:cs="Arial" w:eastAsia="Arial" w:hAnsi="Arial"/>
                <w:sz w:val="16"/>
                <w:szCs w:val="16"/>
                <w:color w:val="auto"/>
              </w:rPr>
              <w:t>Organic</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(0.1)%</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(4.6)%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w:t>
            </w:r>
          </w:p>
        </w:tc>
        <w:tc>
          <w:tcPr>
            <w:tcW w:w="20" w:type="dxa"/>
            <w:vAlign w:val="bottom"/>
          </w:tcPr>
          <w:p>
            <w:pPr>
              <w:spacing w:after="0"/>
              <w:rPr>
                <w:sz w:val="19"/>
                <w:szCs w:val="19"/>
                <w:color w:val="auto"/>
              </w:rPr>
            </w:pPr>
          </w:p>
        </w:tc>
      </w:tr>
      <w:tr>
        <w:trPr>
          <w:trHeight w:val="33"/>
        </w:trPr>
        <w:tc>
          <w:tcPr>
            <w:tcW w:w="2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2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Currency</w:t>
            </w: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2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0.8 %</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0" w:type="dxa"/>
            <w:vAlign w:val="bottom"/>
            <w:tcBorders>
              <w:bottom w:val="single" w:sz="8" w:color="CCEEFF"/>
            </w:tcBorders>
            <w:shd w:val="clear" w:color="auto" w:fill="CCEEFF"/>
          </w:tcPr>
          <w:p>
            <w:pPr>
              <w:spacing w:after="0"/>
              <w:rPr>
                <w:sz w:val="20"/>
                <w:szCs w:val="20"/>
                <w:color w:val="auto"/>
              </w:rPr>
            </w:pPr>
          </w:p>
        </w:tc>
      </w:tr>
      <w:tr>
        <w:trPr>
          <w:trHeight w:val="224"/>
        </w:trPr>
        <w:tc>
          <w:tcPr>
            <w:tcW w:w="2640" w:type="dxa"/>
            <w:vAlign w:val="bottom"/>
          </w:tcPr>
          <w:p>
            <w:pPr>
              <w:ind w:left="180"/>
              <w:spacing w:after="0"/>
              <w:rPr>
                <w:sz w:val="20"/>
                <w:szCs w:val="20"/>
                <w:color w:val="auto"/>
              </w:rPr>
            </w:pPr>
            <w:r>
              <w:rPr>
                <w:rFonts w:ascii="Arial" w:cs="Arial" w:eastAsia="Arial" w:hAnsi="Arial"/>
                <w:sz w:val="16"/>
                <w:szCs w:val="16"/>
                <w:color w:val="auto"/>
              </w:rPr>
              <w:t>Acquisitions/Divestitures</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2.3 %</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4.3 %</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 %</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2.2 %</w:t>
            </w:r>
          </w:p>
        </w:tc>
        <w:tc>
          <w:tcPr>
            <w:tcW w:w="20" w:type="dxa"/>
            <w:vAlign w:val="bottom"/>
          </w:tcPr>
          <w:p>
            <w:pPr>
              <w:spacing w:after="0"/>
              <w:rPr>
                <w:sz w:val="19"/>
                <w:szCs w:val="19"/>
                <w:color w:val="auto"/>
              </w:rPr>
            </w:pPr>
          </w:p>
        </w:tc>
      </w:tr>
      <w:tr>
        <w:trPr>
          <w:trHeight w:val="33"/>
        </w:trPr>
        <w:tc>
          <w:tcPr>
            <w:tcW w:w="26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0"/>
        </w:trPr>
        <w:tc>
          <w:tcPr>
            <w:tcW w:w="2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2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(3.8)%</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0" w:type="dxa"/>
            <w:vAlign w:val="bottom"/>
            <w:tcBorders>
              <w:bottom w:val="single" w:sz="8" w:color="CCEEFF"/>
            </w:tcBorders>
            <w:shd w:val="clear" w:color="auto" w:fill="CCEEFF"/>
          </w:tcPr>
          <w:p>
            <w:pPr>
              <w:spacing w:after="0"/>
              <w:rPr>
                <w:sz w:val="20"/>
                <w:szCs w:val="20"/>
                <w:color w:val="auto"/>
              </w:rPr>
            </w:pPr>
          </w:p>
        </w:tc>
      </w:tr>
      <w:tr>
        <w:trPr>
          <w:trHeight w:val="284"/>
        </w:trPr>
        <w:tc>
          <w:tcPr>
            <w:tcW w:w="2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2"/>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SEGMENT PROFIT</w:t>
            </w: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r>
      <w:tr>
        <w:trPr>
          <w:trHeight w:val="217"/>
        </w:trPr>
        <w:tc>
          <w:tcPr>
            <w:tcW w:w="26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Three months ended:</w:t>
            </w: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r>
      <w:tr>
        <w:trPr>
          <w:trHeight w:val="33"/>
        </w:trPr>
        <w:tc>
          <w:tcPr>
            <w:tcW w:w="2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January 31, 2013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32,336</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23,723</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5,514</w:t>
            </w:r>
          </w:p>
        </w:tc>
        <w:tc>
          <w:tcPr>
            <w:tcW w:w="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61,573</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(1,794)</w:t>
            </w:r>
          </w:p>
        </w:tc>
        <w:tc>
          <w:tcPr>
            <w:tcW w:w="2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59,779</w:t>
            </w:r>
          </w:p>
        </w:tc>
        <w:tc>
          <w:tcPr>
            <w:tcW w:w="20" w:type="dxa"/>
            <w:vAlign w:val="bottom"/>
            <w:tcBorders>
              <w:bottom w:val="single" w:sz="8" w:color="CCEEFF"/>
            </w:tcBorders>
            <w:shd w:val="clear" w:color="auto" w:fill="CCEEFF"/>
          </w:tcPr>
          <w:p>
            <w:pPr>
              <w:spacing w:after="0"/>
              <w:rPr>
                <w:sz w:val="20"/>
                <w:szCs w:val="20"/>
                <w:color w:val="auto"/>
              </w:rPr>
            </w:pPr>
          </w:p>
        </w:tc>
      </w:tr>
      <w:tr>
        <w:trPr>
          <w:trHeight w:val="224"/>
        </w:trPr>
        <w:tc>
          <w:tcPr>
            <w:tcW w:w="2640" w:type="dxa"/>
            <w:vAlign w:val="bottom"/>
          </w:tcPr>
          <w:p>
            <w:pPr>
              <w:ind w:left="40"/>
              <w:spacing w:after="0"/>
              <w:rPr>
                <w:sz w:val="20"/>
                <w:szCs w:val="20"/>
                <w:color w:val="auto"/>
              </w:rPr>
            </w:pPr>
            <w:r>
              <w:rPr>
                <w:rFonts w:ascii="Arial" w:cs="Arial" w:eastAsia="Arial" w:hAnsi="Arial"/>
                <w:sz w:val="16"/>
                <w:szCs w:val="16"/>
                <w:color w:val="auto"/>
              </w:rPr>
              <w:t>January 31, 2012</w:t>
            </w:r>
          </w:p>
        </w:tc>
        <w:tc>
          <w:tcPr>
            <w:tcW w:w="140" w:type="dxa"/>
            <w:vAlign w:val="bottom"/>
          </w:tcPr>
          <w:p>
            <w:pPr>
              <w:spacing w:after="0"/>
              <w:rPr>
                <w:sz w:val="19"/>
                <w:szCs w:val="19"/>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35,798</w:t>
            </w:r>
          </w:p>
        </w:tc>
        <w:tc>
          <w:tcPr>
            <w:tcW w:w="260" w:type="dxa"/>
            <w:vAlign w:val="bottom"/>
          </w:tcPr>
          <w:p>
            <w:pPr>
              <w:spacing w:after="0"/>
              <w:rPr>
                <w:sz w:val="19"/>
                <w:szCs w:val="19"/>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26,562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7,733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ind w:right="99"/>
              <w:spacing w:after="0"/>
              <w:rPr>
                <w:sz w:val="20"/>
                <w:szCs w:val="20"/>
                <w:color w:val="auto"/>
              </w:rPr>
            </w:pPr>
            <w:r>
              <w:rPr>
                <w:rFonts w:ascii="Arial" w:cs="Arial" w:eastAsia="Arial" w:hAnsi="Arial"/>
                <w:sz w:val="16"/>
                <w:szCs w:val="16"/>
                <w:color w:val="auto"/>
              </w:rPr>
              <w:t>70,093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(2,359)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67,734</w:t>
            </w:r>
          </w:p>
        </w:tc>
        <w:tc>
          <w:tcPr>
            <w:tcW w:w="20" w:type="dxa"/>
            <w:vAlign w:val="bottom"/>
          </w:tcPr>
          <w:p>
            <w:pPr>
              <w:spacing w:after="0"/>
              <w:rPr>
                <w:sz w:val="19"/>
                <w:szCs w:val="19"/>
                <w:color w:val="auto"/>
              </w:rPr>
            </w:pPr>
          </w:p>
        </w:tc>
      </w:tr>
      <w:tr>
        <w:trPr>
          <w:trHeight w:val="33"/>
        </w:trPr>
        <w:tc>
          <w:tcPr>
            <w:tcW w:w="2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i w:val="1"/>
                <w:iCs w:val="1"/>
                <w:color w:val="auto"/>
              </w:rPr>
              <w:t>Percentage change</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(28.7)%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84"/>
        </w:trPr>
        <w:tc>
          <w:tcPr>
            <w:tcW w:w="2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7"/>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Six months ended:</w:t>
            </w: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r>
      <w:tr>
        <w:trPr>
          <w:trHeight w:val="224"/>
        </w:trPr>
        <w:tc>
          <w:tcPr>
            <w:tcW w:w="2640" w:type="dxa"/>
            <w:vAlign w:val="bottom"/>
          </w:tcPr>
          <w:p>
            <w:pPr>
              <w:ind w:left="40"/>
              <w:spacing w:after="0"/>
              <w:rPr>
                <w:sz w:val="20"/>
                <w:szCs w:val="20"/>
                <w:color w:val="auto"/>
              </w:rPr>
            </w:pPr>
            <w:r>
              <w:rPr>
                <w:rFonts w:ascii="Arial" w:cs="Arial" w:eastAsia="Arial" w:hAnsi="Arial"/>
                <w:sz w:val="16"/>
                <w:szCs w:val="16"/>
                <w:color w:val="auto"/>
              </w:rPr>
              <w:t>January 31, 2013</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76,969</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47,290</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17,569</w:t>
            </w:r>
          </w:p>
        </w:tc>
        <w:tc>
          <w:tcPr>
            <w:tcW w:w="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99"/>
              <w:spacing w:after="0"/>
              <w:rPr>
                <w:sz w:val="20"/>
                <w:szCs w:val="20"/>
                <w:color w:val="auto"/>
              </w:rPr>
            </w:pPr>
            <w:r>
              <w:rPr>
                <w:rFonts w:ascii="Arial" w:cs="Arial" w:eastAsia="Arial" w:hAnsi="Arial"/>
                <w:sz w:val="16"/>
                <w:szCs w:val="16"/>
                <w:color w:val="auto"/>
              </w:rPr>
              <w:t>141,828</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(3,767)</w:t>
            </w:r>
          </w:p>
        </w:tc>
        <w:tc>
          <w:tcPr>
            <w:tcW w:w="220" w:type="dxa"/>
            <w:vAlign w:val="bottom"/>
            <w:gridSpan w:val="2"/>
          </w:tcPr>
          <w:p>
            <w:pPr>
              <w:jc w:val="center"/>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138,061</w:t>
            </w:r>
          </w:p>
        </w:tc>
        <w:tc>
          <w:tcPr>
            <w:tcW w:w="20" w:type="dxa"/>
            <w:vAlign w:val="bottom"/>
          </w:tcPr>
          <w:p>
            <w:pPr>
              <w:spacing w:after="0"/>
              <w:rPr>
                <w:sz w:val="19"/>
                <w:szCs w:val="19"/>
                <w:color w:val="auto"/>
              </w:rPr>
            </w:pPr>
          </w:p>
        </w:tc>
      </w:tr>
      <w:tr>
        <w:trPr>
          <w:trHeight w:val="33"/>
        </w:trPr>
        <w:tc>
          <w:tcPr>
            <w:tcW w:w="2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January 31, 2012</w:t>
            </w: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79,028</w:t>
            </w:r>
          </w:p>
        </w:tc>
        <w:tc>
          <w:tcPr>
            <w:tcW w:w="2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52,861</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21,037</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152,926</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(5,622)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147,304</w:t>
            </w:r>
          </w:p>
        </w:tc>
        <w:tc>
          <w:tcPr>
            <w:tcW w:w="20" w:type="dxa"/>
            <w:vAlign w:val="bottom"/>
            <w:tcBorders>
              <w:bottom w:val="single" w:sz="8" w:color="CCEEFF"/>
            </w:tcBorders>
            <w:shd w:val="clear" w:color="auto" w:fill="CCEEFF"/>
          </w:tcPr>
          <w:p>
            <w:pPr>
              <w:spacing w:after="0"/>
              <w:rPr>
                <w:sz w:val="20"/>
                <w:szCs w:val="20"/>
                <w:color w:val="auto"/>
              </w:rPr>
            </w:pPr>
          </w:p>
        </w:tc>
      </w:tr>
      <w:tr>
        <w:trPr>
          <w:trHeight w:val="237"/>
        </w:trPr>
        <w:tc>
          <w:tcPr>
            <w:tcW w:w="2640" w:type="dxa"/>
            <w:vAlign w:val="bottom"/>
          </w:tcPr>
          <w:p>
            <w:pPr>
              <w:ind w:left="280"/>
              <w:spacing w:after="0"/>
              <w:rPr>
                <w:sz w:val="20"/>
                <w:szCs w:val="20"/>
                <w:color w:val="auto"/>
              </w:rPr>
            </w:pPr>
            <w:r>
              <w:rPr>
                <w:rFonts w:ascii="Arial" w:cs="Arial" w:eastAsia="Arial" w:hAnsi="Arial"/>
                <w:sz w:val="16"/>
                <w:szCs w:val="16"/>
                <w:i w:val="1"/>
                <w:iCs w:val="1"/>
                <w:color w:val="auto"/>
              </w:rPr>
              <w:t>Percentage change</w:t>
            </w: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w:t>
            </w: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(16.5)%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(6.3)%</w:t>
            </w:r>
          </w:p>
        </w:tc>
        <w:tc>
          <w:tcPr>
            <w:tcW w:w="20" w:type="dxa"/>
            <w:vAlign w:val="bottom"/>
          </w:tcPr>
          <w:p>
            <w:pPr>
              <w:spacing w:after="0"/>
              <w:rPr>
                <w:sz w:val="20"/>
                <w:szCs w:val="20"/>
                <w:color w:val="auto"/>
              </w:rPr>
            </w:pPr>
          </w:p>
        </w:tc>
      </w:tr>
      <w:tr>
        <w:trPr>
          <w:trHeight w:val="473"/>
        </w:trPr>
        <w:tc>
          <w:tcPr>
            <w:tcW w:w="2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20" w:type="dxa"/>
            <w:vAlign w:val="bottom"/>
            <w:gridSpan w:val="10"/>
          </w:tcPr>
          <w:p>
            <w:pPr>
              <w:jc w:val="right"/>
              <w:ind w:right="519"/>
              <w:spacing w:after="0"/>
              <w:rPr>
                <w:sz w:val="20"/>
                <w:szCs w:val="20"/>
                <w:color w:val="auto"/>
              </w:rPr>
            </w:pPr>
            <w:r>
              <w:rPr>
                <w:rFonts w:ascii="Arial" w:cs="Arial" w:eastAsia="Arial" w:hAnsi="Arial"/>
                <w:sz w:val="16"/>
                <w:szCs w:val="16"/>
                <w:b w:val="1"/>
                <w:bCs w:val="1"/>
                <w:color w:val="auto"/>
              </w:rPr>
              <w:t>NET INCOME RECONCILIATION (in thousands)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
        </w:trPr>
        <w:tc>
          <w:tcPr>
            <w:tcW w:w="26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4"/>
          </w:tcPr>
          <w:p>
            <w:pPr>
              <w:spacing w:after="0"/>
              <w:rPr>
                <w:sz w:val="2"/>
                <w:szCs w:val="2"/>
                <w:color w:val="auto"/>
              </w:rPr>
            </w:pPr>
          </w:p>
        </w:tc>
        <w:tc>
          <w:tcPr>
            <w:tcW w:w="20" w:type="dxa"/>
            <w:vAlign w:val="bottom"/>
          </w:tcPr>
          <w:p>
            <w:pPr>
              <w:spacing w:after="0"/>
              <w:rPr>
                <w:sz w:val="2"/>
                <w:szCs w:val="2"/>
                <w:color w:val="auto"/>
              </w:rPr>
            </w:pPr>
          </w:p>
        </w:tc>
      </w:tr>
      <w:tr>
        <w:trPr>
          <w:trHeight w:val="231"/>
        </w:trPr>
        <w:tc>
          <w:tcPr>
            <w:tcW w:w="2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80" w:type="dxa"/>
            <w:vAlign w:val="bottom"/>
            <w:gridSpan w:val="5"/>
          </w:tcPr>
          <w:p>
            <w:pPr>
              <w:jc w:val="right"/>
              <w:ind w:right="279"/>
              <w:spacing w:after="0"/>
              <w:rPr>
                <w:sz w:val="20"/>
                <w:szCs w:val="20"/>
                <w:color w:val="auto"/>
              </w:rPr>
            </w:pPr>
            <w:r>
              <w:rPr>
                <w:rFonts w:ascii="Arial" w:cs="Arial" w:eastAsia="Arial" w:hAnsi="Arial"/>
                <w:sz w:val="16"/>
                <w:szCs w:val="16"/>
                <w:color w:val="auto"/>
              </w:rPr>
              <w:t>Three months ended: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gridSpan w:val="5"/>
          </w:tcPr>
          <w:p>
            <w:pPr>
              <w:jc w:val="center"/>
              <w:ind w:right="100"/>
              <w:spacing w:after="0"/>
              <w:rPr>
                <w:sz w:val="20"/>
                <w:szCs w:val="20"/>
                <w:color w:val="auto"/>
              </w:rPr>
            </w:pPr>
            <w:r>
              <w:rPr>
                <w:rFonts w:ascii="Arial" w:cs="Arial" w:eastAsia="Arial" w:hAnsi="Arial"/>
                <w:sz w:val="16"/>
                <w:szCs w:val="16"/>
                <w:color w:val="auto"/>
                <w:w w:val="90"/>
              </w:rPr>
              <w:t>Six months ended:</w:t>
            </w:r>
          </w:p>
        </w:tc>
      </w:tr>
      <w:tr>
        <w:trPr>
          <w:trHeight w:val="33"/>
        </w:trPr>
        <w:tc>
          <w:tcPr>
            <w:tcW w:w="2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13"/>
        </w:trPr>
        <w:tc>
          <w:tcPr>
            <w:tcW w:w="2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w w:val="86"/>
              </w:rPr>
              <w:t>January 31,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w w:val="88"/>
              </w:rPr>
              <w:t>January 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w w:val="88"/>
              </w:rPr>
              <w:t>January 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20"/>
              <w:spacing w:after="0"/>
              <w:rPr>
                <w:sz w:val="20"/>
                <w:szCs w:val="20"/>
                <w:color w:val="auto"/>
              </w:rPr>
            </w:pPr>
            <w:r>
              <w:rPr>
                <w:rFonts w:ascii="Arial" w:cs="Arial" w:eastAsia="Arial" w:hAnsi="Arial"/>
                <w:sz w:val="16"/>
                <w:szCs w:val="16"/>
                <w:color w:val="auto"/>
              </w:rPr>
              <w:t>January 31,</w:t>
            </w:r>
          </w:p>
        </w:tc>
      </w:tr>
      <w:tr>
        <w:trPr>
          <w:trHeight w:val="206"/>
        </w:trPr>
        <w:tc>
          <w:tcPr>
            <w:tcW w:w="2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ind w:right="239"/>
              <w:spacing w:after="0"/>
              <w:rPr>
                <w:sz w:val="20"/>
                <w:szCs w:val="20"/>
                <w:color w:val="auto"/>
              </w:rPr>
            </w:pPr>
            <w:r>
              <w:rPr>
                <w:rFonts w:ascii="Arial" w:cs="Arial" w:eastAsia="Arial" w:hAnsi="Arial"/>
                <w:sz w:val="16"/>
                <w:szCs w:val="16"/>
                <w:color w:val="auto"/>
              </w:rPr>
              <w:t>2013</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259"/>
              <w:spacing w:after="0"/>
              <w:rPr>
                <w:sz w:val="20"/>
                <w:szCs w:val="20"/>
                <w:color w:val="auto"/>
              </w:rPr>
            </w:pPr>
            <w:r>
              <w:rPr>
                <w:rFonts w:ascii="Arial" w:cs="Arial" w:eastAsia="Arial" w:hAnsi="Arial"/>
                <w:sz w:val="16"/>
                <w:szCs w:val="16"/>
                <w:color w:val="auto"/>
              </w:rPr>
              <w:t>2012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259"/>
              <w:spacing w:after="0"/>
              <w:rPr>
                <w:sz w:val="20"/>
                <w:szCs w:val="20"/>
                <w:color w:val="auto"/>
              </w:rPr>
            </w:pPr>
            <w:r>
              <w:rPr>
                <w:rFonts w:ascii="Arial" w:cs="Arial" w:eastAsia="Arial" w:hAnsi="Arial"/>
                <w:sz w:val="16"/>
                <w:szCs w:val="16"/>
                <w:color w:val="auto"/>
              </w:rPr>
              <w:t>2013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259"/>
              <w:spacing w:after="0"/>
              <w:rPr>
                <w:sz w:val="20"/>
                <w:szCs w:val="20"/>
                <w:color w:val="auto"/>
              </w:rPr>
            </w:pPr>
            <w:r>
              <w:rPr>
                <w:rFonts w:ascii="Arial" w:cs="Arial" w:eastAsia="Arial" w:hAnsi="Arial"/>
                <w:sz w:val="16"/>
                <w:szCs w:val="16"/>
                <w:color w:val="auto"/>
              </w:rPr>
              <w:t>2012</w:t>
            </w:r>
          </w:p>
        </w:tc>
        <w:tc>
          <w:tcPr>
            <w:tcW w:w="20" w:type="dxa"/>
            <w:vAlign w:val="bottom"/>
          </w:tcPr>
          <w:p>
            <w:pPr>
              <w:spacing w:after="0"/>
              <w:rPr>
                <w:sz w:val="17"/>
                <w:szCs w:val="17"/>
                <w:color w:val="auto"/>
              </w:rPr>
            </w:pPr>
          </w:p>
        </w:tc>
      </w:tr>
      <w:tr>
        <w:trPr>
          <w:trHeight w:val="33"/>
        </w:trPr>
        <w:tc>
          <w:tcPr>
            <w:tcW w:w="26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profit for reportable segments</w:t>
            </w: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61,573</w:t>
            </w:r>
          </w:p>
        </w:tc>
        <w:tc>
          <w:tcPr>
            <w:tcW w:w="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70,093</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141,828</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152,926</w:t>
            </w:r>
          </w:p>
        </w:tc>
        <w:tc>
          <w:tcPr>
            <w:tcW w:w="20" w:type="dxa"/>
            <w:vAlign w:val="bottom"/>
          </w:tcPr>
          <w:p>
            <w:pPr>
              <w:spacing w:after="0"/>
              <w:rPr>
                <w:sz w:val="20"/>
                <w:szCs w:val="20"/>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Corporate and eliminations</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(1,794)</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(2,359)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(3,767)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(5,622)</w:t>
            </w:r>
          </w:p>
        </w:tc>
        <w:tc>
          <w:tcPr>
            <w:tcW w:w="20" w:type="dxa"/>
            <w:vAlign w:val="bottom"/>
          </w:tcPr>
          <w:p>
            <w:pPr>
              <w:spacing w:after="0"/>
              <w:rPr>
                <w:sz w:val="20"/>
                <w:szCs w:val="20"/>
                <w:color w:val="auto"/>
              </w:rPr>
            </w:pPr>
          </w:p>
        </w:tc>
      </w:tr>
      <w:tr>
        <w:trPr>
          <w:trHeight w:val="33"/>
        </w:trPr>
        <w:tc>
          <w:tcPr>
            <w:tcW w:w="2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Unallocated amounts:</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2640" w:type="dxa"/>
            <w:vAlign w:val="bottom"/>
          </w:tcPr>
          <w:p>
            <w:pPr>
              <w:ind w:left="180"/>
              <w:spacing w:after="0"/>
              <w:rPr>
                <w:sz w:val="20"/>
                <w:szCs w:val="20"/>
                <w:color w:val="auto"/>
              </w:rPr>
            </w:pPr>
            <w:r>
              <w:rPr>
                <w:rFonts w:ascii="Arial" w:cs="Arial" w:eastAsia="Arial" w:hAnsi="Arial"/>
                <w:sz w:val="16"/>
                <w:szCs w:val="16"/>
                <w:color w:val="auto"/>
              </w:rPr>
              <w:t>Administrative costs</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(35,518)</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(29,244)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(65,926)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(59,724)</w:t>
            </w:r>
          </w:p>
        </w:tc>
        <w:tc>
          <w:tcPr>
            <w:tcW w:w="20" w:type="dxa"/>
            <w:vAlign w:val="bottom"/>
          </w:tcPr>
          <w:p>
            <w:pPr>
              <w:spacing w:after="0"/>
              <w:rPr>
                <w:sz w:val="20"/>
                <w:szCs w:val="20"/>
                <w:color w:val="auto"/>
              </w:rPr>
            </w:pPr>
          </w:p>
        </w:tc>
      </w:tr>
      <w:tr>
        <w:trPr>
          <w:trHeight w:val="33"/>
        </w:trPr>
        <w:tc>
          <w:tcPr>
            <w:tcW w:w="2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gridSpan w:val="2"/>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Restructuring charges</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(4,031)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(4,031)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r>
      <w:tr>
        <w:trPr>
          <w:trHeight w:val="237"/>
        </w:trPr>
        <w:tc>
          <w:tcPr>
            <w:tcW w:w="2640" w:type="dxa"/>
            <w:vAlign w:val="bottom"/>
          </w:tcPr>
          <w:p>
            <w:pPr>
              <w:ind w:left="200"/>
              <w:spacing w:after="0"/>
              <w:rPr>
                <w:sz w:val="20"/>
                <w:szCs w:val="20"/>
                <w:color w:val="auto"/>
              </w:rPr>
            </w:pPr>
            <w:r>
              <w:rPr>
                <w:rFonts w:ascii="Arial" w:cs="Arial" w:eastAsia="Arial" w:hAnsi="Arial"/>
                <w:sz w:val="16"/>
                <w:szCs w:val="16"/>
                <w:color w:val="auto"/>
              </w:rPr>
              <w:t>Impairment charge</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(115,688)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(115,688)</w:t>
            </w:r>
          </w:p>
        </w:tc>
        <w:tc>
          <w:tcPr>
            <w:tcW w:w="20" w:type="dxa"/>
            <w:vAlign w:val="bottom"/>
          </w:tcPr>
          <w:p>
            <w:pPr>
              <w:spacing w:after="0"/>
              <w:rPr>
                <w:sz w:val="20"/>
                <w:szCs w:val="20"/>
                <w:color w:val="auto"/>
              </w:rPr>
            </w:pPr>
          </w:p>
        </w:tc>
      </w:tr>
      <w:tr>
        <w:trPr>
          <w:trHeight w:val="33"/>
        </w:trPr>
        <w:tc>
          <w:tcPr>
            <w:tcW w:w="2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gridSpan w:val="2"/>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Non-routine items</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5,220</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1,782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r>
      <w:tr>
        <w:trPr>
          <w:trHeight w:val="237"/>
        </w:trPr>
        <w:tc>
          <w:tcPr>
            <w:tcW w:w="2640" w:type="dxa"/>
            <w:vAlign w:val="bottom"/>
          </w:tcPr>
          <w:p>
            <w:pPr>
              <w:ind w:left="200"/>
              <w:spacing w:after="0"/>
              <w:rPr>
                <w:sz w:val="20"/>
                <w:szCs w:val="20"/>
                <w:color w:val="auto"/>
              </w:rPr>
            </w:pPr>
            <w:r>
              <w:rPr>
                <w:rFonts w:ascii="Arial" w:cs="Arial" w:eastAsia="Arial" w:hAnsi="Arial"/>
                <w:sz w:val="16"/>
                <w:szCs w:val="16"/>
                <w:color w:val="auto"/>
              </w:rPr>
              <w:t>Investment and other income</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897</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812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1,294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610</w:t>
            </w:r>
          </w:p>
        </w:tc>
        <w:tc>
          <w:tcPr>
            <w:tcW w:w="20" w:type="dxa"/>
            <w:vAlign w:val="bottom"/>
          </w:tcPr>
          <w:p>
            <w:pPr>
              <w:spacing w:after="0"/>
              <w:rPr>
                <w:sz w:val="20"/>
                <w:szCs w:val="20"/>
                <w:color w:val="auto"/>
              </w:rPr>
            </w:pPr>
          </w:p>
        </w:tc>
      </w:tr>
      <w:tr>
        <w:trPr>
          <w:trHeight w:val="33"/>
        </w:trPr>
        <w:tc>
          <w:tcPr>
            <w:tcW w:w="2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2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Interest expense</w:t>
            </w: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(4,406)</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(4,933)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(8,569)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(9,980)</w:t>
            </w:r>
          </w:p>
        </w:tc>
        <w:tc>
          <w:tcPr>
            <w:tcW w:w="20" w:type="dxa"/>
            <w:vAlign w:val="bottom"/>
          </w:tcPr>
          <w:p>
            <w:pPr>
              <w:spacing w:after="0"/>
              <w:rPr>
                <w:sz w:val="23"/>
                <w:szCs w:val="23"/>
                <w:color w:val="auto"/>
              </w:rPr>
            </w:pPr>
          </w:p>
        </w:tc>
      </w:tr>
      <w:tr>
        <w:trPr>
          <w:trHeight w:val="217"/>
        </w:trPr>
        <w:tc>
          <w:tcPr>
            <w:tcW w:w="2640" w:type="dxa"/>
            <w:vAlign w:val="bottom"/>
          </w:tcPr>
          <w:p>
            <w:pPr>
              <w:ind w:left="40"/>
              <w:spacing w:after="0"/>
              <w:rPr>
                <w:sz w:val="20"/>
                <w:szCs w:val="20"/>
                <w:color w:val="auto"/>
              </w:rPr>
            </w:pPr>
            <w:r>
              <w:rPr>
                <w:rFonts w:ascii="Arial" w:cs="Arial" w:eastAsia="Arial" w:hAnsi="Arial"/>
                <w:sz w:val="16"/>
                <w:szCs w:val="16"/>
                <w:color w:val="auto"/>
              </w:rPr>
              <w:t>Income (loss) before income taxes</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21,941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(81,319)</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62,611</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(37,478)</w:t>
            </w:r>
          </w:p>
        </w:tc>
        <w:tc>
          <w:tcPr>
            <w:tcW w:w="20" w:type="dxa"/>
            <w:vAlign w:val="bottom"/>
          </w:tcPr>
          <w:p>
            <w:pPr>
              <w:spacing w:after="0"/>
              <w:rPr>
                <w:sz w:val="18"/>
                <w:szCs w:val="18"/>
                <w:color w:val="auto"/>
              </w:rPr>
            </w:pPr>
          </w:p>
        </w:tc>
      </w:tr>
      <w:tr>
        <w:trPr>
          <w:trHeight w:val="33"/>
        </w:trPr>
        <w:tc>
          <w:tcPr>
            <w:tcW w:w="2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taxes</w:t>
            </w: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(30,625)</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(8,635)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(44,107)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(19,744)</w:t>
            </w:r>
          </w:p>
        </w:tc>
        <w:tc>
          <w:tcPr>
            <w:tcW w:w="20" w:type="dxa"/>
            <w:vAlign w:val="bottom"/>
          </w:tcPr>
          <w:p>
            <w:pPr>
              <w:spacing w:after="0"/>
              <w:rPr>
                <w:sz w:val="23"/>
                <w:szCs w:val="23"/>
                <w:color w:val="auto"/>
              </w:rPr>
            </w:pPr>
          </w:p>
        </w:tc>
      </w:tr>
      <w:tr>
        <w:trPr>
          <w:trHeight w:val="244"/>
        </w:trPr>
        <w:tc>
          <w:tcPr>
            <w:tcW w:w="2640" w:type="dxa"/>
            <w:vAlign w:val="bottom"/>
          </w:tcPr>
          <w:p>
            <w:pPr>
              <w:ind w:left="320"/>
              <w:spacing w:after="0"/>
              <w:rPr>
                <w:sz w:val="20"/>
                <w:szCs w:val="20"/>
                <w:color w:val="auto"/>
              </w:rPr>
            </w:pPr>
            <w:r>
              <w:rPr>
                <w:rFonts w:ascii="Arial" w:cs="Arial" w:eastAsia="Arial" w:hAnsi="Arial"/>
                <w:sz w:val="16"/>
                <w:szCs w:val="16"/>
                <w:color w:val="auto"/>
              </w:rPr>
              <w:t>Net (loss) income</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(8,684)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(89,954)</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18,504</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(57,222)</w:t>
            </w:r>
          </w:p>
        </w:tc>
        <w:tc>
          <w:tcPr>
            <w:tcW w:w="20" w:type="dxa"/>
            <w:vAlign w:val="bottom"/>
          </w:tcPr>
          <w:p>
            <w:pPr>
              <w:spacing w:after="0"/>
              <w:rPr>
                <w:sz w:val="21"/>
                <w:szCs w:val="21"/>
                <w:color w:val="auto"/>
              </w:rPr>
            </w:pPr>
          </w:p>
        </w:tc>
      </w:tr>
      <w:tr>
        <w:trPr>
          <w:trHeight w:val="20"/>
        </w:trPr>
        <w:tc>
          <w:tcPr>
            <w:tcW w:w="2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121" w:right="1440" w:bottom="1440" w:gutter="0" w:footer="0" w:header="0"/>
        </w:sectPr>
      </w:pPr>
    </w:p>
    <w:p>
      <w:pPr>
        <w:spacing w:after="0" w:line="29"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0219"/>
          </w:cols>
          <w:pgMar w:left="240" w:top="121" w:right="1440" w:bottom="1440" w:gutter="0" w:footer="0" w:header="0"/>
          <w:type w:val="continuous"/>
        </w:sectPr>
      </w:pPr>
    </w:p>
    <w:bookmarkStart w:id="23" w:name="page24"/>
    <w:bookmarkEnd w:id="2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The Company evaluates short-term segment performance based on segment profit or loss and customer sales. Segment profit or loss does not include certain administrative costs, such as the cost of finance, information technology, human resources, and executive leadership, which are managed as global functions. Restructuring charges, impairment charges, equity compensation costs, interest expense, investment and other income and income taxes are also excluded when evaluating performance.</w:t>
      </w:r>
    </w:p>
    <w:p>
      <w:pPr>
        <w:spacing w:after="0" w:line="18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Company considers a reporting unit's fair value to be substantially in excess of its carrying value at 20% or greater. All reporting units had a fair value substantially in excess of carrying value at the fiscal 2012 annual goodwill impairment assessment date, however, the two reporting units with the least amount of fair value excess over carrying value are Direct Marketing Americas and Die-Cut Asia. No triggering events have occurred since this date that would require an interim test for impairment.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Americas:</w:t>
      </w:r>
    </w:p>
    <w:p>
      <w:pPr>
        <w:spacing w:after="0" w:line="225"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Americas sales increased 6.7% to $147.7 million for the three months and 1.4% to $296.4 million for the six months ended January 31, 2013, compared to $138.4 million and $292.3 million, respectively, for the same periods in the prior year. Organic sales increased 0.6% and declined 0.1% during the three and six months, respectively, as compared to the same periods in the prior year. Fluctuations in the exchange rates used to translate financial results into the United States dollar resulted in a negative impact on sales of 0.4% in the three months, and 0.8% in the six-month period. The acquisition of PDC in the second quarter, net of the divestitures of the Brady Medical and Varitronics businesses increased sales by 6.5% in the three-month period and 2.3% in the six-month period.</w:t>
      </w:r>
    </w:p>
    <w:p>
      <w:pPr>
        <w:spacing w:after="0" w:line="193"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color w:val="auto"/>
        </w:rPr>
        <w:t>Organic growth of 0.6% for the three months and the 0.1% decline for the six months was mainly the result of growth in the North American ID Solutions business offset by declines in the direct marketing business.</w:t>
      </w:r>
    </w:p>
    <w:p>
      <w:pPr>
        <w:spacing w:after="0" w:line="170" w:lineRule="exact"/>
        <w:rPr>
          <w:sz w:val="20"/>
          <w:szCs w:val="20"/>
          <w:color w:val="auto"/>
        </w:rPr>
      </w:pPr>
    </w:p>
    <w:p>
      <w:pPr>
        <w:jc w:val="both"/>
        <w:ind w:firstLine="230"/>
        <w:spacing w:after="0" w:line="272" w:lineRule="auto"/>
        <w:rPr>
          <w:sz w:val="20"/>
          <w:szCs w:val="20"/>
          <w:color w:val="auto"/>
        </w:rPr>
      </w:pPr>
      <w:r>
        <w:rPr>
          <w:rFonts w:ascii="Arial" w:cs="Arial" w:eastAsia="Arial" w:hAnsi="Arial"/>
          <w:sz w:val="17"/>
          <w:szCs w:val="17"/>
          <w:color w:val="auto"/>
        </w:rPr>
        <w:t>In the second quarter, the ID Solutions and People ID business in North America had organic growth of between 4% and 5%. Contributing to this growth was the recent launch of 13,000 new safety and facility ID products, strong growth with coated materials, internet sales including those to Amazon, and our services business supporting our customer's equipment safety requirements needs by creating and maintaining lockout procedures and providing specialized signs, tags and lock-out products. The ID Solutions business in Brazil was softer than anticipated as the overall economy was worse than expected, particularly impacting our OEM business to automotive customers. Our MRO business in Brazil continues to grow, but this growth has not been enough to offset declines in sales to OEM customers. We see strong long-term growth potential in Brazil and as a result have committed to improved capacity and efficiency as evidenced by the installation of the first of two state of the art printing capabilities in Sao Paulo.</w:t>
      </w:r>
    </w:p>
    <w:p>
      <w:pPr>
        <w:spacing w:after="0" w:line="178" w:lineRule="exact"/>
        <w:rPr>
          <w:sz w:val="20"/>
          <w:szCs w:val="20"/>
          <w:color w:val="auto"/>
        </w:rPr>
      </w:pPr>
    </w:p>
    <w:p>
      <w:pPr>
        <w:jc w:val="both"/>
        <w:ind w:firstLine="230"/>
        <w:spacing w:after="0" w:line="279" w:lineRule="auto"/>
        <w:rPr>
          <w:sz w:val="20"/>
          <w:szCs w:val="20"/>
          <w:color w:val="auto"/>
        </w:rPr>
      </w:pPr>
      <w:r>
        <w:rPr>
          <w:rFonts w:ascii="Arial" w:cs="Arial" w:eastAsia="Arial" w:hAnsi="Arial"/>
          <w:sz w:val="17"/>
          <w:szCs w:val="17"/>
          <w:color w:val="auto"/>
        </w:rPr>
        <w:t>In the second quarter, the Americas direct marketing business was down as the growth in business conducted over the web has only partially offset the decline from our traditional catalog business. We continue to see a migration of customer buying habits from mail to the web. Our strategy is focused on growing our sales and customer base through a multi-channel sales model: digital, direct mail and outbound telesales, while also providing customers an ultimate buying experience, on and offline. We are particularly focused on improving customer traffic and conversion on our websites.</w:t>
      </w:r>
    </w:p>
    <w:p>
      <w:pPr>
        <w:spacing w:after="0" w:line="171" w:lineRule="exact"/>
        <w:rPr>
          <w:sz w:val="20"/>
          <w:szCs w:val="20"/>
          <w:color w:val="auto"/>
        </w:rPr>
      </w:pPr>
    </w:p>
    <w:p>
      <w:pPr>
        <w:jc w:val="both"/>
        <w:ind w:firstLine="230"/>
        <w:spacing w:after="0" w:line="271" w:lineRule="auto"/>
        <w:rPr>
          <w:sz w:val="20"/>
          <w:szCs w:val="20"/>
          <w:color w:val="auto"/>
        </w:rPr>
      </w:pPr>
      <w:r>
        <w:rPr>
          <w:rFonts w:ascii="Arial" w:cs="Arial" w:eastAsia="Arial" w:hAnsi="Arial"/>
          <w:sz w:val="17"/>
          <w:szCs w:val="17"/>
          <w:color w:val="auto"/>
        </w:rPr>
        <w:t>Segment profit decreased 9.7% to $32.3 million from $35.8 million for the three months and decreased 2.6% to $77.0 million from $79.0 million for the six months ended January 31, 2013, compared to the same periods in the prior year. As a percentage of sales, segment profit decreased to 21.9% from 25.9% for the three months and decreased to 26.0% from 27.0% for the six months ended January 31, 2013. The profit decline for the quarter relates to both business platforms. The ID solutions business platform profit decline was primarily due to the acquisition of PDC, which included a $1.5 million non-recurring expense related to a purchase accounting adjustment for inventory valuation. In addition, the prior year quarter was positively impacted by decreased distributor and marketing expenses, resulting in a difficult comparable for the current three months ended January 31, 2013. Finally, the segment profit decline was also due to the sales shortfall in Brazil. The decline in the Direct Marketing platform's segment profit was primarily due to its sales decline. On a year to date basis, the decline is mainly attributed to the direct marketing business as sales declined.</w:t>
      </w:r>
    </w:p>
    <w:p>
      <w:pPr>
        <w:spacing w:after="0" w:line="179" w:lineRule="exact"/>
        <w:rPr>
          <w:sz w:val="20"/>
          <w:szCs w:val="20"/>
          <w:color w:val="auto"/>
        </w:rPr>
      </w:pPr>
    </w:p>
    <w:p>
      <w:pPr>
        <w:jc w:val="both"/>
        <w:ind w:firstLine="230"/>
        <w:spacing w:after="0" w:line="271" w:lineRule="auto"/>
        <w:rPr>
          <w:sz w:val="20"/>
          <w:szCs w:val="20"/>
          <w:color w:val="auto"/>
        </w:rPr>
      </w:pPr>
      <w:r>
        <w:rPr>
          <w:rFonts w:ascii="Arial" w:cs="Arial" w:eastAsia="Arial" w:hAnsi="Arial"/>
          <w:sz w:val="17"/>
          <w:szCs w:val="17"/>
          <w:color w:val="auto"/>
        </w:rPr>
        <w:t>The Company has identified six reporting units within its three reporting segments for purposes of the annual goodwill impairment analysis. The Americas reporting segment has two reporting units: Brady Americas and Direct Marketing Americas. The sales decline and the segment profit decrease within the Americas region is primarily related to the Direct Marketing Americas reporting unit. The Company last completed its annual impairment testing of goodwill in the fourth quarter of fiscal 2012. The methodologies for valuing goodwill are applied consistently on a year-over-year basis, and the assumptions used in performing the 2012 impairment calculations were evaluated in light of market and business conditions. The Company continues to believe that the discounted cash flow model and market multiples model provide a reasonable and meaningful fair value estimate based upon the reporting units' projections of future operating results and cash flows and replicates how market participants would value the Company's reporting units. The projections of future operating results are based on both past performance and the projections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and assumptions used in the Company's current and long-range operating plans. The Company's estimates could be materially impacted if the direct marketing strategy discussed above is unsuccessful.</w:t>
      </w:r>
    </w:p>
    <w:p>
      <w:pPr>
        <w:spacing w:after="0" w:line="170"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The Direct Marketing Americas reporting unit had goodwill of $183.1 million as of January 31, 2013. This reporting unit has experienced a decline in sales for the last four quarters primarily due to reduced sales generated from catalogs as customers move to the internet. Although our sales in ecommerce have increased, the shift is not sufficient to entirely compensate for the lost sales. The Company is addressing this via investments in digital capabilities and focused emphasis on growing the customer base, and we anticipate returning to single digit sales growth over the next several years. The annual goodwill impairment analysis performed as of May 1, 2012, resulted in a significant cushion. However, if management concluded that the current trend of declining sales was not temporary, this reporting unit could face the risk of a material goodwill impairment charge, which may adversely affect earnings in the period in which the charge is recorded.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w:t>
      </w:r>
    </w:p>
    <w:p>
      <w:pPr>
        <w:spacing w:after="0" w:line="225"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Europe sales decreased 1.3% to $94.4 million for the three months and 2.8% to $187.6 million for the six months ended January 31, 2013, compared to $95.6 million and $192.9 million for the same periods in the prior year. Organic sales decreased 5.0% and 4.1% for the three and six-month period, respectively, compared to the same periods in the prior year. Fluctuations in the exchange rates used to translate financial results into the United States dollar resulted in a negative impact on sales of 0.3% and 3.0% for the three and six-month period, respectively, compared to the same periods in the prior year. The fiscal 2012 acquisitions of Grafo, Pervaco and Runelandhs, net of the divestiture of the Etimark business in the fourth quarter of fiscal 2012, increased sales by 4.0% and 4.3% for the three and six-month periods, respectively, compared to the same periods in the prior year.</w:t>
      </w:r>
    </w:p>
    <w:p>
      <w:pPr>
        <w:spacing w:after="0" w:line="165" w:lineRule="exact"/>
        <w:rPr>
          <w:sz w:val="20"/>
          <w:szCs w:val="20"/>
          <w:color w:val="auto"/>
        </w:rPr>
      </w:pPr>
    </w:p>
    <w:p>
      <w:pPr>
        <w:jc w:val="both"/>
        <w:ind w:right="20" w:firstLine="243"/>
        <w:spacing w:after="0" w:line="286" w:lineRule="auto"/>
        <w:rPr>
          <w:sz w:val="20"/>
          <w:szCs w:val="20"/>
          <w:color w:val="auto"/>
        </w:rPr>
      </w:pPr>
      <w:r>
        <w:rPr>
          <w:rFonts w:ascii="Arial" w:cs="Arial" w:eastAsia="Arial" w:hAnsi="Arial"/>
          <w:sz w:val="17"/>
          <w:szCs w:val="17"/>
          <w:color w:val="auto"/>
        </w:rPr>
        <w:t>The decrease in organic sales of 5.0% and 4.1% for the three and six months ended January 31, 2013, was primarily due to continued difficult economic circumstances in the European economy. The decline in the direct marketing business remains consistent with the prior quarter, while the ID solutions sales decline lessened due to double digit growth in the emerging economies in EMEA including South Africa, the Middle East, and Turkey.</w:t>
      </w:r>
    </w:p>
    <w:p>
      <w:pPr>
        <w:spacing w:after="0" w:line="166"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the second quarter, our direct marketing business with its heavy concentration of sales in the EU saw organic sales decline in all European countries with the largest declines in the UK. These results continue to show the impact of difficult economic conditions. Most European economies have slipped back into recession and on a combined GDP basis, the EU is still below 2008 levels. Our ID solutions business fared better with a modest decline over the prior year benefiting from our focus on emerging geographies. ID Solutions sales in South Africa, the Middle East and Turkey were particularly strong, posting double digit growth in the quarter. Their overall size remains insufficient to offset the declines in Western Europe, yet we are encouraged by the strong results and momentum.</w:t>
      </w:r>
    </w:p>
    <w:p>
      <w:pPr>
        <w:spacing w:after="0" w:line="193" w:lineRule="exact"/>
        <w:rPr>
          <w:sz w:val="20"/>
          <w:szCs w:val="20"/>
          <w:color w:val="auto"/>
        </w:rPr>
      </w:pPr>
    </w:p>
    <w:p>
      <w:pPr>
        <w:jc w:val="both"/>
        <w:ind w:firstLine="230"/>
        <w:spacing w:after="0" w:line="273" w:lineRule="auto"/>
        <w:rPr>
          <w:sz w:val="20"/>
          <w:szCs w:val="20"/>
          <w:color w:val="auto"/>
        </w:rPr>
      </w:pPr>
      <w:r>
        <w:rPr>
          <w:rFonts w:ascii="Arial" w:cs="Arial" w:eastAsia="Arial" w:hAnsi="Arial"/>
          <w:sz w:val="17"/>
          <w:szCs w:val="17"/>
          <w:color w:val="auto"/>
        </w:rPr>
        <w:t>Segment profit decreased 10.7% to $23.7 million from $26.6 million for the three months, and decreased 10.5% to $47.3 million from $52.9 million for the six months ended January 31, 2013, compared to the same periods in the prior year. As a percentage of sales, segment profit decreased to 25.1% from 27.8% for the three months and decreased to 25.2% from 27.4% for the six months ended January 31, 2013, compared to the same periods in the prior year. The segment profit decrease for the three and six months was primarily a result of the decline in organic sales in addition to the sales mix. The direct marketing business platform has higher gross margins, and organic sales declined 6% for the six months ended January 31, 2013. In the ID solutions platform, the profit decline was due to both the sales decline, and also increased investment in new geographies.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Asia-Pacific:</w:t>
      </w:r>
    </w:p>
    <w:p>
      <w:pPr>
        <w:spacing w:after="0" w:line="225" w:lineRule="exact"/>
        <w:rPr>
          <w:sz w:val="20"/>
          <w:szCs w:val="20"/>
          <w:color w:val="auto"/>
        </w:rPr>
      </w:pPr>
    </w:p>
    <w:p>
      <w:pPr>
        <w:jc w:val="both"/>
        <w:ind w:firstLine="230"/>
        <w:spacing w:after="0" w:line="279" w:lineRule="auto"/>
        <w:rPr>
          <w:sz w:val="20"/>
          <w:szCs w:val="20"/>
          <w:color w:val="auto"/>
        </w:rPr>
      </w:pPr>
      <w:r>
        <w:rPr>
          <w:rFonts w:ascii="Arial" w:cs="Arial" w:eastAsia="Arial" w:hAnsi="Arial"/>
          <w:sz w:val="17"/>
          <w:szCs w:val="17"/>
          <w:color w:val="auto"/>
        </w:rPr>
        <w:t>Asia-Pacific sales decreased 5.2% to $82.1 million from $86.6 million for the three months, and decreased 3.8% to $177.8 million from $184.9 million for the six months ended January 31, 2013, compared to the same periods in the prior year. Organic sales decreased 7.0% in the three months and decreased 4.6% for the six-month period, compared to the same periods in the prior year. Fluctuations in the exchange rates used to translate financial results into the U.S. dollar increased sales within the segment by 1.8% for the three months and 0.8% for the six-month period ended January 31, 2013.</w:t>
      </w:r>
    </w:p>
    <w:p>
      <w:pPr>
        <w:spacing w:after="0" w:line="17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decrease in organic sales of 7.0% for the three months ended January 31, 2013, was primarily due to the continued weakness in the Australian economy, which began in the fourth quarter of fiscal 2012. There continues to be uncertainty in Australia around the short-term outlook for the economy, and we anticipate continued softness through the remainder of the fiscal year as there does not appear to be a catalyst on the horizon that will result in any level of economic expansion outside of the mining industry.</w:t>
      </w:r>
    </w:p>
    <w:p>
      <w:pPr>
        <w:spacing w:after="0" w:line="187"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addition, the organic sales decline was partially due to the mobile handset business, which faced a tough comparison with last year due to some large projects that were discontinued in fiscal 2012. We also experienced a sales decline with one of our major customers as they are currently switching models. The net result of these factors was that our business declined slightly.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mobile handset business is operating as planned, and we anticipate the second half of fiscal 2013 to show modest growth as we expect to maintain our current programs.</w:t>
      </w:r>
    </w:p>
    <w:p>
      <w:pPr>
        <w:spacing w:after="0" w:line="170"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The hard disk drive business in Thailand had a slight increase in sales; however, we were expecting a larger increase as last year's second quarter was negatively impacted from the flooding in Thailand. The under-performance in this business is a direct result of decreased global demand for certain hard disk drives as well as a decrease in allocation as the hard disk drive manufacturers rebalance their sourcing allocations while other vendors ramp-up production following the flooding last year. We expect this softness in our disk drive business to continue throughout the rest of fiscal 2013.</w:t>
      </w:r>
    </w:p>
    <w:p>
      <w:pPr>
        <w:spacing w:after="0" w:line="171" w:lineRule="exact"/>
        <w:rPr>
          <w:sz w:val="20"/>
          <w:szCs w:val="20"/>
          <w:color w:val="auto"/>
        </w:rPr>
      </w:pPr>
    </w:p>
    <w:p>
      <w:pPr>
        <w:jc w:val="both"/>
        <w:ind w:right="20" w:firstLine="243"/>
        <w:spacing w:after="0" w:line="286" w:lineRule="auto"/>
        <w:rPr>
          <w:sz w:val="20"/>
          <w:szCs w:val="20"/>
          <w:color w:val="auto"/>
        </w:rPr>
      </w:pPr>
      <w:r>
        <w:rPr>
          <w:rFonts w:ascii="Arial" w:cs="Arial" w:eastAsia="Arial" w:hAnsi="Arial"/>
          <w:sz w:val="17"/>
          <w:szCs w:val="17"/>
          <w:color w:val="auto"/>
        </w:rPr>
        <w:t>Segment profit decreased 28.7%, from $7.7 million to $5.5 million for the three months, and decreased 16.5%, from $21.0 million to $17.6 million for the six months ended January 31, 2013, compared to the same periods in the prior year. As a percentage of sales, segment profit decreased to 6.7% from 8.9% in the three months, and decreased to 9.9% from 11.4% for the six-month period, compared to the same periods in the prior year.</w:t>
      </w:r>
    </w:p>
    <w:p>
      <w:pPr>
        <w:spacing w:after="0" w:line="166"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The decline in segment profit for the three and six months was mainly due to Australia. Australia is our most profitable business in the region and the reduced sales coupled with onetime costs as we moved into a new facility in Australia account for the majority of the profit decline for the region. We are also seeing the benefits of the restructuring actions taken last year to split the die-cut businesses from the rest of Asia, as our mobile handset results for the quarter have improved on a reduced sales base. This was offset by a decline in profit in Thailand, mainly due to inefficiencies resulting from our temporary facility. We are in the process of moving to our permanent location following the flooding that occurred during fiscal 2012. R&amp;D has declined as expected due to the downsizing of our die-cut facility in Beijing at the end of last fiscal year. This has been offset by other initiative spending to drive growth in the ID Solutions business in Asia.</w:t>
      </w:r>
    </w:p>
    <w:p>
      <w:pPr>
        <w:spacing w:after="0" w:line="189"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The Company has identified six reporting units within its three reporting segments for purposes of the annual goodwill impairment analysis. The Asia-Pacific reporting segment has two reporting units: ID Solutions Asia and Die-Cut Asia. The Company last completed its annual impairment testing of goodwill in the fourth quarter of fiscal 2012. The methodologies for valuing goodwill are applied consistently on a year-over-year basis, and the assumptions used in performing the 2012 impairment calculations were evaluated in light of market and business conditions. The Company continues to believe that the discounted cash flow model and market multiples model provide a reasonable and meaningful fair value estimate based upon the reporting units' projections of future operating results and cash flows, and replicates how market participants would value the Company's reporting units. The projections of future operating results are based on both past performance and the projections and assumptions used in the Company's current and long-range operating plans. The Company's estimates could be materially impacted if the efforts taken around the die-cut business discussed above are unsuccessful.</w:t>
      </w:r>
    </w:p>
    <w:p>
      <w:pPr>
        <w:spacing w:after="0" w:line="166"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The Die-Cut Asia reporting unit had goodwill of $25.3 million as of January 31, 2013. Organic sales declined during the three months ended January 31, 2013, compared to the same period in the prior year, primarily due to a decline in the hard disk drive business in Thailand and the mobile handset business. Management has enhanced its focus on the reporting unit as a result of the fiscal 2012 reorganization, and the operating results have improved on a year-over-year basis. We are experiencing the benefits of restructuring actions taken during fiscal 2012 to segregate the Die-Cut component from the remainder of Asia, and our Die-Cut profit has improved on a reduced sales base. The annual goodwill impairment analysis performed as of May 1, 2012 resulted in a significant cushion. However, if management concluded that the current trend of declining sales was not temporary, this reporting unit could face the risk of a material goodwill impairment charge, which may adversely affect earnings in the period in which the charge is recorded.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Condition</w:t>
      </w:r>
    </w:p>
    <w:p>
      <w:pPr>
        <w:spacing w:after="0" w:line="225"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Cash and cash equivalents were $141.3 million at January 31, 2013, a decrease of $164.6 million compared to $305.9 million at July 31, 2012. The decline in the second quarter was $177.0 million, which was primarily due to the acquisition of PDC.</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80" w:type="dxa"/>
            <w:vAlign w:val="bottom"/>
            <w:gridSpan w:val="4"/>
          </w:tcPr>
          <w:p>
            <w:pPr>
              <w:jc w:val="right"/>
              <w:ind w:right="199"/>
              <w:spacing w:after="0"/>
              <w:rPr>
                <w:sz w:val="20"/>
                <w:szCs w:val="20"/>
                <w:color w:val="auto"/>
              </w:rPr>
            </w:pPr>
            <w:r>
              <w:rPr>
                <w:rFonts w:ascii="Arial" w:cs="Arial" w:eastAsia="Arial" w:hAnsi="Arial"/>
                <w:sz w:val="16"/>
                <w:szCs w:val="16"/>
                <w:b w:val="1"/>
                <w:bCs w:val="1"/>
                <w:color w:val="auto"/>
                <w:w w:val="94"/>
              </w:rPr>
              <w:t>Six months ended January 31,</w:t>
            </w:r>
          </w:p>
        </w:tc>
      </w:tr>
      <w:tr>
        <w:trPr>
          <w:trHeight w:val="33"/>
        </w:trPr>
        <w:tc>
          <w:tcPr>
            <w:tcW w:w="65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1"/>
        </w:trPr>
        <w:tc>
          <w:tcPr>
            <w:tcW w:w="6540" w:type="dxa"/>
            <w:vAlign w:val="bottom"/>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220" w:type="dxa"/>
            <w:vAlign w:val="bottom"/>
          </w:tcPr>
          <w:p>
            <w:pPr>
              <w:spacing w:after="0"/>
              <w:rPr>
                <w:sz w:val="20"/>
                <w:szCs w:val="20"/>
                <w:color w:val="auto"/>
              </w:rPr>
            </w:pPr>
          </w:p>
        </w:tc>
        <w:tc>
          <w:tcPr>
            <w:tcW w:w="1080" w:type="dxa"/>
            <w:vAlign w:val="bottom"/>
          </w:tcPr>
          <w:p>
            <w:pPr>
              <w:jc w:val="right"/>
              <w:ind w:right="399"/>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2012</w:t>
            </w:r>
          </w:p>
        </w:tc>
      </w:tr>
      <w:tr>
        <w:trPr>
          <w:trHeight w:val="33"/>
        </w:trPr>
        <w:tc>
          <w:tcPr>
            <w:tcW w:w="6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4"/>
        </w:trPr>
        <w:tc>
          <w:tcPr>
            <w:tcW w:w="6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flow provided by (used in):</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60"/>
        </w:trPr>
        <w:tc>
          <w:tcPr>
            <w:tcW w:w="654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r>
      <w:tr>
        <w:trPr>
          <w:trHeight w:val="237"/>
        </w:trPr>
        <w:tc>
          <w:tcPr>
            <w:tcW w:w="6540" w:type="dxa"/>
            <w:vAlign w:val="bottom"/>
          </w:tcPr>
          <w:p>
            <w:pPr>
              <w:ind w:left="380"/>
              <w:spacing w:after="0"/>
              <w:rPr>
                <w:sz w:val="20"/>
                <w:szCs w:val="20"/>
                <w:color w:val="auto"/>
              </w:rPr>
            </w:pPr>
            <w:r>
              <w:rPr>
                <w:rFonts w:ascii="Arial" w:cs="Arial" w:eastAsia="Arial" w:hAnsi="Arial"/>
                <w:sz w:val="16"/>
                <w:szCs w:val="16"/>
                <w:color w:val="auto"/>
              </w:rPr>
              <w:t>Operating activities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44,194</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43,301</w:t>
            </w:r>
          </w:p>
        </w:tc>
      </w:tr>
      <w:tr>
        <w:trPr>
          <w:trHeight w:val="33"/>
        </w:trPr>
        <w:tc>
          <w:tcPr>
            <w:tcW w:w="6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(306,795)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(14,605)</w:t>
            </w:r>
          </w:p>
        </w:tc>
      </w:tr>
      <w:tr>
        <w:trPr>
          <w:trHeight w:val="237"/>
        </w:trPr>
        <w:tc>
          <w:tcPr>
            <w:tcW w:w="6540" w:type="dxa"/>
            <w:vAlign w:val="bottom"/>
          </w:tcPr>
          <w:p>
            <w:pPr>
              <w:ind w:left="380"/>
              <w:spacing w:after="0"/>
              <w:rPr>
                <w:sz w:val="20"/>
                <w:szCs w:val="20"/>
                <w:color w:val="auto"/>
              </w:rPr>
            </w:pPr>
            <w:r>
              <w:rPr>
                <w:rFonts w:ascii="Arial" w:cs="Arial" w:eastAsia="Arial" w:hAnsi="Arial"/>
                <w:sz w:val="16"/>
                <w:szCs w:val="16"/>
                <w:color w:val="auto"/>
              </w:rPr>
              <w:t>Financing activities</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88,590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(28,894)</w:t>
            </w:r>
          </w:p>
        </w:tc>
      </w:tr>
      <w:tr>
        <w:trPr>
          <w:trHeight w:val="33"/>
        </w:trPr>
        <w:tc>
          <w:tcPr>
            <w:tcW w:w="6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Effect of exchange rate changes on cash</w:t>
            </w: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9,422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(9,442)</w:t>
            </w:r>
          </w:p>
        </w:tc>
      </w:tr>
      <w:tr>
        <w:trPr>
          <w:trHeight w:val="217"/>
        </w:trPr>
        <w:tc>
          <w:tcPr>
            <w:tcW w:w="6540" w:type="dxa"/>
            <w:vAlign w:val="bottom"/>
          </w:tcPr>
          <w:p>
            <w:pPr>
              <w:ind w:left="40"/>
              <w:spacing w:after="0"/>
              <w:rPr>
                <w:sz w:val="20"/>
                <w:szCs w:val="20"/>
                <w:color w:val="auto"/>
              </w:rPr>
            </w:pPr>
            <w:r>
              <w:rPr>
                <w:rFonts w:ascii="Arial" w:cs="Arial" w:eastAsia="Arial" w:hAnsi="Arial"/>
                <w:sz w:val="16"/>
                <w:szCs w:val="16"/>
                <w:color w:val="auto"/>
              </w:rPr>
              <w:t>Net decrease in cash and cash equivalents</w:t>
            </w: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(164,589)</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(9,640)</w:t>
            </w:r>
          </w:p>
        </w:tc>
      </w:tr>
      <w:tr>
        <w:trPr>
          <w:trHeight w:val="33"/>
        </w:trPr>
        <w:tc>
          <w:tcPr>
            <w:tcW w:w="65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6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Net cash provided by operating activities was $44.2 million during the six months ended January 31, 2013, compared to $43.3 million during the same period in the prior year. Cash flows from operating activities are generated primarily from operating income and managing the components of working capital. Cash flows from operations were relatively consistent with the prior year. Unfavorable cash flows from accounts receivable were primarily driven by the Thailand insurance settlement receivable recognized as of January 31, 2013, which was received in early February. In addition, cash flows from accounts receivable were impacted by positive organic sales growth in the month of January as compared to the decline in the quarter. Although organic sales for the three and six months have declined, organic sales grew in the month of January which resulted in unfavorable cash flows from accounts receivable for the six months ended January 31, 2013 compared to the same period in the prior year. This was offset by an improvement in accounts payable compared to the prior year, which was primarily driven by working capital management initiatives during fiscal 2013.</w:t>
      </w:r>
    </w:p>
    <w:p>
      <w:pPr>
        <w:spacing w:after="0" w:line="17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Net cash used in investing activities was $306.8 million during the six months ended January 31, 2013, compared to net cash used in investing activities of $14.6 million during the same period in the prior year. The increase in cash used in investing activities of $292.2 million was primarily due to the purchase of PDC in the second quarter of fiscal 2013 for $300.8 million, and the sales of the Brady Medical and Varitronics businesses in the first quarter of fiscal 2013, which provided $10.2 million in cash flows.</w:t>
      </w:r>
    </w:p>
    <w:p>
      <w:pPr>
        <w:spacing w:after="0" w:line="18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Net cash provided by financing activities was $88.6 million during the six months ended January 31, 2013, compared to net cash used in financing activities of $28.9 million during the same period in the prior year. The increase in cash provided by financing activities of $117.5 million was primarily due to a net draw on the Company's credit revolver of $107.5 million and a decline in the repurchase of common shares of $7.2 million as compared to the same period of the prior year.</w:t>
      </w:r>
    </w:p>
    <w:p>
      <w:pPr>
        <w:spacing w:after="0" w:line="187" w:lineRule="exact"/>
        <w:rPr>
          <w:sz w:val="20"/>
          <w:szCs w:val="20"/>
          <w:color w:val="auto"/>
        </w:rPr>
      </w:pPr>
    </w:p>
    <w:p>
      <w:pPr>
        <w:jc w:val="both"/>
        <w:ind w:firstLine="230"/>
        <w:spacing w:after="0" w:line="273" w:lineRule="auto"/>
        <w:rPr>
          <w:sz w:val="20"/>
          <w:szCs w:val="20"/>
          <w:color w:val="auto"/>
        </w:rPr>
      </w:pPr>
      <w:r>
        <w:rPr>
          <w:rFonts w:ascii="Arial" w:cs="Arial" w:eastAsia="Arial" w:hAnsi="Arial"/>
          <w:sz w:val="17"/>
          <w:szCs w:val="17"/>
          <w:color w:val="auto"/>
        </w:rPr>
        <w:t>During fiscal 2004 through fiscal 2007, the Company completed three private placement note issuances totaling $500 million in ten-year fixed rate notes with varying maturity dates to institutional investors at interest rates varying from 5.14% to 5.33%. The notes must be repaid equally over seven years, with initial payment due dates ranging from 2008 to 2011, with interest payable on the notes due semiannually on various dates throughout the year, which began in December 2004. The private placements were exempt from the registration requirements of the Securities Act of 1933. The notes were not registered for resale and may not be resold absent such registration or an applicable exemption from the registration requirements of the Securities Act of 1933 and applicable state securities laws. The notes have certain prepayment penalties for repaying them prior to the maturity date.</w:t>
      </w:r>
    </w:p>
    <w:p>
      <w:pPr>
        <w:spacing w:after="0" w:line="17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On May 13, 2010, the Company completed a private placement of €75.0 million aggregate principal amount of senior unsecured notes to accredited institutional investors. The €75.0 million of senior notes consists of €30.0 million aggregate principal amount of 3.71% Series 2010-A Senior Notes, due May 13, 2017 and €45.0 million aggregate principal amount of 4.24% Series 2010-A Senior Notes, due May 13, 2020, with interest payable on the notes semiannually. This private placement was exempt from the registration requirements of the Securities Act of 1933. The notes were not registered for resale and may not be resold absent such registration or an applicable exemption from the registration requirements of the Securities Act of 1933 and applicable state securities laws. The notes have certain prepayment penalties for prepaying them prior to maturity. The notes have been fully and unconditionally guaranteed on an unsecured basis by the Company's domestic subsidiaries. These unsecured notes were issued pursuant to a note purchase agreement, dated May 13, 2010.</w:t>
      </w:r>
    </w:p>
    <w:p>
      <w:pPr>
        <w:spacing w:after="0" w:line="19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On February 1, 2012, the Company and certain of its subsidiaries entered into an unsecured $300 million multi-currency revolving loan agreement with a group of six banks that replaced and terminated the Company's previous credit agreement that had been entered into on October 5, 2006, and amended on March 18, 2008. Under the revolving loan agreement, which has a final maturity date of February 1, 2017, the Company has the option to select either a base interest rate (based upon the higher of</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federal funds rate plus one-half of 1% or the prime rate of Bank of America plus a margin based upon the Company's consolidated leverage ratio) or a Eurocurrency interest rate (at the LIBOR rate plus a margin based on the Company's consolidated leverage ratio). At the Company's option, and subject to certain conditions, the available amount under the revolving loan agreement may be increased from $300 million up to $450 million.</w:t>
      </w:r>
    </w:p>
    <w:p>
      <w:pPr>
        <w:spacing w:after="0" w:line="111"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On December 27, 2012, the Company drew down $220 million from its revolving loan agreement to fund a portion of the purchase price of the acquisition of PDC. The borrowings bear interest at LIBOR plus 1.125% per annum, which will be reset from time to time based upon changes in the LIBOR rate. Prior to January 31, 2013, the Company repaid approximately $112 million of the borrowing with cash on hand. The borrowing is classified as "Notes Payable" within current liabilities on the condensed consolidated balance sheets as the Company intends to repay the borrowing within 12 months. During the three months ended January 31, 2013, the largest amount outstanding on the revolving loan agreement was $220 million. As of January 31, 2013, the outstanding balance on the revolving loan agreement was $112 million and there was $188 million available for future borrowing, which can be increased to $338 million at the Company's option, subject to certain conditions.</w:t>
      </w:r>
    </w:p>
    <w:p>
      <w:pPr>
        <w:spacing w:after="0" w:line="189"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The Company's debt and revolving loan agreements require it to maintain certain financial covenants. The Company's June 2004, February 2006, March 2007, and May 2010 private placement debt agreements require the Company to maintain a ratio of debt to the trailing twelve months EBITDA, as defined in the debt agreements, of not more than a 3.5 to 1.0 ratio (leverage ratio). The revolving loan agreement dated February 1, 2012, requires the Company to maintain a ratio of debt to trailing twelve months EBITDA, as defined by the debt agreement, of not more than a 3.25 to 1.0 ratio. The agreement requires the Company's trailing twelve months earnings before interest and taxes (“EBIT”) to interest expense of not less than a 3.0 to 1.0 ratio (interest expense coverage). As of January 31, 2013, the Company was in compliance with the financial covenants of the debt and revolving loan agreements, with the ratio of debt to EBITDA, as defined by the agreement, equal to 1.9 to 1.0 and the interest expense coverage ratio equal to 8.7 to 1.0.</w:t>
      </w:r>
    </w:p>
    <w:p>
      <w:pPr>
        <w:spacing w:after="0" w:line="167"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Long-term obligations as a percentage of long-term obligations plus stockholders' investment were 20.3% at January 31, 2013 and 20.2% at July 31, 2012. Long-term obligations increased by $9.5 million from July 31, 2012 to January 31, 2013 due to the negative impact of foreign currency translation on the Company's Euro-denominated debt.</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Stockholders' investment increased $28.5 million during the six months ended January 31, 2013, mainly due to the positive effects of foreign currency translation of $28.1 million and six-month net income of $18.5 million, offset by dividend payments of $19.5 million.</w:t>
      </w:r>
    </w:p>
    <w:p>
      <w:pPr>
        <w:spacing w:after="0" w:line="170"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The Company's cash balances are generated and held in numerous locations throughout the world. At January 31, 2013 and July 31, 2012, approximately 88% and 78% of the Company's cash and cash equivalents were held outside the United States, respectively. The Company's growth has historically been funded by a combination of cash provided by operating activities and debt financing. The Company believes that its cash flow from operating activities, in addition to its borrowing capacity, are sufficient to fund its anticipated requirements for working capital, capital expenditures, restructuring activities, acquisitions, common stock repurchases, scheduled debt repayments, and dividend payments. During the three months ended January 31, 2013, the Company's cash needs required the repatriation of cash to the United States from foreign jurisdictions, which resulted in a $25.0 million non-cash tax charge recognized during the three months ended January 31, 2013. The Company believes that its current credit arrangements are sound and that the strength of its balance sheet will allow financial flexibility to respond to both internal growth opportunities and those available through acquisition. However, future cash needs could require the Company to repatriate additional cash to the U.S. from foreign jurisdictions, which could result in material tax charges recognized in the period in which the transactions occur.</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Subsequent Events Affecting Financial Condition</w:t>
      </w:r>
    </w:p>
    <w:p>
      <w:pPr>
        <w:spacing w:after="0" w:line="9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On February 20, 2013, the Board of Directors declared a quarterly cash dividend to shareholders of the Company’s Class A and Class B Common Stock of $0.19 per share payable on April 30, 2013, to shareholders of record at the close of business on April 10, 2013.</w:t>
      </w:r>
    </w:p>
    <w:p>
      <w:pPr>
        <w:spacing w:after="0" w:line="33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On February 20, 2013, the Board of Directors approved a change in its organizational structure effective May 1, 2013, from geographically-based to an organization structured around three global business platforms: Identification Solutions, Workplace Safety and Die-Cut. The Company is implementing the reorganization and restructuring actions to further enhance its coordinated global business strategies for each business platform, to improve efficiency of operations, to promote greater customer focus and to reduce operating expenses. The Company will begin segment reporting in the three business platforms in the fourth fiscal quarter of 2013.</w:t>
      </w:r>
    </w:p>
    <w:p>
      <w:pPr>
        <w:spacing w:after="0" w:line="5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expects to incur approximately $15 million to $18 million in restructuring charges to implement this reorganization, the majority of which will be incurred by the end of fiscal 2013. Upon completion of the restructuring action, the Company expects to realize annualized savings of approximately $25-$30 million from the restructuring.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Off-Balance Sheet Arrangements — The Company does not have material off-balance sheet arrangements or related-party transactions. The Company is not aware of factors that are reasonably likely to adversely affect liquidity trends, other than the risk factors described in this and other Company filings. However, the following additional information is provided to assist those reviewing the Company’s financial statements.</w:t>
      </w:r>
    </w:p>
    <w:p>
      <w:pPr>
        <w:spacing w:after="0" w:line="11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Operating Leases — The leases generally are entered into for investments in facilities such as manufacturing facilities, warehouses and office space, computer equipment and Company vehicles.</w:t>
      </w:r>
    </w:p>
    <w:p>
      <w:pPr>
        <w:spacing w:after="0" w:line="11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Purchase Commitments — The Company has purchase commitments for materials, supplies, services, and property, plant and equipment as part of the ordinary conduct of its business. In the aggregate, such commitments are not in excess of current market prices and are not material to the financial position of the Company. Due to the proprietary nature of many of the Company’s materials and processes, certain supply contracts contain penalty provisions for early termination. The Company does not believe a material amount of penalties will be incurred under these contracts based upon historical experience and current expectations.</w:t>
      </w:r>
    </w:p>
    <w:p>
      <w:pPr>
        <w:spacing w:after="0" w:line="13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Other Contractual Obligations — The Company does not have material financial guarantees or other contractual commitments that are reasonably likely to adversely affect liquidity.</w:t>
      </w:r>
    </w:p>
    <w:p>
      <w:pPr>
        <w:spacing w:after="0" w:line="11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Related-Party Transactions — Based on an evaluation for the period ended January 31, 2013, the Company does not have material related party transactions that affect the results of operations, cash flow or financial condition.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22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In this quarterly report on Form 10-Q, statements that are not reported financial results or other historic information may be “forward-looking statements.” These forward-looking statements relate to, among other things, the Company’s future financial position, business strategy, targets, projected sales, costs, earnings, capital expenditures, debt levels and cash flows, and plans and objectives of management for future operations.</w:t>
      </w:r>
    </w:p>
    <w:p>
      <w:pPr>
        <w:spacing w:after="0" w:line="166"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use of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w:t>
      </w:r>
    </w:p>
    <w:p>
      <w:pPr>
        <w:spacing w:after="0" w:line="171" w:lineRule="exact"/>
        <w:rPr>
          <w:sz w:val="20"/>
          <w:szCs w:val="20"/>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length or severity of the current worldwide economic downturn or timing or strength of a subsequent recovery;</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Increased usage of e-commerce allowing for ease of price transparency;</w:t>
      </w:r>
    </w:p>
    <w:p>
      <w:pPr>
        <w:spacing w:after="0" w:line="9" w:lineRule="exact"/>
        <w:rPr>
          <w:rFonts w:ascii="Arial" w:cs="Arial" w:eastAsia="Arial" w:hAnsi="Arial"/>
          <w:sz w:val="18"/>
          <w:szCs w:val="18"/>
          <w:color w:val="auto"/>
        </w:rPr>
      </w:pPr>
    </w:p>
    <w:p>
      <w:pPr>
        <w:ind w:left="540" w:hanging="316"/>
        <w:spacing w:after="0" w:line="250"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Future financial performance of major markets Brady serves, which include, without limitation, telecommunications, hard disk drive, manufacturing, electrical, construction, laboratory, education, governmental, public utility, computer, and transportation;</w:t>
      </w: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Future competition;</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the supply of, or price for, parts and components;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Increased price pressure from suppliers and customers;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Brady’s ability to retain significant contracts and customers;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Fluctuations in currency rates versus the U.S. dollar;</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associated with international operations;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Difficulties associated with exports;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associated with obtaining governmental approvals and maintaining regulatory compliance;</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associated with product liability, warranty, and recall claims;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Brady’s ability to develop and successfully market new products;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associated with identifying, completing, and integrating acquisitions;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associated with restructuring plans;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Environmental, health and safety compliance costs and liabilities;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Technology changes and potential security violations to the Company’s information technology systems;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Brady’s ability to maintain compliance with its debt covenants;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 in our level of debt;</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Potential write-offs of Brady’s substantial intangible assets;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Unforeseen tax consequences; and</w:t>
      </w:r>
    </w:p>
    <w:p>
      <w:pPr>
        <w:spacing w:after="0" w:line="9" w:lineRule="exact"/>
        <w:rPr>
          <w:rFonts w:ascii="Arial" w:cs="Arial" w:eastAsia="Arial" w:hAnsi="Arial"/>
          <w:sz w:val="18"/>
          <w:szCs w:val="18"/>
          <w:color w:val="auto"/>
        </w:rPr>
      </w:pPr>
    </w:p>
    <w:p>
      <w:pPr>
        <w:jc w:val="both"/>
        <w:ind w:left="540" w:hanging="316"/>
        <w:spacing w:after="0" w:line="255"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Numerous other matters of national, regional and global scale, including those of a political, economic, business, competitive, and regulatory nature contained from time to time in Brady’s U.S. Securities and Exchange Commission filings, including, but not limited to, those factors listed in the “Risk Factors” section within Item 1A of Part I of the Form 10-K.</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These uncertainties may cause Brady’s actual future results to be materially different than those expressed in its forward-looking statements. Brady does not undertake to update its forward-looking statements except as required by law.</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21" w:right="25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Company’s business operations give rise to market risk exposure due to changes in foreign exchange rates. To manage that risk effectively, the Company enters into hedging transactions, according to established guidelines and policies that enable it to mitigate the adverse effects of this financial market risk.</w:t>
      </w:r>
    </w:p>
    <w:p>
      <w:pPr>
        <w:spacing w:after="0" w:line="127"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The global nature of the Company’s business requires active participation in the foreign exchange markets. As a result of investments, production facilities and other operations on a global scale, the Company has assets, liabilities and cash flows in currencies other than the U.S. Dollar. The objective of the Company’s foreign currency exchange risk management is to minimize the impact of currency movements on non-functional currency transactions and minimize the foreign currency translation impact on the Company’s operations. To achieve this objective, the Company hedges a portion of known exposures using forward contracts. Main exposures are related to transactions denominated in the British Pound, the Euro, Canadian Dollar, Australian Dollar, Malaysian Ringgit, and Singapore Dollar. As of January 31, 2013 and 2012, the notional amount of outstanding forward contracts designated as cash flow hedges was $23.4 million and $18.4 million, respectively. The Company uses Euro-denominated debt of €75.0 million designated as a hedge instrument to hedge portions of the Company’s net investments in its European foreign operations.</w:t>
      </w:r>
    </w:p>
    <w:p>
      <w:pPr>
        <w:spacing w:after="0" w:line="1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also uses Euro and British Pound-denominated debt which is held in European entities, to better match the currency of short-term cash inflows and outflows. The Company had Euro-denominated borrowings of $66,478 and British pound-denominated borrowings of $32,862 at January 31, 2013.</w:t>
      </w:r>
    </w:p>
    <w:p>
      <w:pPr>
        <w:spacing w:after="0" w:line="127"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The Company also faces exchange rate risk from transactions with customers in countries outside the United States and from intercompany transactions between affiliates. Although the Company has a U.S. dollar functional currency for reporting purposes, it has manufacturing sites throughout the world and the majority of its sales are generated in foreign currencies. Costs incurred and sales recorded by subsidiaries operating outside of the United States are translated into U.S. dollars using exchange rates effective during the respective period. As a result, the Company is exposed to movements in the exchange rates of various currencies against the U.S. dollar. In particular, the Company has more sales in European currencies than it has expenses in those currencies. Therefore, when European currencies strengthen or weaken against the U.S. dollar, operating profits are increased or decreased, respectively.</w:t>
      </w:r>
    </w:p>
    <w:p>
      <w:pPr>
        <w:spacing w:after="0" w:line="11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Currency exchange rates increased sales by 0.2% for the three months ended January 31, 2013, as compared to a decline in sales of 0.4% in the same period of the prior year. Currency exchange rates reduced sales by 1.0% for the six months ended January 31, 2013, as compared to an increase in sales of 1.1% in the same period of the prior year. During the current quarter, the primary cause of currency fluctuation was strengthening of the Euro against the U.S. Dollar. The year to date decline in sales due to currency was a result of first quarter 2013 strengthening of the U.S. Dollar against most major currencies throughout the period, when compared to the prior year.</w:t>
      </w:r>
    </w:p>
    <w:p>
      <w:pPr>
        <w:spacing w:after="0" w:line="13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could be exposed to interest rate risk through its corporate borrowing activities. The objective of the Company’s interest rate risk management activities is to manage the levels of the Company’s fixed and floating interest rate exposure to be consistent with the Company’s preferred mix. The interest rate risk management program allows the Company to enter into approved interest rate derivatives if there is a desire to modify the Company’s exposure to interest rates. As of January 31, 2013, the Company had no interest rate derivatives.</w:t>
      </w:r>
    </w:p>
    <w:p>
      <w:pPr>
        <w:spacing w:after="0" w:line="133"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6"/>
          <w:szCs w:val="16"/>
          <w:color w:val="auto"/>
        </w:rPr>
        <w:t>The Company is subject to the risk of changes in foreign currency exchange rates due to its operations in foreign countries. The Company has manufacturing facilities and sells and distributes its products throughout the world. As a result, the Company’s financial results could be significantly affected by factors such as changes in foreign currency exchange rates or weak economic conditions in the foreign markets in which the Company manufactures, distributes and sells its products. The Company’s operating results are principally exposed to changes in exchange rates between the U.S. dollar and the Australian dollar, the Canadian dollar, the Singapore dollar, the Euro, the British Pound, the Brazilian Real, the Korean Won, and the Chinese Yuan. Changes in foreign currency exchange rates for the Company’s foreign subsidiaries reporting in local currencies are generally reported as a component of stockholders’ investment. The Company’s currency translation adjustments recorded for the three and six months ended January 31, 2013 were $9.6 million and $28.1 million favorable, respectively. Currency translation adjustments recorded for the the three and six months ended January 31, 2012 were $19.4 million and $34.0 million unfavorable, respectively. As of January 31, 2013 and 2012, the Company's foreign subsidiaries had net currency assets (defined as current assets less current liabilities) subject to foreign currency translation risk of $226.9 million and $415.8 million, respectively. The potential decrease in net current assets as of January 31, 2013, from a hypothetical 10 percent adverse change in quoted foreign currency exchange rates would be $22.7 million. This sensitivity analysis assumes a parallel shift in all major foreign currency exchange rates versus the U.S. dollar. Exchange rates rarely move in the same direction relative to the U.S. dollar due to positive and negative correlations of the various global currencies. This assumption may overstate the impact of changing exchange rates on individual assets and liabilities denominated in a foreign currency.</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90"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Brady Corporation maintains a set of disclosure controls and procedures that are designed to ensure that information required to be disclosed by the Company in the reports filed by the Company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by the Company in the reports the Company files under the Exchange Act is accumulated and communicated to the Company’s management, including the Company’s principal executive and principal financial officers, or persons performing similar functions, as appropriate to allow timely decisions regarding required disclosure. The Company carried out an evaluation, under the supervision and with the participation of its management, including its President and Chief Executive Officer and its Senior Executive Vice President and Chief Financial Officer, of the effectiveness of the design and operation of the Company’s disclosure controls and procedures pursuant to Rule 13a-15 of the Exchange Act. Based on that evaluation, the Company’s President and Chief Executive Officer and Senior Executive Vice President and Chief Financial Officer concluded that the Company’s disclosure controls and procedures are effective as of the end of the period covered by this report.</w:t>
      </w:r>
    </w:p>
    <w:p>
      <w:pPr>
        <w:spacing w:after="0" w:line="169" w:lineRule="exact"/>
        <w:rPr>
          <w:sz w:val="20"/>
          <w:szCs w:val="20"/>
          <w:color w:val="auto"/>
        </w:rPr>
      </w:pPr>
    </w:p>
    <w:p>
      <w:pPr>
        <w:jc w:val="both"/>
        <w:ind w:right="120" w:firstLine="405"/>
        <w:spacing w:after="0" w:line="264" w:lineRule="auto"/>
        <w:rPr>
          <w:sz w:val="20"/>
          <w:szCs w:val="20"/>
          <w:color w:val="auto"/>
        </w:rPr>
      </w:pPr>
      <w:r>
        <w:rPr>
          <w:rFonts w:ascii="Arial" w:cs="Arial" w:eastAsia="Arial" w:hAnsi="Arial"/>
          <w:sz w:val="18"/>
          <w:szCs w:val="18"/>
          <w:color w:val="auto"/>
        </w:rPr>
        <w:t>Other than the acquisition of PDC, there were no changes in the Company's internal control over financial reporting (as defined in Exchange Act Rules 13a-15(f) and 15d-15(f)) that occurred during the Company's most recently completed fiscal quarter that have materially affected, or are reasonably likely to materially affect, the Company's internal control over financial reporting.</w:t>
      </w:r>
    </w:p>
    <w:p>
      <w:pPr>
        <w:spacing w:after="0" w:line="12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the three months ended January 31, 2013, the Company acquired PDC for approximately $301 million. As part of its ongoing integration activities, the Company is continuing to incorporate its controls and procedures into this recently acquired business and to augment its Company-wide controls to reflect the risks inherent in an acquisition of this magnitude and complexity.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1A. RISK FACTORS</w:t>
      </w:r>
    </w:p>
    <w:p>
      <w:pPr>
        <w:spacing w:after="0" w:line="225"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auto"/>
        </w:rPr>
        <w:t>Our financial position, results of operations and cash flows are subject to various risks. The following risk factor is an addition to the risk factors discussed in Item 1A, Risk Factors, in our Form 10-K for the fiscal year ended July 31, 2012.</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Product liability claims could adversely impact our financial condition, results of operations, cash flows, and reputation.</w:t>
      </w:r>
    </w:p>
    <w:p>
      <w:pPr>
        <w:spacing w:after="0" w:line="225" w:lineRule="exact"/>
        <w:rPr>
          <w:sz w:val="20"/>
          <w:szCs w:val="20"/>
          <w:color w:val="auto"/>
        </w:rPr>
      </w:pPr>
    </w:p>
    <w:p>
      <w:pPr>
        <w:ind w:right="260" w:firstLine="324"/>
        <w:spacing w:after="0" w:line="279" w:lineRule="auto"/>
        <w:rPr>
          <w:sz w:val="20"/>
          <w:szCs w:val="20"/>
          <w:color w:val="auto"/>
        </w:rPr>
      </w:pPr>
      <w:r>
        <w:rPr>
          <w:rFonts w:ascii="Arial" w:cs="Arial" w:eastAsia="Arial" w:hAnsi="Arial"/>
          <w:sz w:val="17"/>
          <w:szCs w:val="17"/>
          <w:color w:val="auto"/>
        </w:rPr>
        <w:t>Our business exposes us to potential product liability risks, as well as warranty and recall claims, that are inherent in the design, manufacture, sale and use of our products, especially our healthcare products. We have not do date incurred material costs related to these claims. However, in the event our products actually or allegedly fail to perform as expected and we are subject to such claims above the amount of our insurance coverage, our financial condition, results of operations and cash flows, as well as our reputation, could be materially and adversely affected.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ITEM 6. EXHIBITS</w:t>
      </w:r>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Exhibits</w:t>
      </w:r>
    </w:p>
    <w:p>
      <w:pPr>
        <w:spacing w:after="0" w:line="200" w:lineRule="exact"/>
        <w:rPr>
          <w:sz w:val="20"/>
          <w:szCs w:val="20"/>
          <w:color w:val="auto"/>
        </w:rPr>
      </w:pPr>
    </w:p>
    <w:p>
      <w:pPr>
        <w:spacing w:after="0" w:line="295"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Rule 13a-14(a)/15d-14(a) Certification of Frank M. Jaehnert</w:t>
      </w:r>
    </w:p>
    <w:p>
      <w:pPr>
        <w:spacing w:after="0" w:line="387"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Rule 13a-14(a)/15d-14(a) Certification of Thomas J. Felmer</w:t>
      </w:r>
    </w:p>
    <w:p>
      <w:pPr>
        <w:spacing w:after="0" w:line="387"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Section 1350 Certification of Frank M. Jaehnert</w:t>
      </w:r>
    </w:p>
    <w:p>
      <w:pPr>
        <w:spacing w:after="0" w:line="387"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Section 1350 Certification of Thomas J. Felmer</w:t>
      </w:r>
    </w:p>
    <w:p>
      <w:pPr>
        <w:spacing w:after="0" w:line="387"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Interactive Data File</w:t>
      </w:r>
    </w:p>
    <w:p>
      <w:pPr>
        <w:spacing w:after="0" w:line="198"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SIGNATURES</w:t>
      </w:r>
    </w:p>
    <w:p>
      <w:pPr>
        <w:spacing w:after="0" w:line="200" w:lineRule="exact"/>
        <w:rPr>
          <w:sz w:val="20"/>
          <w:szCs w:val="20"/>
          <w:color w:val="auto"/>
        </w:rPr>
      </w:pPr>
    </w:p>
    <w:p>
      <w:pPr>
        <w:spacing w:after="0" w:line="295"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BRADY CORPORATION</w:t>
      </w:r>
    </w:p>
    <w:p>
      <w:pPr>
        <w:spacing w:after="0" w:line="387" w:lineRule="exact"/>
        <w:rPr>
          <w:sz w:val="20"/>
          <w:szCs w:val="20"/>
          <w:color w:val="auto"/>
        </w:rPr>
      </w:pPr>
    </w:p>
    <w:p>
      <w:pPr>
        <w:ind w:left="40"/>
        <w:spacing w:after="0"/>
        <w:tabs>
          <w:tab w:leader="none" w:pos="7780" w:val="left"/>
        </w:tabs>
        <w:rPr>
          <w:sz w:val="20"/>
          <w:szCs w:val="20"/>
          <w:color w:val="auto"/>
        </w:rPr>
      </w:pPr>
      <w:r>
        <w:rPr>
          <w:rFonts w:ascii="Arial" w:cs="Arial" w:eastAsia="Arial" w:hAnsi="Arial"/>
          <w:sz w:val="18"/>
          <w:szCs w:val="18"/>
          <w:color w:val="auto"/>
        </w:rPr>
        <w:t>Date: March 8, 2013</w:t>
      </w:r>
      <w:r>
        <w:rPr>
          <w:sz w:val="20"/>
          <w:szCs w:val="20"/>
          <w:color w:val="auto"/>
        </w:rPr>
        <w:tab/>
      </w:r>
      <w:r>
        <w:rPr>
          <w:rFonts w:ascii="Arial" w:cs="Arial" w:eastAsia="Arial" w:hAnsi="Arial"/>
          <w:sz w:val="17"/>
          <w:szCs w:val="17"/>
          <w:color w:val="auto"/>
        </w:rPr>
        <w:t>/s/ FRANK M. JAEHNERT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4798695</wp:posOffset>
            </wp:positionH>
            <wp:positionV relativeFrom="paragraph">
              <wp:posOffset>31750</wp:posOffset>
            </wp:positionV>
            <wp:extent cx="24523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57"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Frank. M. Jaehnert</w:t>
      </w:r>
    </w:p>
    <w:p>
      <w:pPr>
        <w:spacing w:after="0" w:line="63"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President &amp; Chief Executive Officer</w:t>
      </w:r>
    </w:p>
    <w:p>
      <w:pPr>
        <w:spacing w:after="0" w:line="387" w:lineRule="exact"/>
        <w:rPr>
          <w:sz w:val="20"/>
          <w:szCs w:val="20"/>
          <w:color w:val="auto"/>
        </w:rPr>
      </w:pPr>
    </w:p>
    <w:p>
      <w:pPr>
        <w:ind w:left="40"/>
        <w:spacing w:after="0"/>
        <w:tabs>
          <w:tab w:leader="none" w:pos="7780" w:val="left"/>
        </w:tabs>
        <w:rPr>
          <w:sz w:val="20"/>
          <w:szCs w:val="20"/>
          <w:color w:val="auto"/>
        </w:rPr>
      </w:pPr>
      <w:r>
        <w:rPr>
          <w:rFonts w:ascii="Arial" w:cs="Arial" w:eastAsia="Arial" w:hAnsi="Arial"/>
          <w:sz w:val="18"/>
          <w:szCs w:val="18"/>
          <w:color w:val="auto"/>
        </w:rPr>
        <w:t>Date: March 8, 2013</w:t>
      </w:r>
      <w:r>
        <w:rPr>
          <w:sz w:val="20"/>
          <w:szCs w:val="20"/>
          <w:color w:val="auto"/>
        </w:rPr>
        <w:tab/>
      </w:r>
      <w:r>
        <w:rPr>
          <w:rFonts w:ascii="Arial" w:cs="Arial" w:eastAsia="Arial" w:hAnsi="Arial"/>
          <w:sz w:val="17"/>
          <w:szCs w:val="17"/>
          <w:color w:val="auto"/>
        </w:rPr>
        <w:t>/s/ THOMAS J. FELMER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4798695</wp:posOffset>
            </wp:positionH>
            <wp:positionV relativeFrom="paragraph">
              <wp:posOffset>31750</wp:posOffset>
            </wp:positionV>
            <wp:extent cx="24523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57"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Thomas J. Felmer</w:t>
      </w:r>
    </w:p>
    <w:p>
      <w:pPr>
        <w:spacing w:after="0" w:line="63" w:lineRule="exact"/>
        <w:rPr>
          <w:sz w:val="20"/>
          <w:szCs w:val="20"/>
          <w:color w:val="auto"/>
        </w:rPr>
      </w:pPr>
    </w:p>
    <w:p>
      <w:pPr>
        <w:ind w:left="7800"/>
        <w:spacing w:after="0"/>
        <w:rPr>
          <w:sz w:val="20"/>
          <w:szCs w:val="20"/>
          <w:color w:val="auto"/>
        </w:rPr>
      </w:pPr>
      <w:r>
        <w:rPr>
          <w:rFonts w:ascii="Arial" w:cs="Arial" w:eastAsia="Arial" w:hAnsi="Arial"/>
          <w:sz w:val="17"/>
          <w:szCs w:val="17"/>
          <w:color w:val="auto"/>
        </w:rPr>
        <w:t>Senior Vice President &amp; Chief Financial Officer</w:t>
      </w:r>
    </w:p>
    <w:p>
      <w:pPr>
        <w:spacing w:after="0" w:line="75"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(Principal Financial Officer)</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Frank M. Jaehnert, certify that:</w:t>
      </w:r>
    </w:p>
    <w:p>
      <w:pPr>
        <w:spacing w:after="0" w:line="90" w:lineRule="exact"/>
        <w:rPr>
          <w:sz w:val="20"/>
          <w:szCs w:val="20"/>
          <w:color w:val="auto"/>
        </w:rPr>
      </w:pPr>
    </w:p>
    <w:p>
      <w:pPr>
        <w:ind w:left="700" w:hanging="260"/>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Brady Corporation;</w:t>
      </w:r>
    </w:p>
    <w:p>
      <w:pPr>
        <w:spacing w:after="0" w:line="171" w:lineRule="exact"/>
        <w:rPr>
          <w:rFonts w:ascii="Arial" w:cs="Arial" w:eastAsia="Arial" w:hAnsi="Arial"/>
          <w:sz w:val="18"/>
          <w:szCs w:val="18"/>
          <w:color w:val="auto"/>
        </w:rPr>
      </w:pPr>
    </w:p>
    <w:p>
      <w:pPr>
        <w:ind w:right="20" w:firstLine="440"/>
        <w:spacing w:after="0" w:line="342" w:lineRule="auto"/>
        <w:tabs>
          <w:tab w:leader="none" w:pos="696"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440"/>
        <w:spacing w:after="0" w:line="277" w:lineRule="auto"/>
        <w:tabs>
          <w:tab w:leader="none" w:pos="697"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440"/>
        <w:spacing w:after="0" w:line="264" w:lineRule="auto"/>
        <w:tabs>
          <w:tab w:leader="none" w:pos="709"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sz w:val="20"/>
          <w:szCs w:val="20"/>
          <w:color w:val="auto"/>
        </w:rPr>
      </w:pPr>
    </w:p>
    <w:p>
      <w:pPr>
        <w:jc w:val="both"/>
        <w:ind w:firstLine="440"/>
        <w:spacing w:after="0" w:line="264"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firstLine="440"/>
        <w:spacing w:after="0" w:line="264" w:lineRule="auto"/>
        <w:tabs>
          <w:tab w:leader="none" w:pos="631" w:val="left"/>
        </w:tabs>
        <w:numPr>
          <w:ilvl w:val="0"/>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firstLine="440"/>
        <w:spacing w:after="0" w:line="277" w:lineRule="auto"/>
        <w:tabs>
          <w:tab w:leader="none" w:pos="622" w:val="left"/>
        </w:tabs>
        <w:numPr>
          <w:ilvl w:val="0"/>
          <w:numId w:val="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firstLine="440"/>
        <w:spacing w:after="0" w:line="264" w:lineRule="auto"/>
        <w:tabs>
          <w:tab w:leader="none" w:pos="633" w:val="left"/>
        </w:tabs>
        <w:numPr>
          <w:ilvl w:val="0"/>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report)that has materially affected, or is reasonably likely to materially affect, the registrant’s internal control over financial reporting; and</w:t>
      </w:r>
    </w:p>
    <w:p>
      <w:pPr>
        <w:spacing w:after="0" w:line="127" w:lineRule="exact"/>
        <w:rPr>
          <w:sz w:val="20"/>
          <w:szCs w:val="20"/>
          <w:color w:val="auto"/>
        </w:rPr>
      </w:pPr>
    </w:p>
    <w:p>
      <w:pPr>
        <w:ind w:firstLine="440"/>
        <w:spacing w:after="0" w:line="308" w:lineRule="auto"/>
        <w:tabs>
          <w:tab w:leader="none" w:pos="693"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sz w:val="20"/>
          <w:szCs w:val="20"/>
          <w:color w:val="auto"/>
        </w:rPr>
      </w:pPr>
    </w:p>
    <w:p>
      <w:pPr>
        <w:ind w:firstLine="440"/>
        <w:spacing w:after="0" w:line="277" w:lineRule="auto"/>
        <w:tabs>
          <w:tab w:leader="none" w:pos="618"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firstLine="440"/>
        <w:spacing w:after="0" w:line="277" w:lineRule="auto"/>
        <w:tabs>
          <w:tab w:leader="none" w:pos="63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March 8, 2013</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FRANK M. JAEHNERT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Frank M. Jaehnert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Thomas J. Felmer, certify that:</w:t>
      </w:r>
    </w:p>
    <w:p>
      <w:pPr>
        <w:spacing w:after="0" w:line="90" w:lineRule="exact"/>
        <w:rPr>
          <w:sz w:val="20"/>
          <w:szCs w:val="20"/>
          <w:color w:val="auto"/>
        </w:rPr>
      </w:pPr>
    </w:p>
    <w:p>
      <w:pPr>
        <w:ind w:left="700" w:hanging="260"/>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Brady Corporation;</w:t>
      </w:r>
    </w:p>
    <w:p>
      <w:pPr>
        <w:spacing w:after="0" w:line="171" w:lineRule="exact"/>
        <w:rPr>
          <w:rFonts w:ascii="Arial" w:cs="Arial" w:eastAsia="Arial" w:hAnsi="Arial"/>
          <w:sz w:val="18"/>
          <w:szCs w:val="18"/>
          <w:color w:val="auto"/>
        </w:rPr>
      </w:pPr>
    </w:p>
    <w:p>
      <w:pPr>
        <w:ind w:firstLine="440"/>
        <w:spacing w:after="0" w:line="342" w:lineRule="auto"/>
        <w:tabs>
          <w:tab w:leader="none" w:pos="699"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440"/>
        <w:spacing w:after="0" w:line="277" w:lineRule="auto"/>
        <w:tabs>
          <w:tab w:leader="none" w:pos="697"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440"/>
        <w:spacing w:after="0" w:line="264" w:lineRule="auto"/>
        <w:tabs>
          <w:tab w:leader="none" w:pos="709"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sz w:val="20"/>
          <w:szCs w:val="20"/>
          <w:color w:val="auto"/>
        </w:rPr>
      </w:pPr>
    </w:p>
    <w:p>
      <w:pPr>
        <w:jc w:val="both"/>
        <w:ind w:firstLine="440"/>
        <w:spacing w:after="0" w:line="264" w:lineRule="auto"/>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firstLine="440"/>
        <w:spacing w:after="0" w:line="264" w:lineRule="auto"/>
        <w:tabs>
          <w:tab w:leader="none" w:pos="631"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firstLine="440"/>
        <w:spacing w:after="0" w:line="277" w:lineRule="auto"/>
        <w:tabs>
          <w:tab w:leader="none" w:pos="622" w:val="left"/>
        </w:tabs>
        <w:numPr>
          <w:ilvl w:val="0"/>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firstLine="440"/>
        <w:spacing w:after="0" w:line="264" w:lineRule="auto"/>
        <w:tabs>
          <w:tab w:leader="none" w:pos="633"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report)that has materially affected, or is reasonably likely to materially affect, the registrant’s internal control over financial reporting; and</w:t>
      </w:r>
    </w:p>
    <w:p>
      <w:pPr>
        <w:spacing w:after="0" w:line="127" w:lineRule="exact"/>
        <w:rPr>
          <w:sz w:val="20"/>
          <w:szCs w:val="20"/>
          <w:color w:val="auto"/>
        </w:rPr>
      </w:pPr>
    </w:p>
    <w:p>
      <w:pPr>
        <w:ind w:firstLine="440"/>
        <w:spacing w:after="0" w:line="308" w:lineRule="auto"/>
        <w:tabs>
          <w:tab w:leader="none" w:pos="693"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sz w:val="20"/>
          <w:szCs w:val="20"/>
          <w:color w:val="auto"/>
        </w:rPr>
      </w:pPr>
    </w:p>
    <w:p>
      <w:pPr>
        <w:ind w:firstLine="440"/>
        <w:spacing w:after="0" w:line="277" w:lineRule="auto"/>
        <w:tabs>
          <w:tab w:leader="none" w:pos="618"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firstLine="440"/>
        <w:spacing w:after="0" w:line="277" w:lineRule="auto"/>
        <w:tabs>
          <w:tab w:leader="none" w:pos="63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March 8, 2013</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THOMAS J. FELMER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Thomas J. Felmer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420"/>
          </w:cols>
          <w:pgMar w:left="240" w:top="580"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Brady Corporation (the “Company”) certifies to his knowledge that:</w:t>
      </w:r>
    </w:p>
    <w:p>
      <w:pPr>
        <w:spacing w:after="0" w:line="35" w:lineRule="exact"/>
        <w:rPr>
          <w:sz w:val="20"/>
          <w:szCs w:val="20"/>
          <w:color w:val="auto"/>
        </w:rPr>
      </w:pPr>
    </w:p>
    <w:p>
      <w:pPr>
        <w:ind w:firstLine="440"/>
        <w:spacing w:after="0" w:line="277" w:lineRule="auto"/>
        <w:tabs>
          <w:tab w:leader="none" w:pos="71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January 31, 2013 fully complies with the requirements of Section 13(a) or 15(d) of the Securities Exchange Act of 1934; and</w:t>
      </w:r>
    </w:p>
    <w:p>
      <w:pPr>
        <w:spacing w:after="0" w:line="116" w:lineRule="exact"/>
        <w:rPr>
          <w:rFonts w:ascii="Arial" w:cs="Arial" w:eastAsia="Arial" w:hAnsi="Arial"/>
          <w:sz w:val="18"/>
          <w:szCs w:val="18"/>
          <w:color w:val="auto"/>
        </w:rPr>
      </w:pPr>
    </w:p>
    <w:p>
      <w:pPr>
        <w:ind w:firstLine="440"/>
        <w:spacing w:after="0" w:line="277" w:lineRule="auto"/>
        <w:tabs>
          <w:tab w:leader="none" w:pos="7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that Form 10-Q fairly presents, in all material respects, the financial conditions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March 8, 2013</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FRANK M. JAEHNERT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Frank M. Jaehnert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19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p>
      <w:pPr>
        <w:sectPr>
          <w:pgSz w:w="11900" w:h="16838" w:orient="portrait"/>
          <w:cols w:equalWidth="0" w:num="1">
            <w:col w:w="11420"/>
          </w:cols>
          <w:pgMar w:left="240" w:top="580"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Brady Corporation (the “Company”) certifies to his knowledge that:</w:t>
      </w:r>
    </w:p>
    <w:p>
      <w:pPr>
        <w:spacing w:after="0" w:line="35" w:lineRule="exact"/>
        <w:rPr>
          <w:sz w:val="20"/>
          <w:szCs w:val="20"/>
          <w:color w:val="auto"/>
        </w:rPr>
      </w:pPr>
    </w:p>
    <w:p>
      <w:pPr>
        <w:ind w:firstLine="440"/>
        <w:spacing w:after="0" w:line="277" w:lineRule="auto"/>
        <w:tabs>
          <w:tab w:leader="none" w:pos="71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January 31, 2013 fully complies with the requirements of Section 13(a) or 15(d) of the Securities Exchange Act of 1934; and</w:t>
      </w:r>
    </w:p>
    <w:p>
      <w:pPr>
        <w:spacing w:after="0" w:line="116" w:lineRule="exact"/>
        <w:rPr>
          <w:rFonts w:ascii="Arial" w:cs="Arial" w:eastAsia="Arial" w:hAnsi="Arial"/>
          <w:sz w:val="18"/>
          <w:szCs w:val="18"/>
          <w:color w:val="auto"/>
        </w:rPr>
      </w:pPr>
    </w:p>
    <w:p>
      <w:pPr>
        <w:ind w:firstLine="440"/>
        <w:spacing w:after="0" w:line="277" w:lineRule="auto"/>
        <w:tabs>
          <w:tab w:leader="none" w:pos="7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that Form 10-Q fairly presents, in all material respects, the financial conditions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March 8, 2013</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THOMAS J. FELMER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Thomas J. Felmer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Vice President and Chief Financial Officer</w:t>
      </w:r>
    </w:p>
    <w:p>
      <w:pPr>
        <w:spacing w:after="0" w:line="19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lowerLetter"/>
      <w:start w:val="1"/>
    </w:lvl>
  </w:abstractNum>
  <w:abstractNum w:abstractNumId="7">
    <w:nsid w:val="1190CDE7"/>
    <w:multiLevelType w:val="hybridMultilevel"/>
    <w:lvl w:ilvl="0">
      <w:lvlJc w:val="left"/>
      <w:lvlText w:val="(%1)"/>
      <w:numFmt w:val="decimal"/>
      <w:start w:val="5"/>
    </w:lvl>
  </w:abstractNum>
  <w:abstractNum w:abstractNumId="8">
    <w:nsid w:val="66EF438D"/>
    <w:multiLevelType w:val="hybridMultilevel"/>
    <w:lvl w:ilvl="0">
      <w:lvlJc w:val="left"/>
      <w:lvlText w:val="%1)"/>
      <w:numFmt w:val="lowerLetter"/>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lowerLetter"/>
      <w:start w:val="1"/>
    </w:lvl>
  </w:abstractNum>
  <w:abstractNum w:abstractNumId="11">
    <w:nsid w:val="109CF92E"/>
    <w:multiLevelType w:val="hybridMultilevel"/>
    <w:lvl w:ilvl="0">
      <w:lvlJc w:val="left"/>
      <w:lvlText w:val="(%1)"/>
      <w:numFmt w:val="decimal"/>
      <w:start w:val="5"/>
    </w:lvl>
  </w:abstractNum>
  <w:abstractNum w:abstractNumId="12">
    <w:nsid w:val="DED7263"/>
    <w:multiLevelType w:val="hybridMultilevel"/>
    <w:lvl w:ilvl="0">
      <w:lvlJc w:val="left"/>
      <w:lvlText w:val="%1)"/>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2019-12-05T21:11:15Z</dcterms:created>
  <dcterms:modified xsi:type="dcterms:W3CDTF">2019-12-05T21:11:15Z</dcterms:modified>
</cp:coreProperties>
</file>