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89"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220" w:type="dxa"/>
            <w:vAlign w:val="bottom"/>
          </w:tcPr>
          <w:p>
            <w:pPr>
              <w:spacing w:after="0"/>
              <w:rPr>
                <w:sz w:val="20"/>
                <w:szCs w:val="20"/>
                <w:color w:val="auto"/>
              </w:rPr>
            </w:pPr>
          </w:p>
        </w:tc>
      </w:tr>
      <w:tr>
        <w:trPr>
          <w:trHeight w:val="394"/>
        </w:trPr>
        <w:tc>
          <w:tcPr>
            <w:tcW w:w="6460" w:type="dxa"/>
            <w:vAlign w:val="bottom"/>
            <w:gridSpan w:val="3"/>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2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90"/>
        </w:trPr>
        <w:tc>
          <w:tcPr>
            <w:tcW w:w="646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6"/>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22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220" w:type="dxa"/>
            <w:vAlign w:val="bottom"/>
          </w:tcPr>
          <w:p>
            <w:pPr>
              <w:spacing w:after="0"/>
              <w:rPr>
                <w:sz w:val="18"/>
                <w:szCs w:val="18"/>
                <w:color w:val="auto"/>
              </w:rPr>
            </w:pPr>
          </w:p>
        </w:tc>
      </w:tr>
      <w:tr>
        <w:trPr>
          <w:trHeight w:val="190"/>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220" w:type="dxa"/>
            <w:vAlign w:val="bottom"/>
          </w:tcPr>
          <w:p>
            <w:pPr>
              <w:spacing w:after="0"/>
              <w:rPr>
                <w:sz w:val="16"/>
                <w:szCs w:val="16"/>
                <w:color w:val="auto"/>
              </w:rPr>
            </w:pPr>
          </w:p>
        </w:tc>
      </w:tr>
      <w:tr>
        <w:trPr>
          <w:trHeight w:val="363"/>
        </w:trPr>
        <w:tc>
          <w:tcPr>
            <w:tcW w:w="5960" w:type="dxa"/>
            <w:vAlign w:val="bottom"/>
            <w:gridSpan w:val="2"/>
          </w:tcPr>
          <w:p>
            <w:pPr>
              <w:jc w:val="center"/>
              <w:ind w:left="339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2220" w:type="dxa"/>
            <w:vAlign w:val="bottom"/>
          </w:tcPr>
          <w:p>
            <w:pPr>
              <w:spacing w:after="0"/>
              <w:rPr>
                <w:sz w:val="16"/>
                <w:szCs w:val="16"/>
                <w:color w:val="auto"/>
              </w:rPr>
            </w:pPr>
          </w:p>
        </w:tc>
      </w:tr>
      <w:tr>
        <w:trPr>
          <w:trHeight w:val="91"/>
        </w:trPr>
        <w:tc>
          <w:tcPr>
            <w:tcW w:w="346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7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07" w:lineRule="exact"/>
        <w:rPr>
          <w:sz w:val="24"/>
          <w:szCs w:val="24"/>
          <w:color w:val="auto"/>
        </w:rPr>
      </w:pPr>
    </w:p>
    <w:p>
      <w:pPr>
        <w:jc w:val="both"/>
        <w:ind w:right="2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3" w:right="319" w:bottom="1440" w:gutter="0" w:footer="0" w:header="0"/>
        </w:sectPr>
      </w:pPr>
    </w:p>
    <w:bookmarkStart w:id="1" w:name="page2"/>
    <w:bookmarkEnd w:id="1"/>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Item 1.01</w:t>
      </w:r>
      <w:r>
        <w:rPr>
          <w:sz w:val="20"/>
          <w:szCs w:val="20"/>
          <w:color w:val="auto"/>
        </w:rPr>
        <w:tab/>
      </w:r>
      <w:r>
        <w:rPr>
          <w:rFonts w:ascii="Times New Roman" w:cs="Times New Roman" w:eastAsia="Times New Roman" w:hAnsi="Times New Roman"/>
          <w:sz w:val="17"/>
          <w:szCs w:val="17"/>
          <w:color w:val="auto"/>
        </w:rPr>
        <w:t>ENTRY INTO A MATERIAL DEFINITIVE AGREEMENT</w:t>
      </w: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14, 2022, Brady Corporation (the “Company”) and certain of its subsidiaries entered into a Second Amendment to Credit Agreement (“Amendment No. 2”) with a group of six banks, which amends the original credit agreement dated as of August 1, 2019.</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Amendment No. 2 amends the credit agreement to, among other items, (a) 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w:t>
      </w:r>
    </w:p>
    <w:p>
      <w:pPr>
        <w:jc w:val="both"/>
        <w:spacing w:after="0" w:line="261" w:lineRule="auto"/>
        <w:rPr>
          <w:sz w:val="20"/>
          <w:szCs w:val="20"/>
          <w:color w:val="auto"/>
        </w:rPr>
      </w:pPr>
      <w:r>
        <w:rPr>
          <w:rFonts w:ascii="Times New Roman" w:cs="Times New Roman" w:eastAsia="Times New Roman" w:hAnsi="Times New Roman"/>
          <w:sz w:val="18"/>
          <w:szCs w:val="18"/>
          <w:color w:val="auto"/>
        </w:rPr>
        <w:t>amount equal to the incremental borrowing necessary to bring the Company's consolidated net debt-to-EBITDA ratio to 2.5 to 1.0 plus (ii) $200 million. Borrowings under Amendment No. 2 remain unsecured and are guaranteed by certain of the Company's domestic subsidiaries. The credit agreement (as amended by Amendment No. 2) continues to contain various financial covenants, including a consolidated net debt-to-EBITDA ratio of 3.5 to 1.0 and a consolidated interest coverage ratio of 3.0 to 1.0.</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Amendment No. 2 does not purport to be complete and is qualified in its entirety by reference to the full text of Amendment No. 2, a copy of which is filed as Exhibit 10.1 to this report and is incorporated herein by reference.</w:t>
      </w:r>
    </w:p>
    <w:p>
      <w:pPr>
        <w:spacing w:after="0" w:line="391" w:lineRule="exact"/>
        <w:rPr>
          <w:sz w:val="20"/>
          <w:szCs w:val="20"/>
          <w:color w:val="auto"/>
        </w:rPr>
      </w:pPr>
    </w:p>
    <w:p>
      <w:pPr>
        <w:jc w:val="both"/>
        <w:ind w:left="1020" w:right="20" w:hanging="984"/>
        <w:spacing w:after="0" w:line="266" w:lineRule="auto"/>
        <w:tabs>
          <w:tab w:leader="none" w:pos="1000" w:val="left"/>
        </w:tabs>
        <w:rPr>
          <w:sz w:val="20"/>
          <w:szCs w:val="20"/>
          <w:color w:val="auto"/>
        </w:rPr>
      </w:pPr>
      <w:r>
        <w:rPr>
          <w:rFonts w:ascii="Times New Roman" w:cs="Times New Roman" w:eastAsia="Times New Roman" w:hAnsi="Times New Roman"/>
          <w:sz w:val="18"/>
          <w:szCs w:val="18"/>
          <w:color w:val="auto"/>
        </w:rPr>
        <w:t>Item 2.03</w:t>
      </w:r>
      <w:r>
        <w:rPr>
          <w:sz w:val="20"/>
          <w:szCs w:val="20"/>
          <w:color w:val="auto"/>
        </w:rPr>
        <w:tab/>
      </w:r>
      <w:r>
        <w:rPr>
          <w:rFonts w:ascii="Times New Roman" w:cs="Times New Roman" w:eastAsia="Times New Roman" w:hAnsi="Times New Roman"/>
          <w:sz w:val="18"/>
          <w:szCs w:val="18"/>
          <w:color w:val="auto"/>
        </w:rPr>
        <w:t>CREATION OF A DIRECT FINANCIAL OBLIGATION OR AN OBLIGATION UNDER AN OFF-BALANCE SHEET ARRANGEMENT OF A REGISTRANT</w:t>
      </w: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above under Item 1.01 is incorporated herein by reference.</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56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0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77"/>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Second Amendment to Credit Agreement, dated as of November 14, 2022, by and among Brady Corporation and certain of its subsidiaries,</w:t>
            </w: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10040" w:type="dxa"/>
            <w:vAlign w:val="bottom"/>
            <w:tcBorders>
              <w:top w:val="single" w:sz="8" w:color="0000FF"/>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the lenders listed therein and BMO Harris Bank, N.A., as administrative agent.</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004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4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15, 2022</w:t>
      </w: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37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Aaron J. Pearce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931"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SECOND AMENDMENT TO CREDIT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SECOND AMENDMENT TO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as of November 14, 2022, by and among BRADY CORPORATION, a Wisconsin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other Loan Parties party hereto, the undersigned Lenders (as defined below) and BMO HARRIS BANK N.A., a national banking association,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the other Loan Parties party thereto, the financial institutions from time to time party thereto as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the Administrative Agent are party to that certain Credit Agreement, dated as of August 1, 2019 (as amended, restated, supplemented or otherwise modified from time to time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and</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requested that the Administrative Agent and the Lenders party hereto make certain amendments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Credit Agreement, and the Administrative Agent and the Lenders party hereto are willing to do so on the terms and conditions set forth herein.</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agreements, provisions and covenants contained herein, the receipt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sufficiency of which are hereby acknowledged, and subject to the conditions set forth herein, the parties hereto agree as follows:</w:t>
      </w:r>
    </w:p>
    <w:p>
      <w:pPr>
        <w:spacing w:after="0" w:line="156" w:lineRule="exact"/>
        <w:rPr>
          <w:sz w:val="20"/>
          <w:szCs w:val="20"/>
          <w:color w:val="auto"/>
        </w:rPr>
      </w:pPr>
    </w:p>
    <w:p>
      <w:pPr>
        <w:ind w:firstLine="656"/>
        <w:spacing w:after="0" w:line="269" w:lineRule="auto"/>
        <w:tabs>
          <w:tab w:leader="none" w:pos="12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and not otherwise defined herein have the definitions provided therefor in the Amended Credit Agreement.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Effective as of the Effective Date (as defined below), the Credit Agreement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xml:space="preserve">) as set forth in the document attached hereto as </w:t>
      </w:r>
      <w:r>
        <w:rPr>
          <w:rFonts w:ascii="Times New Roman" w:cs="Times New Roman" w:eastAsia="Times New Roman" w:hAnsi="Times New Roman"/>
          <w:sz w:val="20"/>
          <w:szCs w:val="20"/>
          <w:u w:val="single" w:color="auto"/>
          <w:color w:val="auto"/>
        </w:rPr>
        <w:t>Annex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Effective as of the Effective Date,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7.07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7.08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7.17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7.18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2.02</w:t>
      </w:r>
      <w:r>
        <w:rPr>
          <w:rFonts w:ascii="Times New Roman" w:cs="Times New Roman" w:eastAsia="Times New Roman" w:hAnsi="Times New Roman"/>
          <w:sz w:val="20"/>
          <w:szCs w:val="20"/>
          <w:color w:val="auto"/>
        </w:rPr>
        <w:t xml:space="preserve"> to the Credit Agreement are hereby replaced in their entirety pursuant to each corresponding Schedule or Exhibit attached as </w:t>
      </w:r>
      <w:r>
        <w:rPr>
          <w:rFonts w:ascii="Times New Roman" w:cs="Times New Roman" w:eastAsia="Times New Roman" w:hAnsi="Times New Roman"/>
          <w:sz w:val="20"/>
          <w:szCs w:val="20"/>
          <w:u w:val="single" w:color="auto"/>
          <w:color w:val="auto"/>
        </w:rPr>
        <w:t>Annex II</w:t>
      </w:r>
      <w:r>
        <w:rPr>
          <w:rFonts w:ascii="Times New Roman" w:cs="Times New Roman" w:eastAsia="Times New Roman" w:hAnsi="Times New Roman"/>
          <w:sz w:val="20"/>
          <w:szCs w:val="20"/>
          <w:color w:val="auto"/>
        </w:rPr>
        <w:t xml:space="preserve"> hereto.</w:t>
      </w:r>
    </w:p>
    <w:p>
      <w:pPr>
        <w:spacing w:after="0" w:line="167" w:lineRule="exact"/>
        <w:rPr>
          <w:rFonts w:ascii="Times New Roman" w:cs="Times New Roman" w:eastAsia="Times New Roman" w:hAnsi="Times New Roman"/>
          <w:sz w:val="20"/>
          <w:szCs w:val="20"/>
          <w:color w:val="auto"/>
        </w:rPr>
      </w:pPr>
    </w:p>
    <w:p>
      <w:pPr>
        <w:ind w:left="660" w:firstLine="644"/>
        <w:spacing w:after="0" w:line="283" w:lineRule="auto"/>
        <w:tabs>
          <w:tab w:leader="none" w:pos="194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Effective as of the Effective Date, </w:t>
      </w:r>
      <w:r>
        <w:rPr>
          <w:rFonts w:ascii="Times New Roman" w:cs="Times New Roman" w:eastAsia="Times New Roman" w:hAnsi="Times New Roman"/>
          <w:sz w:val="20"/>
          <w:szCs w:val="20"/>
          <w:u w:val="single" w:color="auto"/>
          <w:color w:val="auto"/>
        </w:rPr>
        <w:t>Schedule 7.09</w:t>
      </w:r>
      <w:r>
        <w:rPr>
          <w:rFonts w:ascii="Times New Roman" w:cs="Times New Roman" w:eastAsia="Times New Roman" w:hAnsi="Times New Roman"/>
          <w:sz w:val="20"/>
          <w:szCs w:val="20"/>
          <w:color w:val="auto"/>
        </w:rPr>
        <w:t xml:space="preserve"> provided to the Administrative Agent and the Lenders on the Effective Date is hereby added to the Credit Agreement as a new </w:t>
      </w:r>
      <w:r>
        <w:rPr>
          <w:rFonts w:ascii="Times New Roman" w:cs="Times New Roman" w:eastAsia="Times New Roman" w:hAnsi="Times New Roman"/>
          <w:sz w:val="20"/>
          <w:szCs w:val="20"/>
          <w:u w:val="single" w:color="auto"/>
          <w:color w:val="auto"/>
        </w:rPr>
        <w:t>Schedule 7.09</w:t>
      </w:r>
      <w:r>
        <w:rPr>
          <w:rFonts w:ascii="Times New Roman" w:cs="Times New Roman" w:eastAsia="Times New Roman" w:hAnsi="Times New Roman"/>
          <w:sz w:val="20"/>
          <w:szCs w:val="20"/>
          <w:color w:val="auto"/>
        </w:rPr>
        <w:t xml:space="preserve"> thereto.</w:t>
      </w:r>
    </w:p>
    <w:p>
      <w:pPr>
        <w:spacing w:after="0" w:line="160" w:lineRule="exact"/>
        <w:rPr>
          <w:sz w:val="20"/>
          <w:szCs w:val="20"/>
          <w:color w:val="auto"/>
        </w:rPr>
      </w:pPr>
    </w:p>
    <w:p>
      <w:pPr>
        <w:jc w:val="both"/>
        <w:ind w:left="660" w:firstLine="644"/>
        <w:spacing w:after="0" w:line="261" w:lineRule="auto"/>
        <w:tabs>
          <w:tab w:leader="none" w:pos="195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The effectiveness of this Amendment is subject to the satisfaction or waiver of the following conditions precedent (the date and time when all such conditions precedent shall have been satisfied being referred to herein as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09" w:right="339" w:bottom="1440" w:gutter="0" w:footer="0" w:header="0"/>
        </w:sectPr>
      </w:pPr>
    </w:p>
    <w:bookmarkStart w:id="3" w:name="page4"/>
    <w:bookmarkEnd w:id="3"/>
    <w:p>
      <w:pPr>
        <w:spacing w:after="0" w:line="189" w:lineRule="exact"/>
        <w:rPr>
          <w:sz w:val="20"/>
          <w:szCs w:val="20"/>
          <w:color w:val="auto"/>
        </w:rPr>
      </w:pPr>
    </w:p>
    <w:p>
      <w:pPr>
        <w:ind w:left="4" w:firstLine="644"/>
        <w:spacing w:after="0" w:line="283" w:lineRule="auto"/>
        <w:tabs>
          <w:tab w:leader="none" w:pos="12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this Amendment, duly executed by the Loan Parties, the Administrative Agent and the Lenders;</w:t>
      </w:r>
    </w:p>
    <w:p>
      <w:pPr>
        <w:spacing w:after="0" w:line="146" w:lineRule="exact"/>
        <w:rPr>
          <w:rFonts w:ascii="Times New Roman" w:cs="Times New Roman" w:eastAsia="Times New Roman" w:hAnsi="Times New Roman"/>
          <w:sz w:val="20"/>
          <w:szCs w:val="20"/>
          <w:color w:val="auto"/>
        </w:rPr>
      </w:pPr>
    </w:p>
    <w:p>
      <w:pPr>
        <w:ind w:left="4" w:firstLine="644"/>
        <w:spacing w:after="0" w:line="283" w:lineRule="auto"/>
        <w:tabs>
          <w:tab w:leader="none" w:pos="128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duly executed Joinder Agreement relating to The Code Corporation, a Delaware corporation (“</w:t>
      </w:r>
      <w:r>
        <w:rPr>
          <w:rFonts w:ascii="Times New Roman" w:cs="Times New Roman" w:eastAsia="Times New Roman" w:hAnsi="Times New Roman"/>
          <w:sz w:val="20"/>
          <w:szCs w:val="20"/>
          <w:u w:val="single" w:color="auto"/>
          <w:color w:val="auto"/>
        </w:rPr>
        <w:t>Code Corporation</w:t>
      </w:r>
      <w:r>
        <w:rPr>
          <w:rFonts w:ascii="Times New Roman" w:cs="Times New Roman" w:eastAsia="Times New Roman" w:hAnsi="Times New Roman"/>
          <w:sz w:val="20"/>
          <w:szCs w:val="20"/>
          <w:color w:val="auto"/>
        </w:rPr>
        <w:t>”), and Magicard US, Inc., a Washington corporation (“</w:t>
      </w:r>
      <w:r>
        <w:rPr>
          <w:rFonts w:ascii="Times New Roman" w:cs="Times New Roman" w:eastAsia="Times New Roman" w:hAnsi="Times New Roman"/>
          <w:sz w:val="20"/>
          <w:szCs w:val="20"/>
          <w:u w:val="single" w:color="auto"/>
          <w:color w:val="auto"/>
        </w:rPr>
        <w:t>Magicard</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shall be true and correct;</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8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Joinder Agreement relating to Code Corporation and Magicard, no Default or Event of Default shall have occurred or be continuing, or would result from the consummation of the transactions contemplated by this Amendment, on the Effective Date;</w:t>
      </w:r>
    </w:p>
    <w:p>
      <w:pPr>
        <w:spacing w:after="0" w:line="181" w:lineRule="exact"/>
        <w:rPr>
          <w:rFonts w:ascii="Times New Roman" w:cs="Times New Roman" w:eastAsia="Times New Roman" w:hAnsi="Times New Roman"/>
          <w:sz w:val="20"/>
          <w:szCs w:val="20"/>
          <w:color w:val="auto"/>
        </w:rPr>
      </w:pPr>
    </w:p>
    <w:p>
      <w:pPr>
        <w:ind w:left="4" w:firstLine="644"/>
        <w:spacing w:after="0" w:line="269" w:lineRule="auto"/>
        <w:tabs>
          <w:tab w:leader="none" w:pos="12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favorable opinions of legal counsel to the Loan Parties, in form and substance reasonably satisfactory to the Administrative Agent;</w:t>
      </w:r>
    </w:p>
    <w:p>
      <w:pPr>
        <w:spacing w:after="0" w:line="172" w:lineRule="exact"/>
        <w:rPr>
          <w:rFonts w:ascii="Times New Roman" w:cs="Times New Roman" w:eastAsia="Times New Roman" w:hAnsi="Times New Roman"/>
          <w:sz w:val="20"/>
          <w:szCs w:val="20"/>
          <w:color w:val="auto"/>
        </w:rPr>
      </w:pPr>
    </w:p>
    <w:p>
      <w:pPr>
        <w:jc w:val="both"/>
        <w:ind w:left="4" w:firstLine="644"/>
        <w:spacing w:after="0" w:line="251" w:lineRule="auto"/>
        <w:tabs>
          <w:tab w:leader="none" w:pos="1295"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of each Loan Party dated as of the date hereof signed by the secretary (or other responsible officer) of such Loan Party certifying (i) as to no change in the business form or any charter, by-law or other similar formation document of such Loan Party since the Closing Date or providing true, complete and correct copies of such amended charter, by-law or other similar formation document, (ii) as to no change in the name and title of the officers of such Loan Party authorized to execute the Loan Documents since the Closing Date or providing an updated incumbency with the names, titles and signatures of such officers, (iii) that attached thereto are resolutions authorizing such Loan Party to enter into this Amendment; and (iv) that attached thereto is a good standing certificate (or equivalent) from such Loan Party’s state of incorporation, organization or formation, as applicable;</w:t>
      </w:r>
    </w:p>
    <w:p>
      <w:pPr>
        <w:spacing w:after="0" w:line="195" w:lineRule="exact"/>
        <w:rPr>
          <w:rFonts w:ascii="Times New Roman" w:cs="Times New Roman" w:eastAsia="Times New Roman" w:hAnsi="Times New Roman"/>
          <w:sz w:val="20"/>
          <w:szCs w:val="20"/>
          <w:color w:val="auto"/>
        </w:rPr>
      </w:pPr>
    </w:p>
    <w:p>
      <w:pPr>
        <w:ind w:left="4" w:firstLine="644"/>
        <w:spacing w:after="0" w:line="269" w:lineRule="auto"/>
        <w:tabs>
          <w:tab w:leader="none" w:pos="128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paid all reasonable out-of-pocket invoiced fees, costs and expenses due and payable on the Effective Date under the Credit Agreement and the other Loan Documents; and</w:t>
      </w:r>
    </w:p>
    <w:p>
      <w:pPr>
        <w:spacing w:after="0" w:line="172" w:lineRule="exact"/>
        <w:rPr>
          <w:rFonts w:ascii="Times New Roman" w:cs="Times New Roman" w:eastAsia="Times New Roman" w:hAnsi="Times New Roman"/>
          <w:sz w:val="20"/>
          <w:szCs w:val="20"/>
          <w:color w:val="auto"/>
        </w:rPr>
      </w:pPr>
    </w:p>
    <w:p>
      <w:pPr>
        <w:ind w:left="4" w:firstLine="644"/>
        <w:spacing w:after="0" w:line="269" w:lineRule="auto"/>
        <w:tabs>
          <w:tab w:leader="none" w:pos="128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such other information, documents, instruments or approvals as the Administrative Agent or the Lenders may reasonably request.</w:t>
      </w:r>
    </w:p>
    <w:p>
      <w:pPr>
        <w:spacing w:after="0" w:line="172" w:lineRule="exact"/>
        <w:rPr>
          <w:rFonts w:ascii="Times New Roman" w:cs="Times New Roman" w:eastAsia="Times New Roman" w:hAnsi="Times New Roman"/>
          <w:sz w:val="20"/>
          <w:szCs w:val="20"/>
          <w:color w:val="auto"/>
        </w:rPr>
      </w:pPr>
    </w:p>
    <w:p>
      <w:pPr>
        <w:ind w:left="-656" w:firstLine="656"/>
        <w:spacing w:after="0" w:line="283"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To induce the Administrative Agent and the Lenders to enter into this Amendment, each Loan Party hereby represents and warrants to the Administrative Agent and the Lenders that:</w:t>
      </w:r>
    </w:p>
    <w:p>
      <w:pPr>
        <w:spacing w:after="0" w:line="146"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Loan Party has taken all necessary corporate action to authorize the execution, delivery and performance of this</w:t>
      </w:r>
    </w:p>
    <w:p>
      <w:pPr>
        <w:spacing w:after="0" w:line="39" w:lineRule="exact"/>
        <w:rPr>
          <w:rFonts w:ascii="Times New Roman" w:cs="Times New Roman" w:eastAsia="Times New Roman" w:hAnsi="Times New Roman"/>
          <w:sz w:val="19"/>
          <w:szCs w:val="19"/>
          <w:color w:val="auto"/>
        </w:rPr>
      </w:pPr>
    </w:p>
    <w:p>
      <w:pPr>
        <w:ind w:left="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Amendment.</w:t>
      </w:r>
    </w:p>
    <w:p>
      <w:pPr>
        <w:spacing w:after="0" w:line="200" w:lineRule="exact"/>
        <w:rPr>
          <w:rFonts w:ascii="Times New Roman" w:cs="Times New Roman" w:eastAsia="Times New Roman" w:hAnsi="Times New Roman"/>
          <w:sz w:val="19"/>
          <w:szCs w:val="19"/>
          <w:color w:val="auto"/>
        </w:rPr>
      </w:pPr>
    </w:p>
    <w:p>
      <w:pPr>
        <w:jc w:val="both"/>
        <w:ind w:left="4" w:firstLine="644"/>
        <w:spacing w:after="0" w:line="257" w:lineRule="auto"/>
        <w:tabs>
          <w:tab w:leader="none" w:pos="128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such Loan Party and the Amended Credit Agreement constitutes such Loan Party’s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ectPr>
          <w:pgSz w:w="11900" w:h="16838" w:orient="portrait"/>
          <w:cols w:equalWidth="0" w:num="1">
            <w:col w:w="10584"/>
          </w:cols>
          <w:pgMar w:left="976" w:top="1440" w:right="339" w:bottom="1440" w:gutter="0" w:footer="0" w:header="0"/>
        </w:sectPr>
      </w:pPr>
    </w:p>
    <w:bookmarkStart w:id="4" w:name="page5"/>
    <w:bookmarkEnd w:id="4"/>
    <w:p>
      <w:pPr>
        <w:spacing w:after="0" w:line="189" w:lineRule="exact"/>
        <w:rPr>
          <w:sz w:val="20"/>
          <w:szCs w:val="20"/>
          <w:color w:val="auto"/>
        </w:rPr>
      </w:pPr>
    </w:p>
    <w:p>
      <w:pPr>
        <w:jc w:val="both"/>
        <w:ind w:left="4" w:firstLine="644"/>
        <w:spacing w:after="0" w:line="261" w:lineRule="auto"/>
        <w:tabs>
          <w:tab w:leader="none" w:pos="129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execution, delivery or performance by such Loan Party of this Amendment, each Loan Party has received all necessary governmental and other third-party approvals (if any shall be required) the failure of which to obtain could reasonably be expected to have a Material Adverse Effect.</w:t>
      </w:r>
    </w:p>
    <w:p>
      <w:pPr>
        <w:spacing w:after="0" w:line="181" w:lineRule="exact"/>
        <w:rPr>
          <w:rFonts w:ascii="Times New Roman" w:cs="Times New Roman" w:eastAsia="Times New Roman" w:hAnsi="Times New Roman"/>
          <w:sz w:val="20"/>
          <w:szCs w:val="20"/>
          <w:color w:val="auto"/>
        </w:rPr>
      </w:pPr>
    </w:p>
    <w:p>
      <w:pPr>
        <w:jc w:val="both"/>
        <w:ind w:left="4" w:firstLine="644"/>
        <w:spacing w:after="0" w:line="251" w:lineRule="auto"/>
        <w:tabs>
          <w:tab w:leader="none" w:pos="1288"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hereof immediately after giving effect to the terms of this Amendment, (i) no Default or Event of Default has occurred and is continuing and (ii) the representations and warranties (excluding the representation and warranty contained in Section 6.05 of the Credit Agreement) of the Loan Parties set forth in the Credit Agreement are true and correct in all material respects (without duplication of any materiality standard set forth in any such representation or warranty), except to the extent such representations and warranties expressly relate to an earlier date, in which case such representations and warranties are true and correct in all material respects as of such date (without duplication of any materiality standard set forth in any such representation or warranty).</w:t>
      </w:r>
    </w:p>
    <w:p>
      <w:pPr>
        <w:spacing w:after="0" w:line="19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Joining New Lender and Assignment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54" w:lineRule="auto"/>
        <w:tabs>
          <w:tab w:leader="none" w:pos="129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not party to the Credit Agreement (each such Lender, a “</w:t>
      </w:r>
      <w:r>
        <w:rPr>
          <w:rFonts w:ascii="Times New Roman" w:cs="Times New Roman" w:eastAsia="Times New Roman" w:hAnsi="Times New Roman"/>
          <w:sz w:val="20"/>
          <w:szCs w:val="20"/>
          <w:u w:val="single" w:color="auto"/>
          <w:color w:val="auto"/>
        </w:rPr>
        <w:t>Joining New Lender</w:t>
      </w:r>
      <w:r>
        <w:rPr>
          <w:rFonts w:ascii="Times New Roman" w:cs="Times New Roman" w:eastAsia="Times New Roman" w:hAnsi="Times New Roman"/>
          <w:sz w:val="20"/>
          <w:szCs w:val="20"/>
          <w:color w:val="auto"/>
        </w:rPr>
        <w:t>”) that executes and delivers a signature page to this Amendment hereby consents to the matters set forth in this Amendment and agrees to be bound by the provisions of this Amendment, the Amended Credit Agreement and each other Loan Document in its capacity as a Lender as if originally a party thereto.</w:t>
      </w:r>
    </w:p>
    <w:p>
      <w:pPr>
        <w:spacing w:after="0" w:line="187" w:lineRule="exact"/>
        <w:rPr>
          <w:rFonts w:ascii="Times New Roman" w:cs="Times New Roman" w:eastAsia="Times New Roman" w:hAnsi="Times New Roman"/>
          <w:sz w:val="20"/>
          <w:szCs w:val="20"/>
          <w:color w:val="auto"/>
        </w:rPr>
      </w:pPr>
    </w:p>
    <w:p>
      <w:pPr>
        <w:ind w:left="4" w:firstLine="644"/>
        <w:spacing w:after="0" w:line="283" w:lineRule="auto"/>
        <w:tabs>
          <w:tab w:leader="none" w:pos="1288"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of this Amendment, such Joining New Lender shall become a Lender under the Amended Credit Agreement, effective as of the Effective Date.</w:t>
      </w:r>
    </w:p>
    <w:p>
      <w:pPr>
        <w:spacing w:after="0" w:line="146" w:lineRule="exact"/>
        <w:rPr>
          <w:rFonts w:ascii="Times New Roman" w:cs="Times New Roman" w:eastAsia="Times New Roman" w:hAnsi="Times New Roman"/>
          <w:sz w:val="20"/>
          <w:szCs w:val="20"/>
          <w:color w:val="auto"/>
        </w:rPr>
      </w:pPr>
    </w:p>
    <w:p>
      <w:pPr>
        <w:jc w:val="both"/>
        <w:ind w:left="4" w:firstLine="644"/>
        <w:spacing w:after="0" w:line="252" w:lineRule="auto"/>
        <w:tabs>
          <w:tab w:leader="none" w:pos="129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Effective Date, each of the Lenders hereby sells and assigns and purchases and assumes, among themselves, without recourse and without representation or warranty except as set forth in the immediately following sentence, all Commitments and obligations under the Amended Credit Agreement and the other Loan Documents as defined therein as of the date hereof, such that, after giving effect thereto on the Effective Date, the Commitment held by each Lender shall be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to this Amendment (the “</w:t>
      </w:r>
      <w:r>
        <w:rPr>
          <w:rFonts w:ascii="Times New Roman" w:cs="Times New Roman" w:eastAsia="Times New Roman" w:hAnsi="Times New Roman"/>
          <w:sz w:val="20"/>
          <w:szCs w:val="20"/>
          <w:u w:val="single" w:color="auto"/>
          <w:color w:val="auto"/>
        </w:rPr>
        <w:t>Effective Date Assignment</w:t>
      </w:r>
      <w:r>
        <w:rPr>
          <w:rFonts w:ascii="Times New Roman" w:cs="Times New Roman" w:eastAsia="Times New Roman" w:hAnsi="Times New Roman"/>
          <w:sz w:val="20"/>
          <w:szCs w:val="20"/>
          <w:color w:val="auto"/>
        </w:rPr>
        <w:t>”). The Effective Date Assignment shall be made without representation or warranty except that (i) each Lender, to the extent an assignor of any Commitment or obligation, represents and warrants that it is the legal and beneficial owner of the interest being assigned by it hereunder and that, to its knowledge, such interest is free and clear of any adverse claim and (ii) each Lender, to the extent an assignee of any Commitment, represents and warrants that it is legally authorized to assume the Commitments assigned to it and enter into this Amendment.</w:t>
      </w:r>
    </w:p>
    <w:p>
      <w:pPr>
        <w:spacing w:after="0" w:line="17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Credit Agreement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29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hereof, each reference in the Amended Credit Agreement to “this Agreement,” “hereunder,” “hereof,” “herein,” or words of like import, and each reference in any other Loan Document to the Credit Agreement (including, without limitation, by means of words like “thereunder,” “thereof,” and words of like import), shall mean and be a reference to the Amended Credit Agreement and this Amendment and the Credit Agreement shall be read together and construed as a single instrument referred to herein as the Amended Credit Agreement.</w:t>
      </w:r>
    </w:p>
    <w:p>
      <w:pPr>
        <w:sectPr>
          <w:pgSz w:w="11900" w:h="16838" w:orient="portrait"/>
          <w:cols w:equalWidth="0" w:num="1">
            <w:col w:w="10584"/>
          </w:cols>
          <w:pgMar w:left="976" w:top="1440" w:right="339" w:bottom="1440" w:gutter="0" w:footer="0" w:header="0"/>
        </w:sectPr>
      </w:pPr>
    </w:p>
    <w:bookmarkStart w:id="5" w:name="page6"/>
    <w:bookmarkEnd w:id="5"/>
    <w:p>
      <w:pPr>
        <w:spacing w:after="0" w:line="189" w:lineRule="exact"/>
        <w:rPr>
          <w:sz w:val="20"/>
          <w:szCs w:val="20"/>
          <w:color w:val="auto"/>
        </w:rPr>
      </w:pPr>
    </w:p>
    <w:p>
      <w:pPr>
        <w:jc w:val="both"/>
        <w:ind w:left="4" w:right="20" w:firstLine="644"/>
        <w:spacing w:after="0" w:line="261" w:lineRule="auto"/>
        <w:tabs>
          <w:tab w:leader="none" w:pos="128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amended hereby, the Credit Agreement and all other documents, instruments and agreements executed and/or delivered in connection therewith shall remain in full force and effect and are hereby reaffirmed, ratified and confirmed.</w:t>
      </w:r>
    </w:p>
    <w:p>
      <w:pPr>
        <w:spacing w:after="0" w:line="181"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29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the subject matter hereof, 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172"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a Loan Document under (and as defined in) the Credit Agreement.</w:t>
      </w:r>
    </w:p>
    <w:p>
      <w:pPr>
        <w:spacing w:after="0" w:line="22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construed in accordance with and governed by the law of the State of</w:t>
      </w:r>
    </w:p>
    <w:p>
      <w:pPr>
        <w:spacing w:after="0" w:line="28" w:lineRule="exact"/>
        <w:rPr>
          <w:rFonts w:ascii="Times New Roman" w:cs="Times New Roman" w:eastAsia="Times New Roman" w:hAnsi="Times New Roman"/>
          <w:sz w:val="20"/>
          <w:szCs w:val="20"/>
          <w:color w:val="auto"/>
        </w:rPr>
      </w:pPr>
    </w:p>
    <w:p>
      <w:pPr>
        <w:ind w:left="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Illinois.</w:t>
      </w:r>
    </w:p>
    <w:p>
      <w:pPr>
        <w:spacing w:after="0" w:line="213"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8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 Waiver of Venue; Service of Process; Waiver of Jury Trial</w:t>
      </w:r>
      <w:r>
        <w:rPr>
          <w:rFonts w:ascii="Times New Roman" w:cs="Times New Roman" w:eastAsia="Times New Roman" w:hAnsi="Times New Roman"/>
          <w:sz w:val="20"/>
          <w:szCs w:val="20"/>
          <w:color w:val="auto"/>
        </w:rPr>
        <w:t xml:space="preserve">. The submission to jurisdiction, waiver of venue, service of process and waiver of jury trial provisions set forth in </w:t>
      </w:r>
      <w:r>
        <w:rPr>
          <w:rFonts w:ascii="Times New Roman" w:cs="Times New Roman" w:eastAsia="Times New Roman" w:hAnsi="Times New Roman"/>
          <w:sz w:val="20"/>
          <w:szCs w:val="20"/>
          <w:u w:val="single" w:color="auto"/>
          <w:color w:val="auto"/>
        </w:rPr>
        <w:t>Sections 11.15(b)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11.16</w:t>
      </w:r>
      <w:r>
        <w:rPr>
          <w:rFonts w:ascii="Times New Roman" w:cs="Times New Roman" w:eastAsia="Times New Roman" w:hAnsi="Times New Roman"/>
          <w:sz w:val="20"/>
          <w:szCs w:val="20"/>
          <w:color w:val="auto"/>
        </w:rPr>
        <w:t xml:space="preserve"> of the Credit Agreement are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ind w:left="4" w:firstLine="644"/>
        <w:spacing w:after="0" w:line="283" w:lineRule="auto"/>
        <w:tabs>
          <w:tab w:leader="none" w:pos="129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several Sections and subsections of this Amendment are inserted for convenience only and shall not in any way affect the meaning or construction of any provision of this Amendment.</w:t>
      </w:r>
    </w:p>
    <w:p>
      <w:pPr>
        <w:spacing w:after="0" w:line="159"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8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Amendment which is prohibited or unenforceable in any jurisdiction shall, as to such jurisdiction, be ineffective to the extent of such prohibition or unenforceability without invalidating the remaining provisions of this Amendment or affecting the validity or enforceability of such provision in any other jurisdiction.</w:t>
      </w:r>
    </w:p>
    <w:p>
      <w:pPr>
        <w:spacing w:after="0" w:line="167" w:lineRule="exact"/>
        <w:rPr>
          <w:rFonts w:ascii="Times New Roman" w:cs="Times New Roman" w:eastAsia="Times New Roman" w:hAnsi="Times New Roman"/>
          <w:sz w:val="20"/>
          <w:szCs w:val="20"/>
          <w:color w:val="auto"/>
        </w:rPr>
      </w:pPr>
    </w:p>
    <w:p>
      <w:pPr>
        <w:jc w:val="both"/>
        <w:ind w:left="4" w:firstLine="644"/>
        <w:spacing w:after="0" w:line="257" w:lineRule="auto"/>
        <w:tabs>
          <w:tab w:leader="none" w:pos="129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and by the different parties hereto on separate counterparts, each of which when so executed and delivered shall be an original, but all of which shall together constitute one and the same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w:t>
      </w:r>
    </w:p>
    <w:p>
      <w:pPr>
        <w:spacing w:after="0" w:line="172" w:lineRule="exact"/>
        <w:rPr>
          <w:rFonts w:ascii="Times New Roman" w:cs="Times New Roman" w:eastAsia="Times New Roman" w:hAnsi="Times New Roman"/>
          <w:sz w:val="20"/>
          <w:szCs w:val="20"/>
          <w:color w:val="auto"/>
        </w:rPr>
      </w:pPr>
    </w:p>
    <w:p>
      <w:pPr>
        <w:jc w:val="both"/>
        <w:ind w:left="4" w:firstLine="644"/>
        <w:spacing w:after="0" w:line="260" w:lineRule="auto"/>
        <w:tabs>
          <w:tab w:leader="none" w:pos="1298" w:val="left"/>
        </w:tabs>
        <w:numPr>
          <w:ilvl w:val="1"/>
          <w:numId w:val="9"/>
        </w:numPr>
        <w:rPr>
          <w:rFonts w:ascii="Arial" w:cs="Arial" w:eastAsia="Arial" w:hAnsi="Arial"/>
          <w:sz w:val="20"/>
          <w:szCs w:val="20"/>
          <w:color w:val="auto"/>
        </w:rPr>
      </w:pPr>
      <w:r>
        <w:rPr>
          <w:rFonts w:ascii="Times New Roman" w:cs="Times New Roman" w:eastAsia="Times New Roman" w:hAnsi="Times New Roman"/>
          <w:sz w:val="20"/>
          <w:szCs w:val="20"/>
          <w:u w:val="single" w:color="auto"/>
          <w:color w:val="auto"/>
        </w:rPr>
        <w:t>Clement Communications</w:t>
      </w:r>
      <w:r>
        <w:rPr>
          <w:rFonts w:ascii="Times New Roman" w:cs="Times New Roman" w:eastAsia="Times New Roman" w:hAnsi="Times New Roman"/>
          <w:sz w:val="20"/>
          <w:szCs w:val="20"/>
          <w:color w:val="auto"/>
        </w:rPr>
        <w:t>. For the avoidance of doubt, the parties hereto hereby acknowledge and agree that Clement Communications, Incorporated (having merged into Tricor Direct, Inc.) is no longer a Guarantor or Loan Party under any Loan Document.</w:t>
      </w:r>
    </w:p>
    <w:p>
      <w:pPr>
        <w:spacing w:after="0" w:line="183" w:lineRule="exact"/>
        <w:rPr>
          <w:rFonts w:ascii="Arial" w:cs="Arial" w:eastAsia="Arial" w:hAnsi="Arial"/>
          <w:sz w:val="20"/>
          <w:szCs w:val="20"/>
          <w:color w:val="auto"/>
        </w:rPr>
      </w:pPr>
    </w:p>
    <w:p>
      <w:pPr>
        <w:jc w:val="both"/>
        <w:ind w:left="4" w:firstLine="644"/>
        <w:spacing w:after="0" w:line="261" w:lineRule="auto"/>
        <w:tabs>
          <w:tab w:leader="none" w:pos="128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Domestic Subsidiaries</w:t>
      </w:r>
      <w:r>
        <w:rPr>
          <w:rFonts w:ascii="Times New Roman" w:cs="Times New Roman" w:eastAsia="Times New Roman" w:hAnsi="Times New Roman"/>
          <w:sz w:val="20"/>
          <w:szCs w:val="20"/>
          <w:color w:val="auto"/>
        </w:rPr>
        <w:t xml:space="preserve">. Notwithstanding anything to the contrary set forth in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of the Credit Agreement, the Administrative Agent hereby agrees that Code Corporation and Magicard shall be permitted to become Guarantors and Loan Parties under the Loan Documents concurrently with the execution and delivery of this Amendment.</w:t>
      </w:r>
    </w:p>
    <w:p>
      <w:pPr>
        <w:sectPr>
          <w:pgSz w:w="11900" w:h="16838" w:orient="portrait"/>
          <w:cols w:equalWidth="0" w:num="1">
            <w:col w:w="10584"/>
          </w:cols>
          <w:pgMar w:left="976" w:top="1440" w:right="339" w:bottom="1440" w:gutter="0" w:footer="0" w:header="0"/>
        </w:sectPr>
      </w:pPr>
    </w:p>
    <w:bookmarkStart w:id="6" w:name="page7"/>
    <w:bookmarkEnd w:id="6"/>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ectPr>
          <w:pgSz w:w="11900" w:h="16838" w:orient="portrait"/>
          <w:cols w:equalWidth="0" w:num="1">
            <w:col w:w="9019"/>
          </w:cols>
          <w:pgMar w:left="1440" w:top="1440" w:right="1440" w:bottom="1440" w:gutter="0" w:footer="0" w:header="0"/>
        </w:sectPr>
      </w:pPr>
    </w:p>
    <w:bookmarkStart w:id="7" w:name="page8"/>
    <w:bookmarkEnd w:id="7"/>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respective authorized officers as of the day and year first above written.</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BORROWERS:</w:t>
            </w: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BRADY CORPORATION,</w:t>
            </w:r>
          </w:p>
        </w:tc>
      </w:tr>
      <w:tr>
        <w:trPr>
          <w:trHeight w:val="283"/>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a Wisconsin corporation</w:t>
            </w:r>
          </w:p>
        </w:tc>
      </w:tr>
      <w:tr>
        <w:trPr>
          <w:trHeight w:val="493"/>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By: /s/ AARON J. PEARCE</w:t>
            </w:r>
          </w:p>
        </w:tc>
      </w:tr>
      <w:tr>
        <w:trPr>
          <w:trHeight w:val="20"/>
        </w:trPr>
        <w:tc>
          <w:tcPr>
            <w:tcW w:w="3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81"/>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Name: Aaron J. Pearce</w:t>
            </w:r>
          </w:p>
        </w:tc>
      </w:tr>
      <w:tr>
        <w:trPr>
          <w:trHeight w:val="258"/>
        </w:trPr>
        <w:tc>
          <w:tcPr>
            <w:tcW w:w="3060" w:type="dxa"/>
            <w:vAlign w:val="bottom"/>
          </w:tcPr>
          <w:p>
            <w:pPr>
              <w:spacing w:after="0"/>
              <w:rPr>
                <w:sz w:val="22"/>
                <w:szCs w:val="22"/>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w w:val="97"/>
              </w:rPr>
              <w:t>Title: Chief Financial Officer and Treasurer</w:t>
            </w:r>
          </w:p>
        </w:tc>
      </w:tr>
      <w:tr>
        <w:trPr>
          <w:trHeight w:val="797"/>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BRADY WORLDWIDE, INC.,</w:t>
            </w:r>
          </w:p>
        </w:tc>
      </w:tr>
      <w:tr>
        <w:trPr>
          <w:trHeight w:val="270"/>
        </w:trPr>
        <w:tc>
          <w:tcPr>
            <w:tcW w:w="3060" w:type="dxa"/>
            <w:vAlign w:val="bottom"/>
          </w:tcPr>
          <w:p>
            <w:pPr>
              <w:spacing w:after="0"/>
              <w:rPr>
                <w:sz w:val="23"/>
                <w:szCs w:val="23"/>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a Wisconsin corporation</w:t>
            </w:r>
          </w:p>
        </w:tc>
      </w:tr>
      <w:tr>
        <w:trPr>
          <w:trHeight w:val="493"/>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By: /s/ AARON J. PEARCE</w:t>
            </w:r>
          </w:p>
        </w:tc>
      </w:tr>
      <w:tr>
        <w:trPr>
          <w:trHeight w:val="20"/>
        </w:trPr>
        <w:tc>
          <w:tcPr>
            <w:tcW w:w="3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81"/>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Name: Aaron J. Pearce</w:t>
            </w:r>
          </w:p>
        </w:tc>
      </w:tr>
      <w:tr>
        <w:trPr>
          <w:trHeight w:val="258"/>
        </w:trPr>
        <w:tc>
          <w:tcPr>
            <w:tcW w:w="3060" w:type="dxa"/>
            <w:vAlign w:val="bottom"/>
          </w:tcPr>
          <w:p>
            <w:pPr>
              <w:spacing w:after="0"/>
              <w:rPr>
                <w:sz w:val="22"/>
                <w:szCs w:val="22"/>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Title: Vice President and Treasurer</w:t>
            </w:r>
          </w:p>
        </w:tc>
      </w:tr>
      <w:tr>
        <w:trPr>
          <w:trHeight w:val="797"/>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TRICOR DIRECT, INC.,</w:t>
            </w:r>
          </w:p>
        </w:tc>
      </w:tr>
      <w:tr>
        <w:trPr>
          <w:trHeight w:val="270"/>
        </w:trPr>
        <w:tc>
          <w:tcPr>
            <w:tcW w:w="3060" w:type="dxa"/>
            <w:vAlign w:val="bottom"/>
          </w:tcPr>
          <w:p>
            <w:pPr>
              <w:spacing w:after="0"/>
              <w:rPr>
                <w:sz w:val="23"/>
                <w:szCs w:val="23"/>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493"/>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By: /s/ AARON J. PEARCE</w:t>
            </w:r>
          </w:p>
        </w:tc>
      </w:tr>
      <w:tr>
        <w:trPr>
          <w:trHeight w:val="20"/>
        </w:trPr>
        <w:tc>
          <w:tcPr>
            <w:tcW w:w="3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81"/>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Name: Aaron J. Pearce</w:t>
            </w:r>
          </w:p>
        </w:tc>
      </w:tr>
      <w:tr>
        <w:trPr>
          <w:trHeight w:val="258"/>
        </w:trPr>
        <w:tc>
          <w:tcPr>
            <w:tcW w:w="3060" w:type="dxa"/>
            <w:vAlign w:val="bottom"/>
          </w:tcPr>
          <w:p>
            <w:pPr>
              <w:spacing w:after="0"/>
              <w:rPr>
                <w:sz w:val="22"/>
                <w:szCs w:val="22"/>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Title: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Second Amendment to Credit Agreement]</w:t>
      </w:r>
    </w:p>
    <w:p>
      <w:pPr>
        <w:sectPr>
          <w:pgSz w:w="11900" w:h="16838" w:orient="portrait"/>
          <w:cols w:equalWidth="0" w:num="1">
            <w:col w:w="11240"/>
          </w:cols>
          <w:pgMar w:left="320" w:top="1413" w:right="339" w:bottom="1440" w:gutter="0" w:footer="0" w:header="0"/>
        </w:sectPr>
      </w:pPr>
    </w:p>
    <w:bookmarkStart w:id="8" w:name="page9"/>
    <w:bookmarkEnd w:id="8"/>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BRADY FINANCE LUXEMBOURG,</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a Luxembourg private limited liability company</w:t>
      </w:r>
    </w:p>
    <w:p>
      <w:pPr>
        <w:spacing w:after="0" w:line="32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ARIANNE VERSTRAETEN</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Arianne Verstraeten</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Manager</w:t>
      </w:r>
    </w:p>
    <w:p>
      <w:pPr>
        <w:spacing w:after="0" w:line="29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AARON J. PEARCE</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Aaron J. Pearce</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37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BRADY S.à r.l.,</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a Luxembourg private limited liability company</w:t>
      </w:r>
    </w:p>
    <w:p>
      <w:pPr>
        <w:spacing w:after="0" w:line="32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ARIANNE VERSTRAETEN</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Arianne Verstraeten</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Manager</w:t>
      </w:r>
    </w:p>
    <w:p>
      <w:pPr>
        <w:spacing w:after="0" w:line="29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AARON J. PEARCE</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Aaron J. Pearce</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ectPr>
          <w:pgSz w:w="11900" w:h="16838" w:orient="portrait"/>
          <w:cols w:equalWidth="0" w:num="1">
            <w:col w:w="9019"/>
          </w:cols>
          <w:pgMar w:left="1440" w:top="1440" w:right="1440" w:bottom="1440" w:gutter="0" w:footer="0" w:header="0"/>
        </w:sectPr>
      </w:pPr>
    </w:p>
    <w:bookmarkStart w:id="9" w:name="page10"/>
    <w:bookmarkEnd w:id="9"/>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GUARANTORS:</w:t>
            </w: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BRADY INTERNATIONAL CO., a Wisconsin corporation</w:t>
            </w:r>
          </w:p>
        </w:tc>
      </w:tr>
      <w:tr>
        <w:trPr>
          <w:trHeight w:val="256"/>
        </w:trPr>
        <w:tc>
          <w:tcPr>
            <w:tcW w:w="3120" w:type="dxa"/>
            <w:vAlign w:val="bottom"/>
          </w:tcPr>
          <w:p>
            <w:pPr>
              <w:spacing w:after="0"/>
              <w:rPr>
                <w:sz w:val="22"/>
                <w:szCs w:val="22"/>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w w:val="98"/>
              </w:rPr>
              <w:t>WORLDMARK OF WISCONSIN INCORPORATED, a Delaware corporation</w:t>
            </w:r>
          </w:p>
        </w:tc>
      </w:tr>
      <w:tr>
        <w:trPr>
          <w:trHeight w:val="257"/>
        </w:trPr>
        <w:tc>
          <w:tcPr>
            <w:tcW w:w="3120" w:type="dxa"/>
            <w:vAlign w:val="bottom"/>
          </w:tcPr>
          <w:p>
            <w:pPr>
              <w:spacing w:after="0"/>
              <w:rPr>
                <w:sz w:val="22"/>
                <w:szCs w:val="22"/>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AIO ACQUISITION, INC., a Delaware corporation</w:t>
            </w:r>
          </w:p>
        </w:tc>
      </w:tr>
      <w:tr>
        <w:trPr>
          <w:trHeight w:val="258"/>
        </w:trPr>
        <w:tc>
          <w:tcPr>
            <w:tcW w:w="3120" w:type="dxa"/>
            <w:vAlign w:val="bottom"/>
          </w:tcPr>
          <w:p>
            <w:pPr>
              <w:spacing w:after="0"/>
              <w:rPr>
                <w:sz w:val="22"/>
                <w:szCs w:val="22"/>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PRECISION DYNAMICS CORPORATION, a California corporation</w:t>
            </w:r>
          </w:p>
        </w:tc>
      </w:tr>
      <w:tr>
        <w:trPr>
          <w:trHeight w:val="480"/>
        </w:trPr>
        <w:tc>
          <w:tcPr>
            <w:tcW w:w="3120" w:type="dxa"/>
            <w:vAlign w:val="bottom"/>
          </w:tcPr>
          <w:p>
            <w:pPr>
              <w:spacing w:after="0"/>
              <w:rPr>
                <w:sz w:val="24"/>
                <w:szCs w:val="24"/>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By: /s/ AARON J. PEARCE</w:t>
            </w:r>
          </w:p>
        </w:tc>
      </w:tr>
      <w:tr>
        <w:trPr>
          <w:trHeight w:val="20"/>
        </w:trPr>
        <w:tc>
          <w:tcPr>
            <w:tcW w:w="3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81"/>
        </w:trPr>
        <w:tc>
          <w:tcPr>
            <w:tcW w:w="3120" w:type="dxa"/>
            <w:vAlign w:val="bottom"/>
          </w:tcPr>
          <w:p>
            <w:pPr>
              <w:spacing w:after="0"/>
              <w:rPr>
                <w:sz w:val="24"/>
                <w:szCs w:val="24"/>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Name: Aaron J. Pearce</w:t>
            </w:r>
          </w:p>
        </w:tc>
      </w:tr>
      <w:tr>
        <w:trPr>
          <w:trHeight w:val="258"/>
        </w:trPr>
        <w:tc>
          <w:tcPr>
            <w:tcW w:w="3120" w:type="dxa"/>
            <w:vAlign w:val="bottom"/>
          </w:tcPr>
          <w:p>
            <w:pPr>
              <w:spacing w:after="0"/>
              <w:rPr>
                <w:sz w:val="22"/>
                <w:szCs w:val="22"/>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Title: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Second Amendment to Credit Agreement]</w:t>
      </w:r>
    </w:p>
    <w:p>
      <w:pPr>
        <w:sectPr>
          <w:pgSz w:w="11900" w:h="16838" w:orient="portrait"/>
          <w:cols w:equalWidth="0" w:num="1">
            <w:col w:w="11100"/>
          </w:cols>
          <w:pgMar w:left="340" w:top="1440" w:right="459" w:bottom="1440" w:gutter="0" w:footer="0" w:header="0"/>
        </w:sectPr>
      </w:pPr>
    </w:p>
    <w:bookmarkStart w:id="10" w:name="page11"/>
    <w:bookmarkEnd w:id="10"/>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BMO HARRIS BANK N.A., individually as a Lender and as Administrative Agent</w:t>
      </w:r>
    </w:p>
    <w:p>
      <w:pPr>
        <w:spacing w:after="0" w:line="25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DEBORAH ROESNER</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Deborah Roesner</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[Signature Page to Second Amendment to Credit Agreement]</w:t>
      </w:r>
    </w:p>
    <w:p>
      <w:pPr>
        <w:sectPr>
          <w:pgSz w:w="11900" w:h="16838" w:orient="portrait"/>
          <w:cols w:equalWidth="0" w:num="1">
            <w:col w:w="9780"/>
          </w:cols>
          <w:pgMar w:left="1440" w:top="1440" w:right="679" w:bottom="1440" w:gutter="0" w:footer="0" w:header="0"/>
        </w:sectPr>
      </w:pPr>
    </w:p>
    <w:bookmarkStart w:id="11" w:name="page12"/>
    <w:bookmarkEnd w:id="11"/>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BANK OF AMERICA, N.A., as a Lender</w:t>
      </w:r>
    </w:p>
    <w:p>
      <w:pPr>
        <w:spacing w:after="0" w:line="30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JEREMY T. WEISS</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Jeremy T. Weiss</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ectPr>
          <w:pgSz w:w="11900" w:h="16838" w:orient="portrait"/>
          <w:cols w:equalWidth="0" w:num="1">
            <w:col w:w="9019"/>
          </w:cols>
          <w:pgMar w:left="1440" w:top="1440" w:right="1440" w:bottom="1440" w:gutter="0" w:footer="0" w:header="0"/>
        </w:sectPr>
      </w:pPr>
    </w:p>
    <w:bookmarkStart w:id="12" w:name="page13"/>
    <w:bookmarkEnd w:id="12"/>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CIBC BANK USA, as a Lender</w:t>
      </w:r>
    </w:p>
    <w:p>
      <w:pPr>
        <w:spacing w:after="0" w:line="29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B. CAMPBELL</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Peter B. Campbell</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ectPr>
          <w:pgSz w:w="11900" w:h="16838" w:orient="portrait"/>
          <w:cols w:equalWidth="0" w:num="1">
            <w:col w:w="9019"/>
          </w:cols>
          <w:pgMar w:left="1440" w:top="1440" w:right="1440" w:bottom="1440" w:gutter="0" w:footer="0" w:header="0"/>
        </w:sectPr>
      </w:pPr>
    </w:p>
    <w:bookmarkStart w:id="13" w:name="page14"/>
    <w:bookmarkEnd w:id="13"/>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WELLS FARGO BANK, NATIONAL ASSOCIATION, as a Lender</w:t>
      </w:r>
    </w:p>
    <w:p>
      <w:pPr>
        <w:spacing w:after="0" w:line="30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ROBERT J. VALCQ</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Robert J. Valcq</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ectPr>
          <w:pgSz w:w="11900" w:h="16838" w:orient="portrait"/>
          <w:cols w:equalWidth="0" w:num="1">
            <w:col w:w="9140"/>
          </w:cols>
          <w:pgMar w:left="1440" w:top="1440" w:right="1319" w:bottom="1440" w:gutter="0" w:footer="0" w:header="0"/>
        </w:sectPr>
      </w:pPr>
    </w:p>
    <w:bookmarkStart w:id="14" w:name="page15"/>
    <w:bookmarkEnd w:id="14"/>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PNC BANK, NATIONAL ASSOCIATION, as a Lender</w:t>
      </w:r>
    </w:p>
    <w:p>
      <w:pPr>
        <w:spacing w:after="0" w:line="30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JOSEPH VEHEC</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Joseph Vehec</w:t>
      </w:r>
    </w:p>
    <w:p>
      <w:pPr>
        <w:spacing w:after="0" w:line="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ectPr>
          <w:pgSz w:w="11900" w:h="16838" w:orient="portrait"/>
          <w:cols w:equalWidth="0" w:num="1">
            <w:col w:w="9019"/>
          </w:cols>
          <w:pgMar w:left="1440" w:top="1440" w:right="1440" w:bottom="1440" w:gutter="0" w:footer="0" w:header="0"/>
        </w:sectPr>
      </w:pPr>
    </w:p>
    <w:bookmarkStart w:id="15" w:name="page16"/>
    <w:bookmarkEnd w:id="15"/>
    <w:p>
      <w:pPr>
        <w:spacing w:after="0" w:line="14"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20"/>
          <w:szCs w:val="20"/>
          <w:color w:val="auto"/>
        </w:rPr>
        <w:t>ASSOCIATED BANK, NATIONAL ASSOCIATION, as a Lender</w:t>
      </w:r>
    </w:p>
    <w:p>
      <w:pPr>
        <w:spacing w:after="0" w:line="31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KRUG</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Kevin Krug</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ectPr>
          <w:pgSz w:w="11900" w:h="16838" w:orient="portrait"/>
          <w:cols w:equalWidth="0" w:num="1">
            <w:col w:w="9019"/>
          </w:cols>
          <w:pgMar w:left="1440" w:top="1440" w:right="1440" w:bottom="1440" w:gutter="0" w:footer="0" w:header="0"/>
        </w:sectPr>
      </w:pPr>
    </w:p>
    <w:bookmarkStart w:id="16" w:name="page17"/>
    <w:bookmarkEnd w:id="16"/>
    <w:p>
      <w:pPr>
        <w:ind w:left="4180"/>
        <w:spacing w:after="0"/>
        <w:rPr>
          <w:sz w:val="20"/>
          <w:szCs w:val="20"/>
          <w:color w:val="auto"/>
        </w:rPr>
      </w:pPr>
      <w:r>
        <w:rPr>
          <w:rFonts w:ascii="Times New Roman" w:cs="Times New Roman" w:eastAsia="Times New Roman" w:hAnsi="Times New Roman"/>
          <w:sz w:val="20"/>
          <w:szCs w:val="20"/>
          <w:u w:val="single" w:color="auto"/>
          <w:color w:val="auto"/>
        </w:rPr>
        <w:t>Annex I</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Confirmed through </w:t>
      </w:r>
      <w:r>
        <w:rPr>
          <w:rFonts w:ascii="Times New Roman" w:cs="Times New Roman" w:eastAsia="Times New Roman" w:hAnsi="Times New Roman"/>
          <w:sz w:val="20"/>
          <w:szCs w:val="20"/>
          <w:b w:val="1"/>
          <w:bCs w:val="1"/>
          <w:i w:val="1"/>
          <w:iCs w:val="1"/>
          <w:color w:val="FF0000"/>
          <w:strike w:val="1"/>
        </w:rPr>
        <w:t>First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u w:val="single" w:color="auto"/>
          <w:color w:val="0000FF"/>
        </w:rPr>
        <w:t>Second</w:t>
      </w:r>
      <w:r>
        <w:rPr>
          <w:rFonts w:ascii="Times New Roman" w:cs="Times New Roman" w:eastAsia="Times New Roman" w:hAnsi="Times New Roman"/>
          <w:sz w:val="20"/>
          <w:szCs w:val="20"/>
          <w:b w:val="1"/>
          <w:bCs w:val="1"/>
          <w:i w:val="1"/>
          <w:iCs w:val="1"/>
          <w:color w:val="auto"/>
        </w:rPr>
        <w:t xml:space="preserv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 August 1, 2019</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u w:val="single" w:color="auto"/>
          <w:color w:val="0000FF"/>
        </w:rPr>
        <w:t>(as amended on and prior to the Second Amendment Effective Date)</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among</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b w:val="1"/>
          <w:bCs w:val="1"/>
          <w:color w:val="auto"/>
        </w:rPr>
        <w:t>BRADY CORPORATION</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9"/>
          <w:szCs w:val="19"/>
          <w:b w:val="1"/>
          <w:bCs w:val="1"/>
          <w:color w:val="auto"/>
        </w:rPr>
        <w:t>CERTAIN SUBSIDIARIES OF BRADY CORPORATION IDENTIFIED HEREIN</w:t>
      </w:r>
      <w:r>
        <w:rPr>
          <w:rFonts w:ascii="Times New Roman" w:cs="Times New Roman" w:eastAsia="Times New Roman" w:hAnsi="Times New Roman"/>
          <w:sz w:val="19"/>
          <w:szCs w:val="19"/>
          <w:color w:val="auto"/>
        </w:rPr>
        <w:t>,</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Borrowers,</w:t>
      </w:r>
    </w:p>
    <w:p>
      <w:pPr>
        <w:spacing w:after="0" w:line="20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b w:val="1"/>
          <w:bCs w:val="1"/>
          <w:color w:val="auto"/>
        </w:rPr>
        <w:t>CERTAIN SUBSIDIARIES OF THE BORROWERS IDENTIFIED HEREIN</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Guarantors,</w:t>
      </w:r>
    </w:p>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THE LENDERS PARTY HERETO</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b w:val="1"/>
          <w:bCs w:val="1"/>
          <w:color w:val="auto"/>
        </w:rPr>
        <w:t>BMO HARRIS BANK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 Swing Line Lender and L/C Issuer,</w:t>
      </w:r>
    </w:p>
    <w:p>
      <w:pPr>
        <w:spacing w:after="0" w:line="20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 xml:space="preserve">as </w:t>
      </w:r>
      <w:r>
        <w:rPr>
          <w:rFonts w:ascii="Times New Roman" w:cs="Times New Roman" w:eastAsia="Times New Roman" w:hAnsi="Times New Roman"/>
          <w:sz w:val="20"/>
          <w:szCs w:val="20"/>
          <w:u w:val="single" w:color="auto"/>
          <w:color w:val="0000FF"/>
        </w:rPr>
        <w:t>Co-</w:t>
      </w:r>
      <w:r>
        <w:rPr>
          <w:rFonts w:ascii="Times New Roman" w:cs="Times New Roman" w:eastAsia="Times New Roman" w:hAnsi="Times New Roman"/>
          <w:sz w:val="20"/>
          <w:szCs w:val="20"/>
          <w:color w:val="auto"/>
        </w:rPr>
        <w:t>Syndication Agent and L/C Issuer,</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u w:val="single" w:color="auto"/>
          <w:color w:val="0000FF"/>
        </w:rPr>
        <w:t>CIBC BANK USA,</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u w:val="single" w:color="auto"/>
          <w:color w:val="0000FF"/>
        </w:rPr>
        <w:t>as Co-Syndication Agent,</w:t>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WELLS FARGO BANK,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as Documentation Agent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Arranged By:</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BMO CAPITAL MARKETS</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b w:val="1"/>
          <w:bCs w:val="1"/>
          <w:color w:val="0000FF"/>
          <w:strike w:val="1"/>
        </w:rPr>
        <w:t>,</w:t>
      </w:r>
    </w:p>
    <w:p>
      <w:pPr>
        <w:spacing w:after="0" w:line="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BOFA SECURITIES, INC.</w:t>
      </w:r>
      <w:r>
        <w:rPr>
          <w:rFonts w:ascii="Times New Roman" w:cs="Times New Roman" w:eastAsia="Times New Roman" w:hAnsi="Times New Roman"/>
          <w:sz w:val="20"/>
          <w:szCs w:val="20"/>
          <w:b w:val="1"/>
          <w:bCs w:val="1"/>
          <w:u w:val="single" w:color="auto"/>
          <w:color w:val="0000FF"/>
        </w:rPr>
        <w:t>,</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u w:val="single" w:color="auto"/>
          <w:color w:val="0000FF"/>
        </w:rPr>
        <w:t>and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u w:val="single" w:color="auto"/>
          <w:color w:val="0000FF"/>
        </w:rPr>
        <w:t>CIBC BANK USA,</w:t>
      </w:r>
    </w:p>
    <w:p>
      <w:pPr>
        <w:spacing w:after="0" w:line="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ectPr>
          <w:pgSz w:w="11900" w:h="16838" w:orient="portrait"/>
          <w:cols w:equalWidth="0" w:num="1">
            <w:col w:w="10120"/>
          </w:cols>
          <w:pgMar w:left="1440" w:top="1413" w:right="339" w:bottom="1440" w:gutter="0" w:footer="0" w:header="0"/>
        </w:sectPr>
      </w:pPr>
    </w:p>
    <w:bookmarkStart w:id="17" w:name="page18"/>
    <w:bookmarkEnd w:id="17"/>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9"/>
        </w:trPr>
        <w:tc>
          <w:tcPr>
            <w:tcW w:w="11040" w:type="dxa"/>
            <w:vAlign w:val="bottom"/>
            <w:gridSpan w:val="4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I DEFINITIONS AND ACCOUNTING TERMS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1.01 Defined Terms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1.02 Other Interpretive Provisions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1.03 Accounting Terms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1.04 Rounding</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1.05 References to Agreements and Laws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1.06 Exchange Rates; Currency Equivalents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1.07 Additional Alternative Currencies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1.08 Change of Currency</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1.09 Times of Day</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1.10 Letter of Credit Amounts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tcPr>
          <w:p>
            <w:pPr>
              <w:spacing w:after="0"/>
              <w:rPr>
                <w:sz w:val="16"/>
                <w:szCs w:val="16"/>
                <w:color w:val="auto"/>
              </w:rPr>
            </w:pPr>
          </w:p>
        </w:tc>
        <w:tc>
          <w:tcPr>
            <w:tcW w:w="10360" w:type="dxa"/>
            <w:vAlign w:val="bottom"/>
            <w:gridSpan w:val="42"/>
          </w:tcPr>
          <w:p>
            <w:pPr>
              <w:ind w:left="20"/>
              <w:spacing w:after="0" w:line="189" w:lineRule="exact"/>
              <w:rPr>
                <w:sz w:val="20"/>
                <w:szCs w:val="20"/>
                <w:color w:val="auto"/>
              </w:rPr>
            </w:pPr>
            <w:r>
              <w:rPr>
                <w:rFonts w:ascii="Times New Roman" w:cs="Times New Roman" w:eastAsia="Times New Roman" w:hAnsi="Times New Roman"/>
                <w:sz w:val="18"/>
                <w:szCs w:val="18"/>
                <w:color w:val="auto"/>
              </w:rPr>
              <w:t>1.11 Luxembourg Terms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120" w:type="dxa"/>
            <w:vAlign w:val="bottom"/>
            <w:gridSpan w:val="1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1.12 Interest Rates;</w:t>
            </w:r>
          </w:p>
        </w:tc>
        <w:tc>
          <w:tcPr>
            <w:tcW w:w="5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FF0000"/>
                <w:strike w:val="1"/>
              </w:rPr>
              <w:t>LIBOR</w:t>
            </w:r>
          </w:p>
        </w:tc>
        <w:tc>
          <w:tcPr>
            <w:tcW w:w="83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Benchmark </w:t>
            </w:r>
            <w:r>
              <w:rPr>
                <w:rFonts w:ascii="Times New Roman" w:cs="Times New Roman" w:eastAsia="Times New Roman" w:hAnsi="Times New Roman"/>
                <w:sz w:val="18"/>
                <w:szCs w:val="18"/>
                <w:color w:val="000000"/>
              </w:rPr>
              <w:t>Notification</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FF0000"/>
            </w:tcBorders>
            <w:shd w:val="clear" w:color="auto" w:fill="CCEEFF"/>
          </w:tcPr>
          <w:p>
            <w:pPr>
              <w:spacing w:after="0" w:line="20" w:lineRule="exact"/>
              <w:rPr>
                <w:sz w:val="1"/>
                <w:szCs w:val="1"/>
                <w:color w:val="auto"/>
              </w:rPr>
            </w:pPr>
          </w:p>
        </w:tc>
        <w:tc>
          <w:tcPr>
            <w:tcW w:w="60" w:type="dxa"/>
            <w:vAlign w:val="bottom"/>
            <w:tcBorders>
              <w:top w:val="single" w:sz="8" w:color="FF0000"/>
            </w:tcBorders>
            <w:shd w:val="clear" w:color="auto" w:fill="CCEEFF"/>
          </w:tcPr>
          <w:p>
            <w:pPr>
              <w:spacing w:after="0" w:line="20" w:lineRule="exact"/>
              <w:rPr>
                <w:sz w:val="1"/>
                <w:szCs w:val="1"/>
                <w:color w:val="auto"/>
              </w:rPr>
            </w:pPr>
          </w:p>
        </w:tc>
        <w:tc>
          <w:tcPr>
            <w:tcW w:w="60" w:type="dxa"/>
            <w:vAlign w:val="bottom"/>
            <w:tcBorders>
              <w:top w:val="single" w:sz="8" w:color="FF0000"/>
            </w:tcBorders>
            <w:shd w:val="clear" w:color="auto" w:fill="CCEEFF"/>
          </w:tcPr>
          <w:p>
            <w:pPr>
              <w:spacing w:after="0" w:line="20" w:lineRule="exact"/>
              <w:rPr>
                <w:sz w:val="1"/>
                <w:szCs w:val="1"/>
                <w:color w:val="auto"/>
              </w:rPr>
            </w:pPr>
          </w:p>
        </w:tc>
        <w:tc>
          <w:tcPr>
            <w:tcW w:w="20" w:type="dxa"/>
            <w:vAlign w:val="bottom"/>
            <w:tcBorders>
              <w:top w:val="single" w:sz="8" w:color="FF0000"/>
            </w:tcBorders>
            <w:shd w:val="clear" w:color="auto" w:fill="CCEEFF"/>
          </w:tcPr>
          <w:p>
            <w:pPr>
              <w:spacing w:after="0" w:line="20" w:lineRule="exact"/>
              <w:rPr>
                <w:sz w:val="1"/>
                <w:szCs w:val="1"/>
                <w:color w:val="auto"/>
              </w:rPr>
            </w:pPr>
          </w:p>
        </w:tc>
        <w:tc>
          <w:tcPr>
            <w:tcW w:w="60" w:type="dxa"/>
            <w:vAlign w:val="bottom"/>
            <w:tcBorders>
              <w:top w:val="single" w:sz="8" w:color="FF0000"/>
            </w:tcBorders>
            <w:shd w:val="clear" w:color="auto" w:fill="CCEEFF"/>
          </w:tcPr>
          <w:p>
            <w:pPr>
              <w:spacing w:after="0" w:line="20" w:lineRule="exact"/>
              <w:rPr>
                <w:sz w:val="1"/>
                <w:szCs w:val="1"/>
                <w:color w:val="auto"/>
              </w:rPr>
            </w:pPr>
          </w:p>
        </w:tc>
        <w:tc>
          <w:tcPr>
            <w:tcW w:w="80" w:type="dxa"/>
            <w:vAlign w:val="bottom"/>
            <w:tcBorders>
              <w:top w:val="single" w:sz="8" w:color="FF0000"/>
            </w:tcBorders>
            <w:shd w:val="clear" w:color="auto" w:fill="CCEEFF"/>
          </w:tcPr>
          <w:p>
            <w:pPr>
              <w:spacing w:after="0" w:line="20" w:lineRule="exact"/>
              <w:rPr>
                <w:sz w:val="1"/>
                <w:szCs w:val="1"/>
                <w:color w:val="auto"/>
              </w:rPr>
            </w:pPr>
          </w:p>
        </w:tc>
        <w:tc>
          <w:tcPr>
            <w:tcW w:w="20" w:type="dxa"/>
            <w:vAlign w:val="bottom"/>
            <w:tcBorders>
              <w:top w:val="single" w:sz="8" w:color="FF0000"/>
            </w:tcBorders>
            <w:shd w:val="clear" w:color="auto" w:fill="CCEEFF"/>
          </w:tcPr>
          <w:p>
            <w:pPr>
              <w:spacing w:after="0" w:line="20" w:lineRule="exact"/>
              <w:rPr>
                <w:sz w:val="1"/>
                <w:szCs w:val="1"/>
                <w:color w:val="auto"/>
              </w:rPr>
            </w:pPr>
          </w:p>
        </w:tc>
        <w:tc>
          <w:tcPr>
            <w:tcW w:w="40" w:type="dxa"/>
            <w:vAlign w:val="bottom"/>
            <w:tcBorders>
              <w:top w:val="single" w:sz="8" w:color="FF0000"/>
            </w:tcBorders>
            <w:shd w:val="clear" w:color="auto" w:fill="CCEEFF"/>
          </w:tcPr>
          <w:p>
            <w:pPr>
              <w:spacing w:after="0" w:line="20" w:lineRule="exact"/>
              <w:rPr>
                <w:sz w:val="1"/>
                <w:szCs w:val="1"/>
                <w:color w:val="auto"/>
              </w:rPr>
            </w:pPr>
          </w:p>
        </w:tc>
        <w:tc>
          <w:tcPr>
            <w:tcW w:w="40" w:type="dxa"/>
            <w:vAlign w:val="bottom"/>
            <w:tcBorders>
              <w:top w:val="single" w:sz="8" w:color="FF0000"/>
            </w:tcBorders>
            <w:shd w:val="clear" w:color="auto" w:fill="CCEEFF"/>
          </w:tcPr>
          <w:p>
            <w:pPr>
              <w:spacing w:after="0" w:line="20" w:lineRule="exact"/>
              <w:rPr>
                <w:sz w:val="1"/>
                <w:szCs w:val="1"/>
                <w:color w:val="auto"/>
              </w:rPr>
            </w:pPr>
          </w:p>
        </w:tc>
        <w:tc>
          <w:tcPr>
            <w:tcW w:w="120" w:type="dxa"/>
            <w:vAlign w:val="bottom"/>
            <w:tcBorders>
              <w:top w:val="single" w:sz="8" w:color="FF0000"/>
            </w:tcBorders>
            <w:shd w:val="clear" w:color="auto" w:fill="CCEEFF"/>
          </w:tcPr>
          <w:p>
            <w:pPr>
              <w:spacing w:after="0" w:line="20" w:lineRule="exact"/>
              <w:rPr>
                <w:sz w:val="1"/>
                <w:szCs w:val="1"/>
                <w:color w:val="auto"/>
              </w:rPr>
            </w:pPr>
          </w:p>
        </w:tc>
        <w:tc>
          <w:tcPr>
            <w:tcW w:w="40" w:type="dxa"/>
            <w:vAlign w:val="bottom"/>
            <w:tcBorders>
              <w:top w:val="single" w:sz="8" w:color="FF0000"/>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II THE COMMITMENTS AND CREDIT EXTENSIONS</w:t>
            </w: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2.01 Revolving Loans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2.02 Borrowings, Conversions and Continuations of Loans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2.03 Letters of Credit</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2.04 Swing Line Loans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2.05 Prepayments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2.06 Termination or Reduction of Aggregate Revolving Commitments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2.07 Repayment of Loans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2.08 Interest</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2.09 Fees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2.10 Computation of Interest and Fees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shd w:val="clear" w:color="auto" w:fill="CCEEFF"/>
          </w:tcPr>
          <w:p>
            <w:pPr>
              <w:spacing w:after="0"/>
              <w:rPr>
                <w:sz w:val="16"/>
                <w:szCs w:val="16"/>
                <w:color w:val="auto"/>
              </w:rPr>
            </w:pPr>
          </w:p>
        </w:tc>
        <w:tc>
          <w:tcPr>
            <w:tcW w:w="10360" w:type="dxa"/>
            <w:vAlign w:val="bottom"/>
            <w:gridSpan w:val="4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2.11 Evidence of Debt</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2.12 Payments Generally; Administrative Agent’s Clawback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2.13 Sharing of Payments by Lenders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2.14 Designated Borrowers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2.15 Cash Collateral</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2.16 Defaulting Lenders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2.17 Extension of Maturity Date</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3.01 Taxes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3.02 Illegality</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40" w:type="dxa"/>
            <w:vAlign w:val="bottom"/>
            <w:tcBorders>
              <w:bottom w:val="single" w:sz="8" w:color="CCEEFF"/>
            </w:tcBorders>
            <w:gridSpan w:val="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3.03</w:t>
            </w:r>
          </w:p>
        </w:tc>
        <w:tc>
          <w:tcPr>
            <w:tcW w:w="2040" w:type="dxa"/>
            <w:vAlign w:val="bottom"/>
            <w:tcBorders>
              <w:bottom w:val="single" w:sz="8" w:color="FF0000"/>
            </w:tcBorders>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FF0000"/>
                <w:strike w:val="1"/>
                <w:w w:val="98"/>
              </w:rPr>
              <w:t>Inability to Determine Rates</w:t>
            </w:r>
          </w:p>
        </w:tc>
        <w:tc>
          <w:tcPr>
            <w:tcW w:w="80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[Reserved]</w:t>
            </w:r>
          </w:p>
        </w:tc>
        <w:tc>
          <w:tcPr>
            <w:tcW w:w="7160" w:type="dxa"/>
            <w:vAlign w:val="bottom"/>
            <w:tcBorders>
              <w:bottom w:val="single" w:sz="8" w:color="CCEEFF"/>
            </w:tcBorders>
            <w:gridSpan w:val="7"/>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3.04 Increased Cost and Reduced Return; Capital Adequacy</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3.05 Compensation for Losses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3"/>
          </w:tcPr>
          <w:p>
            <w:pPr>
              <w:ind w:left="680"/>
              <w:spacing w:after="0" w:line="189" w:lineRule="exact"/>
              <w:rPr>
                <w:sz w:val="20"/>
                <w:szCs w:val="20"/>
                <w:color w:val="auto"/>
              </w:rPr>
            </w:pPr>
            <w:r>
              <w:rPr>
                <w:rFonts w:ascii="Times New Roman" w:cs="Times New Roman" w:eastAsia="Times New Roman" w:hAnsi="Times New Roman"/>
                <w:sz w:val="18"/>
                <w:szCs w:val="18"/>
                <w:color w:val="auto"/>
              </w:rPr>
              <w:t>3.06 Matters Applicable to all Requests for Compensation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shd w:val="clear" w:color="auto" w:fill="CCEEFF"/>
          </w:tcPr>
          <w:p>
            <w:pPr>
              <w:spacing w:after="0"/>
              <w:rPr>
                <w:sz w:val="16"/>
                <w:szCs w:val="16"/>
                <w:color w:val="auto"/>
              </w:rPr>
            </w:pPr>
          </w:p>
        </w:tc>
        <w:tc>
          <w:tcPr>
            <w:tcW w:w="1036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07</w:t>
            </w:r>
            <w:r>
              <w:rPr>
                <w:rFonts w:ascii="Times New Roman" w:cs="Times New Roman" w:eastAsia="Times New Roman" w:hAnsi="Times New Roman"/>
                <w:sz w:val="18"/>
                <w:szCs w:val="18"/>
                <w:color w:val="0000FF"/>
              </w:rPr>
              <w:t xml:space="preserve"> Alternate Rate of Interest</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tcPr>
          <w:p>
            <w:pPr>
              <w:spacing w:after="0"/>
              <w:rPr>
                <w:sz w:val="16"/>
                <w:szCs w:val="16"/>
                <w:color w:val="auto"/>
              </w:rPr>
            </w:pPr>
          </w:p>
        </w:tc>
        <w:tc>
          <w:tcPr>
            <w:tcW w:w="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EE2724"/>
                <w:strike w:val="1"/>
                <w:w w:val="95"/>
              </w:rPr>
              <w:t>3.07</w:t>
            </w:r>
          </w:p>
        </w:tc>
        <w:tc>
          <w:tcPr>
            <w:tcW w:w="40" w:type="dxa"/>
            <w:vAlign w:val="bottom"/>
          </w:tcPr>
          <w:p>
            <w:pPr>
              <w:spacing w:after="0"/>
              <w:rPr>
                <w:sz w:val="16"/>
                <w:szCs w:val="16"/>
                <w:color w:val="auto"/>
              </w:rPr>
            </w:pPr>
          </w:p>
        </w:tc>
        <w:tc>
          <w:tcPr>
            <w:tcW w:w="2740" w:type="dxa"/>
            <w:vAlign w:val="bottom"/>
            <w:tcBorders>
              <w:bottom w:val="single" w:sz="8" w:color="EE2724"/>
            </w:tcBorders>
            <w:gridSpan w:val="31"/>
          </w:tcPr>
          <w:p>
            <w:pPr>
              <w:spacing w:after="0" w:line="189" w:lineRule="exact"/>
              <w:rPr>
                <w:sz w:val="20"/>
                <w:szCs w:val="20"/>
                <w:color w:val="auto"/>
              </w:rPr>
            </w:pPr>
            <w:r>
              <w:rPr>
                <w:rFonts w:ascii="Times New Roman" w:cs="Times New Roman" w:eastAsia="Times New Roman" w:hAnsi="Times New Roman"/>
                <w:sz w:val="18"/>
                <w:szCs w:val="18"/>
                <w:color w:val="EE2724"/>
                <w:strike w:val="1"/>
                <w:w w:val="98"/>
              </w:rPr>
              <w:t>Effect of Benchmark Transition Event</w:t>
            </w:r>
          </w:p>
        </w:tc>
        <w:tc>
          <w:tcPr>
            <w:tcW w:w="7260" w:type="dxa"/>
            <w:vAlign w:val="bottom"/>
            <w:gridSpan w:val="9"/>
          </w:tcPr>
          <w:p>
            <w:pPr>
              <w:spacing w:after="0"/>
              <w:rPr>
                <w:sz w:val="16"/>
                <w:szCs w:val="16"/>
                <w:color w:val="auto"/>
              </w:rPr>
            </w:pPr>
          </w:p>
        </w:tc>
        <w:tc>
          <w:tcPr>
            <w:tcW w:w="180" w:type="dxa"/>
            <w:vAlign w:val="bottom"/>
            <w:tcBorders>
              <w:bottom w:val="single" w:sz="8" w:color="EE2724"/>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EE2724"/>
                <w:strike w:val="1"/>
                <w:w w:val="88"/>
              </w:rPr>
              <w:t>86</w:t>
            </w:r>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3.08 Survival</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auto"/>
              </w:rPr>
              <w:t>ARTICLE IV GUARANTY</w:t>
            </w: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4.01 The Guaranty</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91</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4.02 Obligations Unconditional</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4.03 Reinstatement</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92</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4.04 Certain Additional Waivers</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4.05 Remedies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93</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4.06 Rights of Contribution</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4.07 Guarantee of Payment; Continuing Guarantee</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93</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4.08 Keepwell</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gridSpan w:val="3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V CONDITIONS PRECEDENT TO CREDIT EXTENSIONS</w:t>
            </w:r>
          </w:p>
        </w:tc>
        <w:tc>
          <w:tcPr>
            <w:tcW w:w="29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5.01 Conditions of Initial Credit Extension</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5.02 Conditions to all Credit Extensions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96</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VI REPRESENTATIONS AND WARRANTIES</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6.01 Organization, etc</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6.02 Authorization; No Conflict</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6.03 Validity and Binding Nature</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6.04 Financial Condition</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6.05 No Material Adverse Change</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6.06 Litigation</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6.07 Ownership of Properties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6.08 Subsidiaries</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6.09 Pension Plans and Plan Assets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6.10 Investment Company Act</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auto"/>
              </w:rPr>
              <w:t>6.11 Regulation U</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99</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6.12 Taxes</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6.13 Environmental Matters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99</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6.14 Information</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6.15 No Default</w:t>
            </w:r>
          </w:p>
        </w:tc>
        <w:tc>
          <w:tcPr>
            <w:tcW w:w="310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100</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6.16 Designated Borrower Joinder Agreement</w:t>
            </w:r>
          </w:p>
        </w:tc>
        <w:tc>
          <w:tcPr>
            <w:tcW w:w="31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100</w:t>
            </w: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6.17 OFAC</w:t>
            </w:r>
          </w:p>
        </w:tc>
        <w:tc>
          <w:tcPr>
            <w:tcW w:w="310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100</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6.18 Anti-Corruption Laws</w:t>
            </w:r>
          </w:p>
        </w:tc>
        <w:tc>
          <w:tcPr>
            <w:tcW w:w="31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100</w:t>
            </w: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6.19 Luxembourg Specific Representations</w:t>
            </w:r>
          </w:p>
        </w:tc>
        <w:tc>
          <w:tcPr>
            <w:tcW w:w="310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100</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6.20 Beneficial Ownership Certification</w:t>
            </w:r>
          </w:p>
        </w:tc>
        <w:tc>
          <w:tcPr>
            <w:tcW w:w="31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101</w:t>
            </w: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6.21 No EEA Financial Institution</w:t>
            </w:r>
          </w:p>
        </w:tc>
        <w:tc>
          <w:tcPr>
            <w:tcW w:w="310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101</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VII COVENANTS</w:t>
            </w:r>
          </w:p>
        </w:tc>
        <w:tc>
          <w:tcPr>
            <w:tcW w:w="31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101</w:t>
            </w:r>
          </w:p>
        </w:tc>
      </w:tr>
      <w:tr>
        <w:trPr>
          <w:trHeight w:val="21"/>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7.01 Reports, Certificates and Other Information</w:t>
            </w:r>
          </w:p>
        </w:tc>
        <w:tc>
          <w:tcPr>
            <w:tcW w:w="310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101</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7.02 Books, Records and Inspections</w:t>
            </w:r>
          </w:p>
        </w:tc>
        <w:tc>
          <w:tcPr>
            <w:tcW w:w="31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7.03 Insurance</w:t>
            </w:r>
          </w:p>
        </w:tc>
        <w:tc>
          <w:tcPr>
            <w:tcW w:w="310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7.04 Compliance with Laws; Payment of Taxes</w:t>
            </w:r>
          </w:p>
        </w:tc>
        <w:tc>
          <w:tcPr>
            <w:tcW w:w="31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7.05 Maintenance of Existence, etc</w:t>
            </w:r>
          </w:p>
        </w:tc>
        <w:tc>
          <w:tcPr>
            <w:tcW w:w="310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7.06 Financial Covenants</w:t>
            </w:r>
          </w:p>
        </w:tc>
        <w:tc>
          <w:tcPr>
            <w:tcW w:w="31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7.07 Limitations on Debt</w:t>
            </w:r>
          </w:p>
        </w:tc>
        <w:tc>
          <w:tcPr>
            <w:tcW w:w="310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7.08 Liens</w:t>
            </w:r>
          </w:p>
        </w:tc>
        <w:tc>
          <w:tcPr>
            <w:tcW w:w="31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107</w:t>
            </w: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36"/>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7.09 Fundamental Changes, Consolidations, Sales</w:t>
            </w:r>
          </w:p>
        </w:tc>
        <w:tc>
          <w:tcPr>
            <w:tcW w:w="3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7.10 Use of Proceeds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111</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auto"/>
              </w:rPr>
              <w:t>7.11 Further Assurances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111</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7.12 Transactions with Affiliates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111</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7.13 Employee Benefit Plans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112</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7.14 Environmental Laws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112</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7.15 Business Activities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112</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7.16 Non-Guarantor Domestic Subsidiaries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112</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7.17 Investments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112</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7.18 Burdensome Agreements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114</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7.19 Organization Documents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114</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7.20 Sanctions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115</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7.21 Anti-Corruption Laws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115</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VIII [RESERVED]</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115</w:t>
            </w:r>
          </w:p>
        </w:tc>
      </w:tr>
      <w:tr>
        <w:trPr>
          <w:trHeight w:val="21"/>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IX EVENTS OF DEFAULT AND REMEDIES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115</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9.01 Events of Default</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115</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9.02 Remedies Upon Event of Default</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117</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Times New Roman" w:cs="Times New Roman" w:eastAsia="Times New Roman" w:hAnsi="Times New Roman"/>
                <w:sz w:val="18"/>
                <w:szCs w:val="18"/>
                <w:color w:val="auto"/>
              </w:rPr>
              <w:t>9.03 Application of Funds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118</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X ADMINISTRATIVE AGENT</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119</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Times New Roman" w:cs="Times New Roman" w:eastAsia="Times New Roman" w:hAnsi="Times New Roman"/>
                <w:sz w:val="18"/>
                <w:szCs w:val="18"/>
                <w:color w:val="auto"/>
              </w:rPr>
              <w:t>10.01 Appointment and Authority</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119</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10.02 Rights as a Lender</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119</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Times New Roman" w:cs="Times New Roman" w:eastAsia="Times New Roman" w:hAnsi="Times New Roman"/>
                <w:sz w:val="18"/>
                <w:szCs w:val="18"/>
                <w:color w:val="auto"/>
              </w:rPr>
              <w:t>10.03 Exculpatory Provisions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120</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10.04 Reliance by Administrative Agent</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121</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Times New Roman" w:cs="Times New Roman" w:eastAsia="Times New Roman" w:hAnsi="Times New Roman"/>
                <w:sz w:val="18"/>
                <w:szCs w:val="18"/>
                <w:color w:val="auto"/>
              </w:rPr>
              <w:t>10.05 Delegation of Duties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121</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10.06 Resignation of Administrative Agent</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121</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Times New Roman" w:cs="Times New Roman" w:eastAsia="Times New Roman" w:hAnsi="Times New Roman"/>
                <w:sz w:val="18"/>
                <w:szCs w:val="18"/>
                <w:color w:val="auto"/>
              </w:rPr>
              <w:t>10.07 Non-Reliance on Administrative Agent and Other Lenders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123</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10.08 No Other Duties; Etc</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123</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Times New Roman" w:cs="Times New Roman" w:eastAsia="Times New Roman" w:hAnsi="Times New Roman"/>
                <w:sz w:val="18"/>
                <w:szCs w:val="18"/>
                <w:color w:val="auto"/>
              </w:rPr>
              <w:t>10.09 Administrative Agent May File Proofs of Claim</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123</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10.10 Guaranty Matters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124</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Times New Roman" w:cs="Times New Roman" w:eastAsia="Times New Roman" w:hAnsi="Times New Roman"/>
                <w:sz w:val="18"/>
                <w:szCs w:val="18"/>
                <w:color w:val="auto"/>
              </w:rPr>
              <w:t>10.11 Treasury Management Agreements and Hedge Agreements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124</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XI MISCELLANEOUS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124</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Times New Roman" w:cs="Times New Roman" w:eastAsia="Times New Roman" w:hAnsi="Times New Roman"/>
                <w:sz w:val="18"/>
                <w:szCs w:val="18"/>
                <w:color w:val="auto"/>
              </w:rPr>
              <w:t>11.01 Amendments, Etc</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124</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11.02 Notices; Effectiveness; Electronic Communications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126</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Times New Roman" w:cs="Times New Roman" w:eastAsia="Times New Roman" w:hAnsi="Times New Roman"/>
                <w:sz w:val="18"/>
                <w:szCs w:val="18"/>
                <w:color w:val="auto"/>
              </w:rPr>
              <w:t>11.03 No Waiver; Cumulative Remedies; Enforcement</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128</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11.04 Expenses; Indemnity; Damage Waiver</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129</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Times New Roman" w:cs="Times New Roman" w:eastAsia="Times New Roman" w:hAnsi="Times New Roman"/>
                <w:sz w:val="18"/>
                <w:szCs w:val="18"/>
                <w:color w:val="auto"/>
              </w:rPr>
              <w:t>11.05 Payments Set Aside</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131</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11.06 Successors and Assigns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132</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Times New Roman" w:cs="Times New Roman" w:eastAsia="Times New Roman" w:hAnsi="Times New Roman"/>
                <w:sz w:val="18"/>
                <w:szCs w:val="18"/>
                <w:color w:val="auto"/>
              </w:rPr>
              <w:t>11.07 Confidentiality</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137</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11.08 Set-off</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139</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Times New Roman" w:cs="Times New Roman" w:eastAsia="Times New Roman" w:hAnsi="Times New Roman"/>
                <w:sz w:val="18"/>
                <w:szCs w:val="18"/>
                <w:color w:val="auto"/>
              </w:rPr>
              <w:t>11.09 Interest Rate Limitation</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139</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11.10 Counterparts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139</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20"/>
              <w:spacing w:after="0" w:line="189" w:lineRule="exact"/>
              <w:rPr>
                <w:sz w:val="20"/>
                <w:szCs w:val="20"/>
                <w:color w:val="auto"/>
              </w:rPr>
            </w:pPr>
            <w:r>
              <w:rPr>
                <w:rFonts w:ascii="Times New Roman" w:cs="Times New Roman" w:eastAsia="Times New Roman" w:hAnsi="Times New Roman"/>
                <w:sz w:val="18"/>
                <w:szCs w:val="18"/>
                <w:color w:val="auto"/>
              </w:rPr>
              <w:t>11.11 Integration; Effectiveness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140</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11.12 Survival of Representations and Warranties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140</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6"/>
          </w:tcPr>
          <w:p>
            <w:pPr>
              <w:ind w:left="260"/>
              <w:spacing w:after="0"/>
              <w:rPr>
                <w:sz w:val="20"/>
                <w:szCs w:val="20"/>
                <w:color w:val="auto"/>
              </w:rPr>
            </w:pPr>
            <w:r>
              <w:rPr>
                <w:rFonts w:ascii="Times New Roman" w:cs="Times New Roman" w:eastAsia="Times New Roman" w:hAnsi="Times New Roman"/>
                <w:sz w:val="18"/>
                <w:szCs w:val="18"/>
                <w:color w:val="auto"/>
              </w:rPr>
              <w:t>11.13 Severability</w:t>
            </w: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140</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12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11.14 Replacement of Lenders</w:t>
            </w:r>
          </w:p>
        </w:tc>
        <w:tc>
          <w:tcPr>
            <w:tcW w:w="17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20" w:type="dxa"/>
            <w:vAlign w:val="bottom"/>
            <w:gridSpan w:val="26"/>
          </w:tcPr>
          <w:p>
            <w:pPr>
              <w:ind w:left="260"/>
              <w:spacing w:after="0" w:line="189" w:lineRule="exact"/>
              <w:rPr>
                <w:sz w:val="20"/>
                <w:szCs w:val="20"/>
                <w:color w:val="auto"/>
              </w:rPr>
            </w:pPr>
            <w:r>
              <w:rPr>
                <w:rFonts w:ascii="Times New Roman" w:cs="Times New Roman" w:eastAsia="Times New Roman" w:hAnsi="Times New Roman"/>
                <w:sz w:val="18"/>
                <w:szCs w:val="18"/>
                <w:color w:val="auto"/>
              </w:rPr>
              <w:t>11.15 Governing Law</w:t>
            </w:r>
          </w:p>
        </w:tc>
        <w:tc>
          <w:tcPr>
            <w:tcW w:w="17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141</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12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11.16 Waiver of Right to Trial by Jury</w:t>
            </w:r>
          </w:p>
        </w:tc>
        <w:tc>
          <w:tcPr>
            <w:tcW w:w="17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20" w:type="dxa"/>
            <w:vAlign w:val="bottom"/>
            <w:gridSpan w:val="26"/>
          </w:tcPr>
          <w:p>
            <w:pPr>
              <w:ind w:left="260"/>
              <w:spacing w:after="0" w:line="189" w:lineRule="exact"/>
              <w:rPr>
                <w:sz w:val="20"/>
                <w:szCs w:val="20"/>
                <w:color w:val="auto"/>
              </w:rPr>
            </w:pPr>
            <w:r>
              <w:rPr>
                <w:rFonts w:ascii="Times New Roman" w:cs="Times New Roman" w:eastAsia="Times New Roman" w:hAnsi="Times New Roman"/>
                <w:sz w:val="18"/>
                <w:szCs w:val="18"/>
                <w:color w:val="auto"/>
              </w:rPr>
              <w:t>11.17 USA PATRIOT Act Notice</w:t>
            </w:r>
          </w:p>
        </w:tc>
        <w:tc>
          <w:tcPr>
            <w:tcW w:w="17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12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11.18 Judgment Currency</w:t>
            </w:r>
          </w:p>
        </w:tc>
        <w:tc>
          <w:tcPr>
            <w:tcW w:w="17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20" w:type="dxa"/>
            <w:vAlign w:val="bottom"/>
            <w:gridSpan w:val="26"/>
          </w:tcPr>
          <w:p>
            <w:pPr>
              <w:ind w:left="260"/>
              <w:spacing w:after="0" w:line="189" w:lineRule="exact"/>
              <w:rPr>
                <w:sz w:val="20"/>
                <w:szCs w:val="20"/>
                <w:color w:val="auto"/>
              </w:rPr>
            </w:pPr>
            <w:r>
              <w:rPr>
                <w:rFonts w:ascii="Times New Roman" w:cs="Times New Roman" w:eastAsia="Times New Roman" w:hAnsi="Times New Roman"/>
                <w:sz w:val="18"/>
                <w:szCs w:val="18"/>
                <w:color w:val="auto"/>
              </w:rPr>
              <w:t>11.19 Concerning Joint and Several Liability of the Domestic Borrowers</w:t>
            </w:r>
          </w:p>
        </w:tc>
        <w:tc>
          <w:tcPr>
            <w:tcW w:w="17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12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11.20 Subordination of Intercompany Debt</w:t>
            </w:r>
          </w:p>
        </w:tc>
        <w:tc>
          <w:tcPr>
            <w:tcW w:w="17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20" w:type="dxa"/>
            <w:vAlign w:val="bottom"/>
            <w:gridSpan w:val="26"/>
          </w:tcPr>
          <w:p>
            <w:pPr>
              <w:ind w:left="260"/>
              <w:spacing w:after="0" w:line="189" w:lineRule="exact"/>
              <w:rPr>
                <w:sz w:val="20"/>
                <w:szCs w:val="20"/>
                <w:color w:val="auto"/>
              </w:rPr>
            </w:pPr>
            <w:r>
              <w:rPr>
                <w:rFonts w:ascii="Times New Roman" w:cs="Times New Roman" w:eastAsia="Times New Roman" w:hAnsi="Times New Roman"/>
                <w:sz w:val="18"/>
                <w:szCs w:val="18"/>
                <w:color w:val="auto"/>
              </w:rPr>
              <w:t>11.21 No Advisory or Fiduciary Responsibility</w:t>
            </w:r>
          </w:p>
        </w:tc>
        <w:tc>
          <w:tcPr>
            <w:tcW w:w="17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145</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12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11.22 Electronic Execution of Assignments and Certain Other Documents</w:t>
            </w:r>
          </w:p>
        </w:tc>
        <w:tc>
          <w:tcPr>
            <w:tcW w:w="17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20" w:type="dxa"/>
            <w:vAlign w:val="bottom"/>
            <w:gridSpan w:val="26"/>
          </w:tcPr>
          <w:p>
            <w:pPr>
              <w:ind w:left="260"/>
              <w:spacing w:after="0" w:line="189" w:lineRule="exact"/>
              <w:rPr>
                <w:sz w:val="20"/>
                <w:szCs w:val="20"/>
                <w:color w:val="auto"/>
              </w:rPr>
            </w:pPr>
            <w:r>
              <w:rPr>
                <w:rFonts w:ascii="Times New Roman" w:cs="Times New Roman" w:eastAsia="Times New Roman" w:hAnsi="Times New Roman"/>
                <w:sz w:val="18"/>
                <w:szCs w:val="18"/>
                <w:color w:val="auto"/>
              </w:rPr>
              <w:t>11.23 Acknowledgement and Consent to Bail-In of EEA Financial Institutions</w:t>
            </w:r>
          </w:p>
        </w:tc>
        <w:tc>
          <w:tcPr>
            <w:tcW w:w="17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146</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12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11.24 Acknowledgement Regarding Any Supported QFCs</w:t>
            </w:r>
          </w:p>
        </w:tc>
        <w:tc>
          <w:tcPr>
            <w:tcW w:w="17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20" w:type="dxa"/>
            <w:vAlign w:val="bottom"/>
            <w:gridSpan w:val="26"/>
          </w:tcPr>
          <w:p>
            <w:pPr>
              <w:ind w:left="260"/>
              <w:spacing w:after="0" w:line="189" w:lineRule="exact"/>
              <w:rPr>
                <w:sz w:val="20"/>
                <w:szCs w:val="20"/>
                <w:color w:val="auto"/>
              </w:rPr>
            </w:pPr>
            <w:r>
              <w:rPr>
                <w:rFonts w:ascii="Times New Roman" w:cs="Times New Roman" w:eastAsia="Times New Roman" w:hAnsi="Times New Roman"/>
                <w:sz w:val="18"/>
                <w:szCs w:val="18"/>
                <w:color w:val="auto"/>
              </w:rPr>
              <w:t>11.25 Erroneous Payments</w:t>
            </w:r>
          </w:p>
        </w:tc>
        <w:tc>
          <w:tcPr>
            <w:tcW w:w="17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1.01</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2.01</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Commitments and Pro Rata Shares</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6.08</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3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5"/>
              </w:rPr>
              <w:t>7.07</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Debt Existing on the</w:t>
            </w:r>
          </w:p>
        </w:tc>
        <w:tc>
          <w:tcPr>
            <w:tcW w:w="6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EE2724"/>
                <w:strike w:val="1"/>
              </w:rPr>
              <w:t>Closing</w:t>
            </w:r>
          </w:p>
        </w:tc>
        <w:tc>
          <w:tcPr>
            <w:tcW w:w="55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Second Amendment Effective </w:t>
            </w:r>
            <w:r>
              <w:rPr>
                <w:rFonts w:ascii="Times New Roman" w:cs="Times New Roman" w:eastAsia="Times New Roman" w:hAnsi="Times New Roman"/>
                <w:sz w:val="18"/>
                <w:szCs w:val="18"/>
                <w:color w:val="000000"/>
              </w:rPr>
              <w:t>Date</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3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5"/>
              </w:rPr>
              <w:t>7.08</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5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Liens Existing on the</w:t>
            </w:r>
          </w:p>
        </w:tc>
        <w:tc>
          <w:tcPr>
            <w:tcW w:w="6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EE2724"/>
                <w:strike w:val="1"/>
              </w:rPr>
              <w:t>Closing</w:t>
            </w:r>
          </w:p>
        </w:tc>
        <w:tc>
          <w:tcPr>
            <w:tcW w:w="54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Second Amendment Effective </w:t>
            </w:r>
            <w:r>
              <w:rPr>
                <w:rFonts w:ascii="Times New Roman" w:cs="Times New Roman" w:eastAsia="Times New Roman" w:hAnsi="Times New Roman"/>
                <w:sz w:val="18"/>
                <w:szCs w:val="18"/>
                <w:color w:val="000000"/>
              </w:rPr>
              <w:t>Date</w:t>
            </w:r>
          </w:p>
        </w:tc>
        <w:tc>
          <w:tcPr>
            <w:tcW w:w="1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5"/>
              </w:rPr>
              <w:t>7.</w:t>
            </w:r>
            <w:r>
              <w:rPr>
                <w:rFonts w:ascii="Times New Roman" w:cs="Times New Roman" w:eastAsia="Times New Roman" w:hAnsi="Times New Roman"/>
                <w:sz w:val="18"/>
                <w:szCs w:val="18"/>
                <w:u w:val="single" w:color="auto"/>
                <w:color w:val="0000FF"/>
                <w:w w:val="95"/>
              </w:rPr>
              <w:t>09</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Dispositions Permitted as of the Second Amendment Effective Date</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9"/>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7.17</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Investments Existing on the</w:t>
            </w: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EE2724"/>
                <w:strike w:val="1"/>
              </w:rPr>
              <w:t>Closing</w:t>
            </w: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Second Amendment Effective </w:t>
            </w:r>
            <w:r>
              <w:rPr>
                <w:rFonts w:ascii="Times New Roman" w:cs="Times New Roman" w:eastAsia="Times New Roman" w:hAnsi="Times New Roman"/>
                <w:sz w:val="18"/>
                <w:szCs w:val="18"/>
                <w:color w:val="000000"/>
              </w:rPr>
              <w:t>Date</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5"/>
              </w:rPr>
              <w:t>7.18</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Burdensome Agreements Existing on the</w:t>
            </w:r>
          </w:p>
        </w:tc>
        <w:tc>
          <w:tcPr>
            <w:tcW w:w="6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EE2724"/>
                <w:strike w:val="1"/>
              </w:rPr>
              <w:t>Closing</w:t>
            </w:r>
          </w:p>
        </w:tc>
        <w:tc>
          <w:tcPr>
            <w:tcW w:w="40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Second Amendment Effective </w:t>
            </w:r>
            <w:r>
              <w:rPr>
                <w:rFonts w:ascii="Times New Roman" w:cs="Times New Roman" w:eastAsia="Times New Roman" w:hAnsi="Times New Roman"/>
                <w:sz w:val="18"/>
                <w:szCs w:val="18"/>
                <w:color w:val="000000"/>
              </w:rPr>
              <w:t>Date</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104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11.02</w:t>
            </w:r>
          </w:p>
        </w:tc>
        <w:tc>
          <w:tcPr>
            <w:tcW w:w="760" w:type="dxa"/>
            <w:vAlign w:val="bottom"/>
            <w:tcBorders>
              <w:top w:val="single" w:sz="8" w:color="CCEEFF"/>
            </w:tcBorders>
          </w:tcPr>
          <w:p>
            <w:pPr>
              <w:spacing w:after="0"/>
              <w:rPr>
                <w:sz w:val="19"/>
                <w:szCs w:val="19"/>
                <w:color w:val="auto"/>
              </w:rPr>
            </w:pPr>
          </w:p>
        </w:tc>
        <w:tc>
          <w:tcPr>
            <w:tcW w:w="3620" w:type="dxa"/>
            <w:vAlign w:val="bottom"/>
            <w:tcBorders>
              <w:top w:val="single" w:sz="8" w:color="CCEEFF"/>
            </w:tcBorders>
            <w:gridSpan w:val="16"/>
          </w:tcPr>
          <w:p>
            <w:pPr>
              <w:spacing w:after="0"/>
              <w:rPr>
                <w:sz w:val="20"/>
                <w:szCs w:val="20"/>
                <w:color w:val="auto"/>
              </w:rPr>
            </w:pPr>
            <w:r>
              <w:rPr>
                <w:rFonts w:ascii="Times New Roman" w:cs="Times New Roman" w:eastAsia="Times New Roman" w:hAnsi="Times New Roman"/>
                <w:sz w:val="18"/>
                <w:szCs w:val="18"/>
                <w:color w:val="auto"/>
              </w:rPr>
              <w:t>Certain Addresses for Notices</w:t>
            </w:r>
          </w:p>
        </w:tc>
        <w:tc>
          <w:tcPr>
            <w:tcW w:w="2200" w:type="dxa"/>
            <w:vAlign w:val="bottom"/>
            <w:tcBorders>
              <w:top w:val="single" w:sz="8" w:color="0000FF"/>
            </w:tcBorders>
            <w:gridSpan w:val="7"/>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40" w:type="dxa"/>
            <w:vAlign w:val="bottom"/>
            <w:tcBorders>
              <w:right w:val="single" w:sz="8" w:color="CCEEFF"/>
            </w:tcBorders>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tcBorders>
              <w:right w:val="single" w:sz="8" w:color="CCEEFF"/>
            </w:tcBorders>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2.02</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Loan Notice</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2.04</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Form of Swing Line Loan Notice</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2.11</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Note</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2.14(a)</w:t>
            </w:r>
          </w:p>
        </w:tc>
        <w:tc>
          <w:tcPr>
            <w:tcW w:w="7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Form of Designated Borrower Request</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2.14(b)</w:t>
            </w:r>
          </w:p>
        </w:tc>
        <w:tc>
          <w:tcPr>
            <w:tcW w:w="76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Designated Borrower Joinder Agreement</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3.01</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Forms of U.S. Tax Compliance Certificates</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7.01</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7.16</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Form of Joinder Agreement</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11.06(b)</w:t>
            </w:r>
          </w:p>
        </w:tc>
        <w:tc>
          <w:tcPr>
            <w:tcW w:w="76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11.06(b)(iv)</w:t>
            </w:r>
          </w:p>
        </w:tc>
        <w:tc>
          <w:tcPr>
            <w:tcW w:w="7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Form of Administrative Questionnaire</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4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CREDIT AGREEMENT is entered into as of August 1, 2019 among BRADY CORPORATION, a Wisconsin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certain Subsidiaries of the Company party hereto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(defined herein), the Lenders (defined herein), BMO HARRIS BANK N.A., as Administrative Agent, Swing Line Lender and L/C Issuer, and BANK OF AMERICA, N.A., as L/C Issuer.</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has requested that the Lenders provide a $</w:t>
      </w:r>
      <w:r>
        <w:rPr>
          <w:rFonts w:ascii="Times New Roman" w:cs="Times New Roman" w:eastAsia="Times New Roman" w:hAnsi="Times New Roman"/>
          <w:sz w:val="20"/>
          <w:szCs w:val="20"/>
          <w:color w:val="FF0000"/>
          <w:strike w:val="1"/>
        </w:rPr>
        <w:t>200,000,000</w:t>
      </w:r>
      <w:r>
        <w:rPr>
          <w:rFonts w:ascii="Times New Roman" w:cs="Times New Roman" w:eastAsia="Times New Roman" w:hAnsi="Times New Roman"/>
          <w:sz w:val="20"/>
          <w:szCs w:val="20"/>
          <w:u w:val="single" w:color="auto"/>
          <w:color w:val="0000FF"/>
        </w:rPr>
        <w:t>300,000,000</w:t>
      </w:r>
      <w:r>
        <w:rPr>
          <w:rFonts w:ascii="Times New Roman" w:cs="Times New Roman" w:eastAsia="Times New Roman" w:hAnsi="Times New Roman"/>
          <w:sz w:val="20"/>
          <w:szCs w:val="20"/>
          <w:color w:val="auto"/>
        </w:rPr>
        <w:t xml:space="preserve"> senior credit facility for the purposes set forth herein, and the Lenders are willing to do so on the terms and conditions set forth herein.</w:t>
      </w:r>
    </w:p>
    <w:p>
      <w:pPr>
        <w:spacing w:after="0" w:line="14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xml:space="preserve">” means any transaction or series of related transactions for the purpose of or resulting, directly or indirectly, in (a) the acquisition of all or substantially all of the assets of a Person, or of all or substantially all of any business or division of a Person (provided that the purchase of inventory from another Person in the ordinary course of business shall not constitute an Acquisition of such other Person), (b) the acquisition of in excess of 50% of the Capital Stock of any Person, or otherwise causing any Person to become a Subsidiary, or (c) a merger or consolidation or any other combination with another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or a Subsidiary is the surviving entity.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 Rate</w:t>
      </w:r>
      <w:r>
        <w:rPr>
          <w:rFonts w:ascii="Times New Roman" w:cs="Times New Roman" w:eastAsia="Times New Roman" w:hAnsi="Times New Roman"/>
          <w:sz w:val="20"/>
          <w:szCs w:val="20"/>
          <w:color w:val="auto"/>
        </w:rPr>
        <w:t xml:space="preserve">” means, with respect to any </w:t>
      </w:r>
      <w:r>
        <w:rPr>
          <w:rFonts w:ascii="Times New Roman" w:cs="Times New Roman" w:eastAsia="Times New Roman" w:hAnsi="Times New Roman"/>
          <w:sz w:val="20"/>
          <w:szCs w:val="20"/>
          <w:color w:val="EE2724"/>
          <w:strike w:val="1"/>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Borrowing denominated in euro for any Interest Period, an interest rate per annum equal to (</w:t>
      </w:r>
      <w:r>
        <w:rPr>
          <w:rFonts w:ascii="Times New Roman" w:cs="Times New Roman" w:eastAsia="Times New Roman" w:hAnsi="Times New Roman"/>
          <w:sz w:val="20"/>
          <w:szCs w:val="20"/>
          <w:color w:val="FF0000"/>
          <w:strike w:val="1"/>
        </w:rPr>
        <w:t>i</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the EURIBO Rate for such Interest Period multiplied by (</w:t>
      </w:r>
      <w:r>
        <w:rPr>
          <w:rFonts w:ascii="Times New Roman" w:cs="Times New Roman" w:eastAsia="Times New Roman" w:hAnsi="Times New Roman"/>
          <w:sz w:val="20"/>
          <w:szCs w:val="20"/>
          <w:color w:val="FF0000"/>
          <w:strike w:val="1"/>
        </w:rPr>
        <w:t>ii</w:t>
      </w:r>
      <w:r>
        <w:rPr>
          <w:rFonts w:ascii="Times New Roman" w:cs="Times New Roman" w:eastAsia="Times New Roman" w:hAnsi="Times New Roman"/>
          <w:sz w:val="20"/>
          <w:szCs w:val="20"/>
          <w:u w:val="single" w:color="auto"/>
          <w:color w:val="0000FF"/>
        </w:rPr>
        <w:t>b</w:t>
      </w:r>
      <w:r>
        <w:rPr>
          <w:rFonts w:ascii="Times New Roman" w:cs="Times New Roman" w:eastAsia="Times New Roman" w:hAnsi="Times New Roman"/>
          <w:sz w:val="20"/>
          <w:szCs w:val="20"/>
          <w:color w:val="auto"/>
        </w:rPr>
        <w:t>) the Statutory Reserve Rate</w:t>
      </w:r>
      <w:r>
        <w:rPr>
          <w:rFonts w:ascii="Times New Roman" w:cs="Times New Roman" w:eastAsia="Times New Roman" w:hAnsi="Times New Roman"/>
          <w:sz w:val="20"/>
          <w:szCs w:val="20"/>
          <w:u w:val="single" w:color="auto"/>
          <w:color w:val="0000FF"/>
        </w:rPr>
        <w:t>; provided that if the Adjusted EURIBO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Rate as so determined would be less than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Floor</w:t>
      </w:r>
      <w:r>
        <w:rPr>
          <w:rFonts w:ascii="Times New Roman" w:cs="Times New Roman" w:eastAsia="Times New Roman" w:hAnsi="Times New Roman"/>
          <w:sz w:val="20"/>
          <w:szCs w:val="20"/>
          <w:u w:val="single" w:color="auto"/>
          <w:color w:val="008000"/>
        </w:rPr>
        <w:t>, such rate shall be deemed to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equal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Floor for the purposes of this Agreement</w:t>
      </w:r>
      <w:r>
        <w:rPr>
          <w:rFonts w:ascii="Times New Roman" w:cs="Times New Roman" w:eastAsia="Times New Roman" w:hAnsi="Times New Roman"/>
          <w:sz w:val="20"/>
          <w:szCs w:val="20"/>
          <w:color w:val="000000"/>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Rate</w:t>
      </w:r>
      <w:r>
        <w:rPr>
          <w:rFonts w:ascii="Times New Roman" w:cs="Times New Roman" w:eastAsia="Times New Roman" w:hAnsi="Times New Roman"/>
          <w:sz w:val="20"/>
          <w:szCs w:val="20"/>
          <w:color w:val="auto"/>
        </w:rPr>
        <w:t xml:space="preserve">” means, with respect to any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Borrowing denominated in Dollars for any Interest Period, an interest rate per annum equal to (</w:t>
      </w:r>
      <w:r>
        <w:rPr>
          <w:rFonts w:ascii="Times New Roman" w:cs="Times New Roman" w:eastAsia="Times New Roman" w:hAnsi="Times New Roman"/>
          <w:sz w:val="20"/>
          <w:szCs w:val="20"/>
          <w:color w:val="EE2724"/>
          <w:strike w:val="1"/>
        </w:rPr>
        <w:t>i</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for such Interest Period </w:t>
      </w:r>
      <w:r>
        <w:rPr>
          <w:rFonts w:ascii="Times New Roman" w:cs="Times New Roman" w:eastAsia="Times New Roman" w:hAnsi="Times New Roman"/>
          <w:sz w:val="20"/>
          <w:szCs w:val="20"/>
          <w:color w:val="FF0000"/>
          <w:strike w:val="1"/>
        </w:rPr>
        <w:t>multiplied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0000FF"/>
        </w:rPr>
        <w:t>plus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ii</w:t>
      </w:r>
      <w:r>
        <w:rPr>
          <w:rFonts w:ascii="Times New Roman" w:cs="Times New Roman" w:eastAsia="Times New Roman" w:hAnsi="Times New Roman"/>
          <w:sz w:val="20"/>
          <w:szCs w:val="20"/>
          <w:u w:val="single" w:color="auto"/>
          <w:color w:val="0000FF"/>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Statutory Reserve Rate</w:t>
      </w:r>
      <w:r>
        <w:rPr>
          <w:rFonts w:ascii="Times New Roman" w:cs="Times New Roman" w:eastAsia="Times New Roman" w:hAnsi="Times New Roman"/>
          <w:sz w:val="20"/>
          <w:szCs w:val="20"/>
          <w:u w:val="single" w:color="auto"/>
          <w:color w:val="0000FF"/>
          <w:strike w:val="1"/>
        </w:rPr>
        <w:t>0.10%; provided that if the Adjusted Term SOFR Rate as so determined would be less than the Floor, such rate shall</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be deemed to be equal to the Floor for the purposes of this Agreement</w:t>
      </w:r>
      <w:r>
        <w:rPr>
          <w:rFonts w:ascii="Times New Roman" w:cs="Times New Roman" w:eastAsia="Times New Roman" w:hAnsi="Times New Roman"/>
          <w:sz w:val="20"/>
          <w:szCs w:val="20"/>
          <w:color w:val="000000"/>
          <w:strike w:val="1"/>
        </w:rPr>
        <w:t>.</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TIBO Rate</w:t>
      </w:r>
      <w:r>
        <w:rPr>
          <w:rFonts w:ascii="Times New Roman" w:cs="Times New Roman" w:eastAsia="Times New Roman" w:hAnsi="Times New Roman"/>
          <w:sz w:val="20"/>
          <w:szCs w:val="20"/>
          <w:color w:val="auto"/>
        </w:rPr>
        <w:t xml:space="preserve">” means, with respect to any </w:t>
      </w:r>
      <w:r>
        <w:rPr>
          <w:rFonts w:ascii="Times New Roman" w:cs="Times New Roman" w:eastAsia="Times New Roman" w:hAnsi="Times New Roman"/>
          <w:sz w:val="20"/>
          <w:szCs w:val="20"/>
          <w:color w:val="EE2724"/>
          <w:strike w:val="1"/>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Borrowing denominated in Japanese Yen for any Interest Period, an interest rate per annum equal to (a) the TIBO Rate for such Interest Period multiplied by (b) the Statutory Reserve Rate</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provided that if the Adjusted TIBO Rate as so determined would be less than the Floor, such rate shall be deemed to be equal to the Floor for the purposes of this Agreement</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22" w:name="page23"/>
    <w:bookmarkEnd w:id="22"/>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BMO, in its capacity as administrative agent under any of the Loan Documents, or any successor administrative agent.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may from time to time notify to the Company and the Lenders.</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u w:val="single" w:color="auto"/>
          <w:color w:val="auto"/>
        </w:rPr>
        <w:t>Exhibit 11.06(b)(iv)</w:t>
      </w:r>
      <w:r>
        <w:rPr>
          <w:rFonts w:ascii="Times New Roman" w:cs="Times New Roman" w:eastAsia="Times New Roman" w:hAnsi="Times New Roman"/>
          <w:sz w:val="20"/>
          <w:szCs w:val="20"/>
          <w:color w:val="auto"/>
        </w:rPr>
        <w:t xml:space="preserve"> or any other form approved by the Administrative Agent.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of any Person means any other Person which, directly or indirectly, controls or is controlled by or is under common control with such Person.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Commitments</w:t>
      </w:r>
      <w:r>
        <w:rPr>
          <w:rFonts w:ascii="Times New Roman" w:cs="Times New Roman" w:eastAsia="Times New Roman" w:hAnsi="Times New Roman"/>
          <w:sz w:val="20"/>
          <w:szCs w:val="20"/>
          <w:color w:val="auto"/>
        </w:rPr>
        <w:t xml:space="preserve">” means the Revolving Commitments of all the Lenders. The aggregate principal amount of the Aggregate Revolving Commitments in effect on the </w:t>
      </w:r>
      <w:r>
        <w:rPr>
          <w:rFonts w:ascii="Times New Roman" w:cs="Times New Roman" w:eastAsia="Times New Roman" w:hAnsi="Times New Roman"/>
          <w:sz w:val="20"/>
          <w:szCs w:val="20"/>
          <w:color w:val="FF0000"/>
          <w:strike w:val="1"/>
        </w:rPr>
        <w:t>Closing Date is TWO HUNDRED MILLION DOLLARS ($200,000,000)</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Amendment Effective Date is $300,000,000</w:t>
      </w:r>
      <w:r>
        <w:rPr>
          <w:rFonts w:ascii="Times New Roman" w:cs="Times New Roman" w:eastAsia="Times New Roman" w:hAnsi="Times New Roman"/>
          <w:sz w:val="20"/>
          <w:szCs w:val="20"/>
          <w:color w:val="000000"/>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xml:space="preserve">” means Dollars </w:t>
      </w:r>
      <w:r>
        <w:rPr>
          <w:rFonts w:ascii="Times New Roman" w:cs="Times New Roman" w:eastAsia="Times New Roman" w:hAnsi="Times New Roman"/>
          <w:sz w:val="20"/>
          <w:szCs w:val="20"/>
          <w:color w:val="FF0000"/>
          <w:strike w:val="1"/>
        </w:rPr>
        <w:t>or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 each</w:t>
      </w:r>
      <w:r>
        <w:rPr>
          <w:rFonts w:ascii="Times New Roman" w:cs="Times New Roman" w:eastAsia="Times New Roman" w:hAnsi="Times New Roman"/>
          <w:sz w:val="20"/>
          <w:szCs w:val="20"/>
          <w:color w:val="auto"/>
        </w:rPr>
        <w:t xml:space="preserve"> Alternative Currency.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 as amended, restated, modified, supplemented and extended from time to time.</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each of Euro, Sterling, Australian Dollars, Japanese Yen, Canadian Dollars and each other currency (other than Dollars) that is approved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Equivalent</w:t>
      </w:r>
      <w:r>
        <w:rPr>
          <w:rFonts w:ascii="Times New Roman" w:cs="Times New Roman" w:eastAsia="Times New Roman" w:hAnsi="Times New Roman"/>
          <w:sz w:val="20"/>
          <w:szCs w:val="20"/>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23" w:name="page24"/>
    <w:bookmarkEnd w:id="23"/>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the following percentages per annum, based upon the Consolidated Net Leverage Ratio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40" w:type="dxa"/>
            <w:vAlign w:val="bottom"/>
            <w:tcBorders>
              <w:top w:val="single" w:sz="8" w:color="00000A"/>
              <w:left w:val="single" w:sz="8" w:color="00000A"/>
              <w:right w:val="single" w:sz="8" w:color="00000A"/>
            </w:tcBorders>
          </w:tcPr>
          <w:p>
            <w:pPr>
              <w:spacing w:after="0"/>
              <w:rPr>
                <w:sz w:val="21"/>
                <w:szCs w:val="21"/>
                <w:color w:val="auto"/>
              </w:rPr>
            </w:pPr>
          </w:p>
        </w:tc>
        <w:tc>
          <w:tcPr>
            <w:tcW w:w="560" w:type="dxa"/>
            <w:vAlign w:val="bottom"/>
            <w:tcBorders>
              <w:top w:val="single" w:sz="8" w:color="00000A"/>
            </w:tcBorders>
          </w:tcPr>
          <w:p>
            <w:pPr>
              <w:spacing w:after="0"/>
              <w:rPr>
                <w:sz w:val="21"/>
                <w:szCs w:val="21"/>
                <w:color w:val="auto"/>
              </w:rPr>
            </w:pPr>
          </w:p>
        </w:tc>
        <w:tc>
          <w:tcPr>
            <w:tcW w:w="100" w:type="dxa"/>
            <w:vAlign w:val="bottom"/>
            <w:tcBorders>
              <w:top w:val="single" w:sz="8" w:color="00000A"/>
            </w:tcBorders>
          </w:tcPr>
          <w:p>
            <w:pPr>
              <w:spacing w:after="0"/>
              <w:rPr>
                <w:sz w:val="21"/>
                <w:szCs w:val="21"/>
                <w:color w:val="auto"/>
              </w:rPr>
            </w:pPr>
          </w:p>
        </w:tc>
        <w:tc>
          <w:tcPr>
            <w:tcW w:w="2340" w:type="dxa"/>
            <w:vAlign w:val="bottom"/>
            <w:tcBorders>
              <w:top w:val="single" w:sz="8" w:color="00000A"/>
              <w:right w:val="single" w:sz="8" w:color="00000A"/>
            </w:tcBorders>
            <w:gridSpan w:val="3"/>
            <w:vMerge w:val="restart"/>
          </w:tcPr>
          <w:p>
            <w:pPr>
              <w:ind w:left="280"/>
              <w:spacing w:after="0"/>
              <w:rPr>
                <w:sz w:val="20"/>
                <w:szCs w:val="20"/>
                <w:color w:val="auto"/>
              </w:rPr>
            </w:pPr>
            <w:r>
              <w:rPr>
                <w:rFonts w:ascii="Times New Roman" w:cs="Times New Roman" w:eastAsia="Times New Roman" w:hAnsi="Times New Roman"/>
                <w:sz w:val="20"/>
                <w:szCs w:val="20"/>
                <w:color w:val="auto"/>
              </w:rPr>
              <w:t>Consolidated</w:t>
            </w:r>
          </w:p>
        </w:tc>
        <w:tc>
          <w:tcPr>
            <w:tcW w:w="1580" w:type="dxa"/>
            <w:vAlign w:val="bottom"/>
            <w:tcBorders>
              <w:top w:val="single" w:sz="8" w:color="00000A"/>
              <w:right w:val="single" w:sz="8" w:color="00000A"/>
            </w:tcBorders>
          </w:tcPr>
          <w:p>
            <w:pPr>
              <w:spacing w:after="0"/>
              <w:rPr>
                <w:sz w:val="21"/>
                <w:szCs w:val="21"/>
                <w:color w:val="auto"/>
              </w:rPr>
            </w:pPr>
          </w:p>
        </w:tc>
        <w:tc>
          <w:tcPr>
            <w:tcW w:w="760" w:type="dxa"/>
            <w:vAlign w:val="bottom"/>
            <w:tcBorders>
              <w:top w:val="single" w:sz="8" w:color="00000A"/>
            </w:tcBorders>
          </w:tcPr>
          <w:p>
            <w:pPr>
              <w:spacing w:after="0"/>
              <w:rPr>
                <w:sz w:val="21"/>
                <w:szCs w:val="21"/>
                <w:color w:val="auto"/>
              </w:rPr>
            </w:pPr>
          </w:p>
        </w:tc>
        <w:tc>
          <w:tcPr>
            <w:tcW w:w="440" w:type="dxa"/>
            <w:vAlign w:val="bottom"/>
            <w:tcBorders>
              <w:top w:val="single" w:sz="8" w:color="00000A"/>
            </w:tcBorders>
          </w:tcPr>
          <w:p>
            <w:pPr>
              <w:spacing w:after="0"/>
              <w:rPr>
                <w:sz w:val="21"/>
                <w:szCs w:val="21"/>
                <w:color w:val="auto"/>
              </w:rPr>
            </w:pPr>
          </w:p>
        </w:tc>
        <w:tc>
          <w:tcPr>
            <w:tcW w:w="520" w:type="dxa"/>
            <w:vAlign w:val="bottom"/>
            <w:tcBorders>
              <w:top w:val="single" w:sz="8" w:color="00000A"/>
              <w:right w:val="single" w:sz="8" w:color="00000A"/>
            </w:tcBorders>
          </w:tcPr>
          <w:p>
            <w:pPr>
              <w:spacing w:after="0"/>
              <w:rPr>
                <w:sz w:val="21"/>
                <w:szCs w:val="21"/>
                <w:color w:val="auto"/>
              </w:rPr>
            </w:pPr>
          </w:p>
        </w:tc>
        <w:tc>
          <w:tcPr>
            <w:tcW w:w="1860" w:type="dxa"/>
            <w:vAlign w:val="bottom"/>
            <w:tcBorders>
              <w:top w:val="single" w:sz="8" w:color="00000A"/>
              <w:right w:val="single" w:sz="8" w:color="00000A"/>
            </w:tcBorders>
            <w:gridSpan w:val="5"/>
          </w:tcPr>
          <w:p>
            <w:pPr>
              <w:jc w:val="center"/>
              <w:ind w:right="20"/>
              <w:spacing w:after="0"/>
              <w:rPr>
                <w:sz w:val="20"/>
                <w:szCs w:val="20"/>
                <w:color w:val="auto"/>
              </w:rPr>
            </w:pPr>
            <w:r>
              <w:rPr>
                <w:rFonts w:ascii="Times New Roman" w:cs="Times New Roman" w:eastAsia="Times New Roman" w:hAnsi="Times New Roman"/>
                <w:sz w:val="20"/>
                <w:szCs w:val="20"/>
                <w:color w:val="FF0000"/>
                <w:strike w:val="1"/>
                <w:w w:val="98"/>
              </w:rPr>
              <w:t>Eurocurrency Rate</w:t>
            </w:r>
          </w:p>
        </w:tc>
        <w:tc>
          <w:tcPr>
            <w:tcW w:w="340" w:type="dxa"/>
            <w:vAlign w:val="bottom"/>
            <w:tcBorders>
              <w:top w:val="single" w:sz="8" w:color="00000A"/>
            </w:tcBorders>
          </w:tcPr>
          <w:p>
            <w:pPr>
              <w:spacing w:after="0"/>
              <w:rPr>
                <w:sz w:val="21"/>
                <w:szCs w:val="21"/>
                <w:color w:val="auto"/>
              </w:rPr>
            </w:pPr>
          </w:p>
        </w:tc>
        <w:tc>
          <w:tcPr>
            <w:tcW w:w="1420" w:type="dxa"/>
            <w:vAlign w:val="bottom"/>
            <w:tcBorders>
              <w:top w:val="single" w:sz="8" w:color="00000A"/>
              <w:right w:val="single" w:sz="8" w:color="00000A"/>
            </w:tcBorders>
            <w:gridSpan w:val="3"/>
            <w:vMerge w:val="restart"/>
          </w:tcPr>
          <w:p>
            <w:pPr>
              <w:jc w:val="center"/>
              <w:ind w:right="420"/>
              <w:spacing w:after="0"/>
              <w:rPr>
                <w:sz w:val="20"/>
                <w:szCs w:val="20"/>
                <w:color w:val="auto"/>
              </w:rPr>
            </w:pPr>
            <w:r>
              <w:rPr>
                <w:rFonts w:ascii="Times New Roman" w:cs="Times New Roman" w:eastAsia="Times New Roman" w:hAnsi="Times New Roman"/>
                <w:sz w:val="20"/>
                <w:szCs w:val="20"/>
                <w:color w:val="auto"/>
                <w:w w:val="99"/>
              </w:rPr>
              <w:t>Base Rate</w:t>
            </w:r>
          </w:p>
        </w:tc>
        <w:tc>
          <w:tcPr>
            <w:tcW w:w="0" w:type="dxa"/>
            <w:vAlign w:val="bottom"/>
          </w:tcPr>
          <w:p>
            <w:pPr>
              <w:spacing w:after="0"/>
              <w:rPr>
                <w:sz w:val="1"/>
                <w:szCs w:val="1"/>
                <w:color w:val="auto"/>
              </w:rPr>
            </w:pPr>
          </w:p>
        </w:tc>
      </w:tr>
      <w:tr>
        <w:trPr>
          <w:trHeight w:val="108"/>
        </w:trPr>
        <w:tc>
          <w:tcPr>
            <w:tcW w:w="1340" w:type="dxa"/>
            <w:vAlign w:val="bottom"/>
            <w:tcBorders>
              <w:left w:val="single" w:sz="8" w:color="00000A"/>
              <w:right w:val="single" w:sz="8" w:color="00000A"/>
            </w:tcBorders>
            <w:vMerge w:val="restart"/>
          </w:tcPr>
          <w:p>
            <w:pPr>
              <w:jc w:val="center"/>
              <w:spacing w:after="0" w:line="212" w:lineRule="exact"/>
              <w:rPr>
                <w:sz w:val="20"/>
                <w:szCs w:val="20"/>
                <w:color w:val="auto"/>
              </w:rPr>
            </w:pPr>
            <w:r>
              <w:rPr>
                <w:rFonts w:ascii="Times New Roman" w:cs="Times New Roman" w:eastAsia="Times New Roman" w:hAnsi="Times New Roman"/>
                <w:sz w:val="20"/>
                <w:szCs w:val="20"/>
                <w:color w:val="auto"/>
                <w:w w:val="97"/>
              </w:rPr>
              <w:t>Pricing Level</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Borders>
              <w:right w:val="single" w:sz="8" w:color="00000A"/>
            </w:tcBorders>
            <w:gridSpan w:val="3"/>
            <w:vMerge w:val="continue"/>
          </w:tcPr>
          <w:p>
            <w:pPr>
              <w:spacing w:after="0"/>
              <w:rPr>
                <w:sz w:val="9"/>
                <w:szCs w:val="9"/>
                <w:color w:val="auto"/>
              </w:rPr>
            </w:pPr>
          </w:p>
        </w:tc>
        <w:tc>
          <w:tcPr>
            <w:tcW w:w="1580" w:type="dxa"/>
            <w:vAlign w:val="bottom"/>
            <w:tcBorders>
              <w:right w:val="single" w:sz="8" w:color="00000A"/>
            </w:tcBorders>
            <w:vMerge w:val="restart"/>
          </w:tcPr>
          <w:p>
            <w:pPr>
              <w:jc w:val="center"/>
              <w:spacing w:after="0" w:line="212" w:lineRule="exact"/>
              <w:rPr>
                <w:sz w:val="20"/>
                <w:szCs w:val="20"/>
                <w:color w:val="auto"/>
              </w:rPr>
            </w:pPr>
            <w:r>
              <w:rPr>
                <w:rFonts w:ascii="Times New Roman" w:cs="Times New Roman" w:eastAsia="Times New Roman" w:hAnsi="Times New Roman"/>
                <w:sz w:val="20"/>
                <w:szCs w:val="20"/>
                <w:color w:val="auto"/>
                <w:w w:val="98"/>
              </w:rPr>
              <w:t>Commitment Fee</w:t>
            </w:r>
          </w:p>
        </w:tc>
        <w:tc>
          <w:tcPr>
            <w:tcW w:w="1720" w:type="dxa"/>
            <w:vAlign w:val="bottom"/>
            <w:tcBorders>
              <w:right w:val="single" w:sz="8" w:color="00000A"/>
            </w:tcBorders>
            <w:gridSpan w:val="3"/>
            <w:vMerge w:val="restart"/>
          </w:tcPr>
          <w:p>
            <w:pPr>
              <w:jc w:val="right"/>
              <w:ind w:right="180"/>
              <w:spacing w:after="0" w:line="212" w:lineRule="exact"/>
              <w:rPr>
                <w:sz w:val="20"/>
                <w:szCs w:val="20"/>
                <w:color w:val="auto"/>
              </w:rPr>
            </w:pPr>
            <w:r>
              <w:rPr>
                <w:rFonts w:ascii="Times New Roman" w:cs="Times New Roman" w:eastAsia="Times New Roman" w:hAnsi="Times New Roman"/>
                <w:sz w:val="20"/>
                <w:szCs w:val="20"/>
                <w:color w:val="auto"/>
              </w:rPr>
              <w:t>Letters of Credit*</w:t>
            </w:r>
          </w:p>
        </w:tc>
        <w:tc>
          <w:tcPr>
            <w:tcW w:w="240" w:type="dxa"/>
            <w:vAlign w:val="bottom"/>
          </w:tcPr>
          <w:p>
            <w:pPr>
              <w:spacing w:after="0"/>
              <w:rPr>
                <w:sz w:val="9"/>
                <w:szCs w:val="9"/>
                <w:color w:val="auto"/>
              </w:rPr>
            </w:pPr>
          </w:p>
        </w:tc>
        <w:tc>
          <w:tcPr>
            <w:tcW w:w="1620" w:type="dxa"/>
            <w:vAlign w:val="bottom"/>
            <w:tcBorders>
              <w:right w:val="single" w:sz="8" w:color="00000A"/>
            </w:tcBorders>
            <w:gridSpan w:val="4"/>
            <w:vMerge w:val="restart"/>
          </w:tcPr>
          <w:p>
            <w:pPr>
              <w:jc w:val="center"/>
              <w:ind w:right="260"/>
              <w:spacing w:after="0" w:line="212" w:lineRule="exact"/>
              <w:rPr>
                <w:sz w:val="20"/>
                <w:szCs w:val="20"/>
                <w:color w:val="auto"/>
              </w:rPr>
            </w:pPr>
            <w:r>
              <w:rPr>
                <w:rFonts w:ascii="Times New Roman" w:cs="Times New Roman" w:eastAsia="Times New Roman" w:hAnsi="Times New Roman"/>
                <w:sz w:val="20"/>
                <w:szCs w:val="20"/>
                <w:color w:val="0000FF"/>
                <w:w w:val="96"/>
              </w:rPr>
              <w:t>Term Benchmark</w:t>
            </w:r>
          </w:p>
        </w:tc>
        <w:tc>
          <w:tcPr>
            <w:tcW w:w="340" w:type="dxa"/>
            <w:vAlign w:val="bottom"/>
          </w:tcPr>
          <w:p>
            <w:pPr>
              <w:spacing w:after="0"/>
              <w:rPr>
                <w:sz w:val="9"/>
                <w:szCs w:val="9"/>
                <w:color w:val="auto"/>
              </w:rPr>
            </w:pPr>
          </w:p>
        </w:tc>
        <w:tc>
          <w:tcPr>
            <w:tcW w:w="1420" w:type="dxa"/>
            <w:vAlign w:val="bottom"/>
            <w:tcBorders>
              <w:right w:val="single" w:sz="8" w:color="00000A"/>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40" w:type="dxa"/>
            <w:vAlign w:val="bottom"/>
            <w:tcBorders>
              <w:left w:val="single" w:sz="8" w:color="00000A"/>
              <w:right w:val="single" w:sz="8" w:color="00000A"/>
            </w:tcBorders>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Borders>
              <w:right w:val="single" w:sz="8" w:color="00000A"/>
            </w:tcBorders>
            <w:gridSpan w:val="3"/>
            <w:vMerge w:val="restart"/>
          </w:tcPr>
          <w:p>
            <w:pPr>
              <w:jc w:val="center"/>
              <w:ind w:right="680"/>
              <w:spacing w:after="0"/>
              <w:rPr>
                <w:sz w:val="20"/>
                <w:szCs w:val="20"/>
                <w:color w:val="auto"/>
              </w:rPr>
            </w:pPr>
            <w:r>
              <w:rPr>
                <w:rFonts w:ascii="Times New Roman" w:cs="Times New Roman" w:eastAsia="Times New Roman" w:hAnsi="Times New Roman"/>
                <w:sz w:val="20"/>
                <w:szCs w:val="20"/>
                <w:color w:val="auto"/>
                <w:w w:val="98"/>
              </w:rPr>
              <w:t>Net Leverage Ratio</w:t>
            </w:r>
          </w:p>
        </w:tc>
        <w:tc>
          <w:tcPr>
            <w:tcW w:w="1580" w:type="dxa"/>
            <w:vAlign w:val="bottom"/>
            <w:tcBorders>
              <w:right w:val="single" w:sz="8" w:color="00000A"/>
            </w:tcBorders>
            <w:vMerge w:val="continue"/>
          </w:tcPr>
          <w:p>
            <w:pPr>
              <w:spacing w:after="0"/>
              <w:rPr>
                <w:sz w:val="9"/>
                <w:szCs w:val="9"/>
                <w:color w:val="auto"/>
              </w:rPr>
            </w:pPr>
          </w:p>
        </w:tc>
        <w:tc>
          <w:tcPr>
            <w:tcW w:w="1720" w:type="dxa"/>
            <w:vAlign w:val="bottom"/>
            <w:tcBorders>
              <w:right w:val="single" w:sz="8" w:color="00000A"/>
            </w:tcBorders>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Borders>
              <w:right w:val="single" w:sz="8" w:color="00000A"/>
            </w:tcBorders>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Borders>
              <w:right w:val="single" w:sz="8" w:color="00000A"/>
            </w:tcBorders>
            <w:gridSpan w:val="3"/>
            <w:vMerge w:val="restart"/>
          </w:tcPr>
          <w:p>
            <w:pPr>
              <w:jc w:val="center"/>
              <w:ind w:right="360"/>
              <w:spacing w:after="0"/>
              <w:rPr>
                <w:sz w:val="20"/>
                <w:szCs w:val="20"/>
                <w:color w:val="auto"/>
              </w:rPr>
            </w:pPr>
            <w:r>
              <w:rPr>
                <w:rFonts w:ascii="Times New Roman" w:cs="Times New Roman" w:eastAsia="Times New Roman" w:hAnsi="Times New Roman"/>
                <w:sz w:val="20"/>
                <w:szCs w:val="20"/>
                <w:color w:val="auto"/>
              </w:rPr>
              <w:t>Loans</w:t>
            </w:r>
          </w:p>
        </w:tc>
        <w:tc>
          <w:tcPr>
            <w:tcW w:w="0" w:type="dxa"/>
            <w:vAlign w:val="bottom"/>
          </w:tcPr>
          <w:p>
            <w:pPr>
              <w:spacing w:after="0"/>
              <w:rPr>
                <w:sz w:val="1"/>
                <w:szCs w:val="1"/>
                <w:color w:val="auto"/>
              </w:rPr>
            </w:pPr>
          </w:p>
        </w:tc>
      </w:tr>
      <w:tr>
        <w:trPr>
          <w:trHeight w:val="20"/>
        </w:trPr>
        <w:tc>
          <w:tcPr>
            <w:tcW w:w="1340" w:type="dxa"/>
            <w:vAlign w:val="bottom"/>
            <w:tcBorders>
              <w:left w:val="single" w:sz="8" w:color="00000A"/>
              <w:right w:val="single" w:sz="8" w:color="00000A"/>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40" w:type="dxa"/>
            <w:vAlign w:val="bottom"/>
            <w:tcBorders>
              <w:right w:val="single" w:sz="8" w:color="00000A"/>
            </w:tcBorders>
            <w:gridSpan w:val="3"/>
            <w:vMerge w:val="continue"/>
          </w:tcPr>
          <w:p>
            <w:pPr>
              <w:spacing w:after="0" w:line="20" w:lineRule="exact"/>
              <w:rPr>
                <w:sz w:val="1"/>
                <w:szCs w:val="1"/>
                <w:color w:val="auto"/>
              </w:rPr>
            </w:pPr>
          </w:p>
        </w:tc>
        <w:tc>
          <w:tcPr>
            <w:tcW w:w="1580" w:type="dxa"/>
            <w:vAlign w:val="bottom"/>
            <w:tcBorders>
              <w:right w:val="single" w:sz="8" w:color="00000A"/>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right w:val="single" w:sz="8" w:color="00000A"/>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0A"/>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20" w:type="dxa"/>
            <w:vAlign w:val="bottom"/>
            <w:tcBorders>
              <w:right w:val="single" w:sz="8" w:color="00000A"/>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tcBorders>
              <w:left w:val="single" w:sz="8" w:color="00000A"/>
              <w:right w:val="single" w:sz="8" w:color="00000A"/>
            </w:tcBorders>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340" w:type="dxa"/>
            <w:vAlign w:val="bottom"/>
            <w:tcBorders>
              <w:right w:val="single" w:sz="8" w:color="00000A"/>
            </w:tcBorders>
            <w:gridSpan w:val="3"/>
            <w:vMerge w:val="continue"/>
          </w:tcPr>
          <w:p>
            <w:pPr>
              <w:spacing w:after="0"/>
              <w:rPr>
                <w:sz w:val="11"/>
                <w:szCs w:val="11"/>
                <w:color w:val="auto"/>
              </w:rPr>
            </w:pPr>
          </w:p>
        </w:tc>
        <w:tc>
          <w:tcPr>
            <w:tcW w:w="1580" w:type="dxa"/>
            <w:vAlign w:val="bottom"/>
            <w:tcBorders>
              <w:right w:val="single" w:sz="8" w:color="00000A"/>
            </w:tcBorders>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Borders>
              <w:right w:val="single" w:sz="8" w:color="00000A"/>
            </w:tcBorders>
          </w:tcPr>
          <w:p>
            <w:pPr>
              <w:spacing w:after="0"/>
              <w:rPr>
                <w:sz w:val="11"/>
                <w:szCs w:val="11"/>
                <w:color w:val="auto"/>
              </w:rPr>
            </w:pPr>
          </w:p>
        </w:tc>
        <w:tc>
          <w:tcPr>
            <w:tcW w:w="1860" w:type="dxa"/>
            <w:vAlign w:val="bottom"/>
            <w:tcBorders>
              <w:right w:val="single" w:sz="8" w:color="00000A"/>
            </w:tcBorders>
            <w:gridSpan w:val="5"/>
            <w:vMerge w:val="restart"/>
          </w:tcPr>
          <w:p>
            <w:pPr>
              <w:jc w:val="center"/>
              <w:ind w:right="20"/>
              <w:spacing w:after="0" w:line="228" w:lineRule="exact"/>
              <w:rPr>
                <w:sz w:val="20"/>
                <w:szCs w:val="20"/>
                <w:color w:val="auto"/>
              </w:rPr>
            </w:pPr>
            <w:r>
              <w:rPr>
                <w:rFonts w:ascii="Times New Roman" w:cs="Times New Roman" w:eastAsia="Times New Roman" w:hAnsi="Times New Roman"/>
                <w:sz w:val="20"/>
                <w:szCs w:val="20"/>
                <w:color w:val="auto"/>
                <w:w w:val="98"/>
              </w:rPr>
              <w:t>Loans, RFR Loans</w:t>
            </w:r>
          </w:p>
        </w:tc>
        <w:tc>
          <w:tcPr>
            <w:tcW w:w="340" w:type="dxa"/>
            <w:vAlign w:val="bottom"/>
            <w:vMerge w:val="continue"/>
          </w:tcPr>
          <w:p>
            <w:pPr>
              <w:spacing w:after="0"/>
              <w:rPr>
                <w:sz w:val="11"/>
                <w:szCs w:val="11"/>
                <w:color w:val="auto"/>
              </w:rPr>
            </w:pPr>
          </w:p>
        </w:tc>
        <w:tc>
          <w:tcPr>
            <w:tcW w:w="1420" w:type="dxa"/>
            <w:vAlign w:val="bottom"/>
            <w:tcBorders>
              <w:right w:val="single" w:sz="8" w:color="00000A"/>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40" w:type="dxa"/>
            <w:vAlign w:val="bottom"/>
            <w:tcBorders>
              <w:left w:val="single" w:sz="8" w:color="00000A"/>
              <w:right w:val="single" w:sz="8" w:color="00000A"/>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80" w:type="dxa"/>
            <w:vAlign w:val="bottom"/>
            <w:tcBorders>
              <w:right w:val="single" w:sz="8" w:color="00000A"/>
            </w:tcBorders>
          </w:tcPr>
          <w:p>
            <w:pPr>
              <w:spacing w:after="0"/>
              <w:rPr>
                <w:sz w:val="8"/>
                <w:szCs w:val="8"/>
                <w:color w:val="auto"/>
              </w:rPr>
            </w:pPr>
          </w:p>
        </w:tc>
        <w:tc>
          <w:tcPr>
            <w:tcW w:w="1580" w:type="dxa"/>
            <w:vAlign w:val="bottom"/>
            <w:tcBorders>
              <w:right w:val="single" w:sz="8" w:color="00000A"/>
            </w:tcBorders>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Borders>
              <w:right w:val="single" w:sz="8" w:color="00000A"/>
            </w:tcBorders>
          </w:tcPr>
          <w:p>
            <w:pPr>
              <w:spacing w:after="0"/>
              <w:rPr>
                <w:sz w:val="8"/>
                <w:szCs w:val="8"/>
                <w:color w:val="auto"/>
              </w:rPr>
            </w:pPr>
          </w:p>
        </w:tc>
        <w:tc>
          <w:tcPr>
            <w:tcW w:w="1860" w:type="dxa"/>
            <w:vAlign w:val="bottom"/>
            <w:tcBorders>
              <w:right w:val="single" w:sz="8" w:color="00000A"/>
            </w:tcBorders>
            <w:gridSpan w:val="5"/>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340" w:type="dxa"/>
            <w:vAlign w:val="bottom"/>
            <w:tcBorders>
              <w:left w:val="single" w:sz="8" w:color="00000A"/>
              <w:bottom w:val="single" w:sz="8" w:color="00000A"/>
              <w:right w:val="single" w:sz="8" w:color="00000A"/>
            </w:tcBorders>
          </w:tcPr>
          <w:p>
            <w:pPr>
              <w:spacing w:after="0"/>
              <w:rPr>
                <w:sz w:val="22"/>
                <w:szCs w:val="22"/>
                <w:color w:val="auto"/>
              </w:rPr>
            </w:pPr>
          </w:p>
        </w:tc>
        <w:tc>
          <w:tcPr>
            <w:tcW w:w="560" w:type="dxa"/>
            <w:vAlign w:val="bottom"/>
            <w:tcBorders>
              <w:bottom w:val="single" w:sz="8" w:color="00000A"/>
            </w:tcBorders>
          </w:tcPr>
          <w:p>
            <w:pPr>
              <w:spacing w:after="0"/>
              <w:rPr>
                <w:sz w:val="22"/>
                <w:szCs w:val="22"/>
                <w:color w:val="auto"/>
              </w:rPr>
            </w:pPr>
          </w:p>
        </w:tc>
        <w:tc>
          <w:tcPr>
            <w:tcW w:w="10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120" w:type="dxa"/>
            <w:vAlign w:val="bottom"/>
            <w:tcBorders>
              <w:bottom w:val="single" w:sz="8" w:color="00000A"/>
            </w:tcBorders>
          </w:tcPr>
          <w:p>
            <w:pPr>
              <w:spacing w:after="0"/>
              <w:rPr>
                <w:sz w:val="22"/>
                <w:szCs w:val="22"/>
                <w:color w:val="auto"/>
              </w:rPr>
            </w:pPr>
          </w:p>
        </w:tc>
        <w:tc>
          <w:tcPr>
            <w:tcW w:w="1780" w:type="dxa"/>
            <w:vAlign w:val="bottom"/>
            <w:tcBorders>
              <w:bottom w:val="single" w:sz="8" w:color="00000A"/>
              <w:right w:val="single" w:sz="8" w:color="00000A"/>
            </w:tcBorders>
          </w:tcPr>
          <w:p>
            <w:pPr>
              <w:spacing w:after="0"/>
              <w:rPr>
                <w:sz w:val="22"/>
                <w:szCs w:val="22"/>
                <w:color w:val="auto"/>
              </w:rPr>
            </w:pPr>
          </w:p>
        </w:tc>
        <w:tc>
          <w:tcPr>
            <w:tcW w:w="1580" w:type="dxa"/>
            <w:vAlign w:val="bottom"/>
            <w:tcBorders>
              <w:bottom w:val="single" w:sz="8" w:color="00000A"/>
              <w:right w:val="single" w:sz="8" w:color="00000A"/>
            </w:tcBorders>
          </w:tcPr>
          <w:p>
            <w:pPr>
              <w:spacing w:after="0"/>
              <w:rPr>
                <w:sz w:val="22"/>
                <w:szCs w:val="22"/>
                <w:color w:val="auto"/>
              </w:rPr>
            </w:pPr>
          </w:p>
        </w:tc>
        <w:tc>
          <w:tcPr>
            <w:tcW w:w="76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520" w:type="dxa"/>
            <w:vAlign w:val="bottom"/>
            <w:tcBorders>
              <w:bottom w:val="single" w:sz="8" w:color="00000A"/>
              <w:right w:val="single" w:sz="8" w:color="00000A"/>
            </w:tcBorders>
          </w:tcPr>
          <w:p>
            <w:pPr>
              <w:spacing w:after="0"/>
              <w:rPr>
                <w:sz w:val="22"/>
                <w:szCs w:val="22"/>
                <w:color w:val="auto"/>
              </w:rPr>
            </w:pPr>
          </w:p>
        </w:tc>
        <w:tc>
          <w:tcPr>
            <w:tcW w:w="240" w:type="dxa"/>
            <w:vAlign w:val="bottom"/>
            <w:tcBorders>
              <w:bottom w:val="single" w:sz="8" w:color="00000A"/>
            </w:tcBorders>
          </w:tcPr>
          <w:p>
            <w:pPr>
              <w:spacing w:after="0"/>
              <w:rPr>
                <w:sz w:val="22"/>
                <w:szCs w:val="22"/>
                <w:color w:val="auto"/>
              </w:rPr>
            </w:pPr>
          </w:p>
        </w:tc>
        <w:tc>
          <w:tcPr>
            <w:tcW w:w="1620" w:type="dxa"/>
            <w:vAlign w:val="bottom"/>
            <w:tcBorders>
              <w:bottom w:val="single" w:sz="8" w:color="00000A"/>
              <w:right w:val="single" w:sz="8" w:color="00000A"/>
            </w:tcBorders>
            <w:gridSpan w:val="4"/>
          </w:tcPr>
          <w:p>
            <w:pPr>
              <w:jc w:val="center"/>
              <w:ind w:right="260"/>
              <w:spacing w:after="0"/>
              <w:rPr>
                <w:sz w:val="20"/>
                <w:szCs w:val="20"/>
                <w:color w:val="auto"/>
              </w:rPr>
            </w:pPr>
            <w:r>
              <w:rPr>
                <w:rFonts w:ascii="Times New Roman" w:cs="Times New Roman" w:eastAsia="Times New Roman" w:hAnsi="Times New Roman"/>
                <w:sz w:val="20"/>
                <w:szCs w:val="20"/>
                <w:color w:val="auto"/>
              </w:rPr>
              <w:t>and CBR Loans</w:t>
            </w:r>
          </w:p>
        </w:tc>
        <w:tc>
          <w:tcPr>
            <w:tcW w:w="34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460" w:type="dxa"/>
            <w:vAlign w:val="bottom"/>
            <w:tcBorders>
              <w:bottom w:val="single" w:sz="8" w:color="00000A"/>
            </w:tcBorders>
          </w:tcPr>
          <w:p>
            <w:pPr>
              <w:spacing w:after="0"/>
              <w:rPr>
                <w:sz w:val="22"/>
                <w:szCs w:val="22"/>
                <w:color w:val="auto"/>
              </w:rPr>
            </w:pPr>
          </w:p>
        </w:tc>
        <w:tc>
          <w:tcPr>
            <w:tcW w:w="52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340" w:type="dxa"/>
            <w:vAlign w:val="bottom"/>
            <w:tcBorders>
              <w:left w:val="single" w:sz="8" w:color="00000A"/>
              <w:right w:val="single" w:sz="8" w:color="00000A"/>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1</w:t>
            </w:r>
          </w:p>
        </w:tc>
        <w:tc>
          <w:tcPr>
            <w:tcW w:w="3000" w:type="dxa"/>
            <w:vAlign w:val="bottom"/>
            <w:tcBorders>
              <w:right w:val="single" w:sz="8" w:color="00000A"/>
            </w:tcBorders>
            <w:gridSpan w:val="5"/>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8"/>
              </w:rPr>
              <w:t>&lt;1.50:1.0</w:t>
            </w:r>
          </w:p>
        </w:tc>
        <w:tc>
          <w:tcPr>
            <w:tcW w:w="1580" w:type="dxa"/>
            <w:vAlign w:val="bottom"/>
            <w:tcBorders>
              <w:right w:val="single" w:sz="8" w:color="00000A"/>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0.100%</w:t>
            </w:r>
          </w:p>
        </w:tc>
        <w:tc>
          <w:tcPr>
            <w:tcW w:w="7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FF0000"/>
                <w:strike w:val="1"/>
              </w:rPr>
              <w:t>0.750</w:t>
            </w:r>
          </w:p>
        </w:tc>
        <w:tc>
          <w:tcPr>
            <w:tcW w:w="960" w:type="dxa"/>
            <w:vAlign w:val="bottom"/>
            <w:tcBorders>
              <w:right w:val="single" w:sz="8" w:color="00000A"/>
            </w:tcBorders>
            <w:gridSpan w:val="2"/>
          </w:tcPr>
          <w:p>
            <w:pPr>
              <w:jc w:val="right"/>
              <w:ind w:right="340"/>
              <w:spacing w:after="0" w:line="200" w:lineRule="exact"/>
              <w:rPr>
                <w:sz w:val="20"/>
                <w:szCs w:val="20"/>
                <w:color w:val="auto"/>
              </w:rPr>
            </w:pPr>
            <w:r>
              <w:rPr>
                <w:rFonts w:ascii="Times New Roman" w:cs="Times New Roman" w:eastAsia="Times New Roman" w:hAnsi="Times New Roman"/>
                <w:sz w:val="20"/>
                <w:szCs w:val="20"/>
                <w:color w:val="0000FF"/>
                <w:w w:val="97"/>
              </w:rPr>
              <w:t>0.875</w:t>
            </w:r>
            <w:r>
              <w:rPr>
                <w:rFonts w:ascii="Times New Roman" w:cs="Times New Roman" w:eastAsia="Times New Roman" w:hAnsi="Times New Roman"/>
                <w:sz w:val="20"/>
                <w:szCs w:val="20"/>
                <w:color w:val="000000"/>
                <w:w w:val="97"/>
              </w:rPr>
              <w:t>%</w:t>
            </w:r>
          </w:p>
        </w:tc>
        <w:tc>
          <w:tcPr>
            <w:tcW w:w="24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FF0000"/>
                <w:strike w:val="1"/>
              </w:rPr>
              <w:t>0.750</w:t>
            </w:r>
          </w:p>
        </w:tc>
        <w:tc>
          <w:tcPr>
            <w:tcW w:w="760" w:type="dxa"/>
            <w:vAlign w:val="bottom"/>
            <w:gridSpan w:val="2"/>
          </w:tcPr>
          <w:p>
            <w:pPr>
              <w:jc w:val="right"/>
              <w:ind w:right="160"/>
              <w:spacing w:after="0" w:line="200" w:lineRule="exact"/>
              <w:rPr>
                <w:sz w:val="20"/>
                <w:szCs w:val="20"/>
                <w:color w:val="auto"/>
              </w:rPr>
            </w:pPr>
            <w:r>
              <w:rPr>
                <w:rFonts w:ascii="Times New Roman" w:cs="Times New Roman" w:eastAsia="Times New Roman" w:hAnsi="Times New Roman"/>
                <w:sz w:val="20"/>
                <w:szCs w:val="20"/>
                <w:color w:val="0000FF"/>
                <w:w w:val="93"/>
              </w:rPr>
              <w:t>0.875</w:t>
            </w:r>
            <w:r>
              <w:rPr>
                <w:rFonts w:ascii="Times New Roman" w:cs="Times New Roman" w:eastAsia="Times New Roman" w:hAnsi="Times New Roman"/>
                <w:sz w:val="20"/>
                <w:szCs w:val="20"/>
                <w:color w:val="000000"/>
                <w:w w:val="93"/>
              </w:rPr>
              <w:t>%</w:t>
            </w:r>
          </w:p>
        </w:tc>
        <w:tc>
          <w:tcPr>
            <w:tcW w:w="260" w:type="dxa"/>
            <w:vAlign w:val="bottom"/>
            <w:tcBorders>
              <w:right w:val="single" w:sz="8" w:color="00000A"/>
            </w:tcBorders>
          </w:tcPr>
          <w:p>
            <w:pPr>
              <w:spacing w:after="0"/>
              <w:rPr>
                <w:sz w:val="17"/>
                <w:szCs w:val="17"/>
                <w:color w:val="auto"/>
              </w:rPr>
            </w:pPr>
          </w:p>
        </w:tc>
        <w:tc>
          <w:tcPr>
            <w:tcW w:w="1240" w:type="dxa"/>
            <w:vAlign w:val="bottom"/>
            <w:gridSpan w:val="3"/>
          </w:tcPr>
          <w:p>
            <w:pPr>
              <w:jc w:val="center"/>
              <w:ind w:left="401"/>
              <w:spacing w:after="0" w:line="200" w:lineRule="exact"/>
              <w:rPr>
                <w:sz w:val="20"/>
                <w:szCs w:val="20"/>
                <w:color w:val="auto"/>
              </w:rPr>
            </w:pPr>
            <w:r>
              <w:rPr>
                <w:rFonts w:ascii="Times New Roman" w:cs="Times New Roman" w:eastAsia="Times New Roman" w:hAnsi="Times New Roman"/>
                <w:sz w:val="20"/>
                <w:szCs w:val="20"/>
                <w:color w:val="auto"/>
              </w:rPr>
              <w:t>0.000%</w:t>
            </w:r>
          </w:p>
        </w:tc>
        <w:tc>
          <w:tcPr>
            <w:tcW w:w="5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24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320" w:type="dxa"/>
            <w:vAlign w:val="bottom"/>
            <w:tcBorders>
              <w:bottom w:val="single" w:sz="8" w:color="00000A"/>
            </w:tcBorders>
          </w:tcPr>
          <w:p>
            <w:pPr>
              <w:spacing w:after="0"/>
              <w:rPr>
                <w:sz w:val="2"/>
                <w:szCs w:val="2"/>
                <w:color w:val="auto"/>
              </w:rPr>
            </w:pPr>
          </w:p>
        </w:tc>
        <w:tc>
          <w:tcPr>
            <w:tcW w:w="260" w:type="dxa"/>
            <w:vAlign w:val="bottom"/>
            <w:tcBorders>
              <w:bottom w:val="single" w:sz="8" w:color="00000A"/>
              <w:right w:val="single" w:sz="8" w:color="00000A"/>
            </w:tcBorders>
          </w:tcPr>
          <w:p>
            <w:pPr>
              <w:spacing w:after="0"/>
              <w:rPr>
                <w:sz w:val="2"/>
                <w:szCs w:val="2"/>
                <w:color w:val="auto"/>
              </w:rPr>
            </w:pPr>
          </w:p>
        </w:tc>
        <w:tc>
          <w:tcPr>
            <w:tcW w:w="34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2</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Times New Roman" w:cs="Times New Roman" w:eastAsia="Times New Roman" w:hAnsi="Times New Roman"/>
                <w:sz w:val="20"/>
                <w:szCs w:val="20"/>
                <w:color w:val="auto"/>
                <w:w w:val="98"/>
              </w:rPr>
              <w:t>&gt;1.50:1.0 but &lt;2.00:1.0</w:t>
            </w:r>
          </w:p>
        </w:tc>
        <w:tc>
          <w:tcPr>
            <w:tcW w:w="15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0.125%</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0.875</w:t>
            </w:r>
          </w:p>
        </w:tc>
        <w:tc>
          <w:tcPr>
            <w:tcW w:w="960" w:type="dxa"/>
            <w:vAlign w:val="bottom"/>
            <w:tcBorders>
              <w:right w:val="single" w:sz="8" w:color="00000A"/>
            </w:tcBorders>
            <w:gridSpan w:val="2"/>
          </w:tcPr>
          <w:p>
            <w:pPr>
              <w:jc w:val="right"/>
              <w:ind w:right="340"/>
              <w:spacing w:after="0" w:line="196" w:lineRule="exact"/>
              <w:rPr>
                <w:sz w:val="20"/>
                <w:szCs w:val="20"/>
                <w:color w:val="auto"/>
              </w:rPr>
            </w:pPr>
            <w:r>
              <w:rPr>
                <w:rFonts w:ascii="Times New Roman" w:cs="Times New Roman" w:eastAsia="Times New Roman" w:hAnsi="Times New Roman"/>
                <w:sz w:val="20"/>
                <w:szCs w:val="20"/>
                <w:color w:val="0000FF"/>
                <w:w w:val="97"/>
              </w:rPr>
              <w:t>1.000</w:t>
            </w:r>
            <w:r>
              <w:rPr>
                <w:rFonts w:ascii="Times New Roman" w:cs="Times New Roman" w:eastAsia="Times New Roman" w:hAnsi="Times New Roman"/>
                <w:sz w:val="20"/>
                <w:szCs w:val="20"/>
                <w:color w:val="000000"/>
                <w:w w:val="97"/>
              </w:rPr>
              <w:t>%</w:t>
            </w:r>
          </w:p>
        </w:tc>
        <w:tc>
          <w:tcPr>
            <w:tcW w:w="2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0.875</w:t>
            </w:r>
          </w:p>
        </w:tc>
        <w:tc>
          <w:tcPr>
            <w:tcW w:w="7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20"/>
                <w:szCs w:val="20"/>
                <w:color w:val="0000FF"/>
                <w:w w:val="93"/>
              </w:rPr>
              <w:t>1.000</w:t>
            </w:r>
            <w:r>
              <w:rPr>
                <w:rFonts w:ascii="Times New Roman" w:cs="Times New Roman" w:eastAsia="Times New Roman" w:hAnsi="Times New Roman"/>
                <w:sz w:val="20"/>
                <w:szCs w:val="20"/>
                <w:color w:val="000000"/>
                <w:w w:val="93"/>
              </w:rPr>
              <w:t>%</w:t>
            </w:r>
          </w:p>
        </w:tc>
        <w:tc>
          <w:tcPr>
            <w:tcW w:w="260" w:type="dxa"/>
            <w:vAlign w:val="bottom"/>
            <w:tcBorders>
              <w:right w:val="single" w:sz="8" w:color="00000A"/>
            </w:tcBorders>
          </w:tcPr>
          <w:p>
            <w:pPr>
              <w:spacing w:after="0"/>
              <w:rPr>
                <w:sz w:val="17"/>
                <w:szCs w:val="17"/>
                <w:color w:val="auto"/>
              </w:rPr>
            </w:pPr>
          </w:p>
        </w:tc>
        <w:tc>
          <w:tcPr>
            <w:tcW w:w="1240" w:type="dxa"/>
            <w:vAlign w:val="bottom"/>
            <w:gridSpan w:val="3"/>
          </w:tcPr>
          <w:p>
            <w:pPr>
              <w:jc w:val="center"/>
              <w:ind w:left="401"/>
              <w:spacing w:after="0" w:line="196" w:lineRule="exact"/>
              <w:rPr>
                <w:sz w:val="20"/>
                <w:szCs w:val="20"/>
                <w:color w:val="auto"/>
              </w:rPr>
            </w:pPr>
            <w:r>
              <w:rPr>
                <w:rFonts w:ascii="Times New Roman" w:cs="Times New Roman" w:eastAsia="Times New Roman" w:hAnsi="Times New Roman"/>
                <w:sz w:val="20"/>
                <w:szCs w:val="20"/>
                <w:color w:val="auto"/>
              </w:rPr>
              <w:t>0.000%</w:t>
            </w:r>
          </w:p>
        </w:tc>
        <w:tc>
          <w:tcPr>
            <w:tcW w:w="5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top w:val="single" w:sz="8" w:color="auto"/>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24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320" w:type="dxa"/>
            <w:vAlign w:val="bottom"/>
            <w:tcBorders>
              <w:bottom w:val="single" w:sz="8" w:color="00000A"/>
            </w:tcBorders>
          </w:tcPr>
          <w:p>
            <w:pPr>
              <w:spacing w:after="0"/>
              <w:rPr>
                <w:sz w:val="2"/>
                <w:szCs w:val="2"/>
                <w:color w:val="auto"/>
              </w:rPr>
            </w:pPr>
          </w:p>
        </w:tc>
        <w:tc>
          <w:tcPr>
            <w:tcW w:w="260" w:type="dxa"/>
            <w:vAlign w:val="bottom"/>
            <w:tcBorders>
              <w:bottom w:val="single" w:sz="8" w:color="00000A"/>
              <w:right w:val="single" w:sz="8" w:color="00000A"/>
            </w:tcBorders>
          </w:tcPr>
          <w:p>
            <w:pPr>
              <w:spacing w:after="0"/>
              <w:rPr>
                <w:sz w:val="2"/>
                <w:szCs w:val="2"/>
                <w:color w:val="auto"/>
              </w:rPr>
            </w:pPr>
          </w:p>
        </w:tc>
        <w:tc>
          <w:tcPr>
            <w:tcW w:w="34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3</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Times New Roman" w:cs="Times New Roman" w:eastAsia="Times New Roman" w:hAnsi="Times New Roman"/>
                <w:sz w:val="20"/>
                <w:szCs w:val="20"/>
                <w:color w:val="auto"/>
                <w:w w:val="98"/>
              </w:rPr>
              <w:t>&gt;2.00:1.0 but &lt;2.50:1.0</w:t>
            </w:r>
          </w:p>
        </w:tc>
        <w:tc>
          <w:tcPr>
            <w:tcW w:w="15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0.150%</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1.000</w:t>
            </w:r>
          </w:p>
        </w:tc>
        <w:tc>
          <w:tcPr>
            <w:tcW w:w="960" w:type="dxa"/>
            <w:vAlign w:val="bottom"/>
            <w:tcBorders>
              <w:right w:val="single" w:sz="8" w:color="00000A"/>
            </w:tcBorders>
            <w:gridSpan w:val="2"/>
          </w:tcPr>
          <w:p>
            <w:pPr>
              <w:jc w:val="right"/>
              <w:ind w:right="340"/>
              <w:spacing w:after="0" w:line="196" w:lineRule="exact"/>
              <w:rPr>
                <w:sz w:val="20"/>
                <w:szCs w:val="20"/>
                <w:color w:val="auto"/>
              </w:rPr>
            </w:pPr>
            <w:r>
              <w:rPr>
                <w:rFonts w:ascii="Times New Roman" w:cs="Times New Roman" w:eastAsia="Times New Roman" w:hAnsi="Times New Roman"/>
                <w:sz w:val="20"/>
                <w:szCs w:val="20"/>
                <w:color w:val="0000FF"/>
                <w:w w:val="97"/>
              </w:rPr>
              <w:t>1.125</w:t>
            </w:r>
            <w:r>
              <w:rPr>
                <w:rFonts w:ascii="Times New Roman" w:cs="Times New Roman" w:eastAsia="Times New Roman" w:hAnsi="Times New Roman"/>
                <w:sz w:val="20"/>
                <w:szCs w:val="20"/>
                <w:color w:val="000000"/>
                <w:w w:val="97"/>
              </w:rPr>
              <w:t>%</w:t>
            </w:r>
          </w:p>
        </w:tc>
        <w:tc>
          <w:tcPr>
            <w:tcW w:w="2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1.000</w:t>
            </w:r>
          </w:p>
        </w:tc>
        <w:tc>
          <w:tcPr>
            <w:tcW w:w="7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20"/>
                <w:szCs w:val="20"/>
                <w:color w:val="0000FF"/>
                <w:w w:val="93"/>
              </w:rPr>
              <w:t>1.125</w:t>
            </w:r>
            <w:r>
              <w:rPr>
                <w:rFonts w:ascii="Times New Roman" w:cs="Times New Roman" w:eastAsia="Times New Roman" w:hAnsi="Times New Roman"/>
                <w:sz w:val="20"/>
                <w:szCs w:val="20"/>
                <w:color w:val="000000"/>
                <w:w w:val="93"/>
              </w:rPr>
              <w:t>%</w:t>
            </w:r>
          </w:p>
        </w:tc>
        <w:tc>
          <w:tcPr>
            <w:tcW w:w="260" w:type="dxa"/>
            <w:vAlign w:val="bottom"/>
            <w:tcBorders>
              <w:right w:val="single" w:sz="8" w:color="00000A"/>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w w:val="93"/>
              </w:rPr>
              <w:t>0.000</w:t>
            </w:r>
          </w:p>
        </w:tc>
        <w:tc>
          <w:tcPr>
            <w:tcW w:w="980" w:type="dxa"/>
            <w:vAlign w:val="bottom"/>
            <w:tcBorders>
              <w:right w:val="single" w:sz="8" w:color="00000A"/>
            </w:tcBorders>
            <w:gridSpan w:val="2"/>
          </w:tcPr>
          <w:p>
            <w:pPr>
              <w:jc w:val="right"/>
              <w:ind w:right="360"/>
              <w:spacing w:after="0" w:line="196" w:lineRule="exact"/>
              <w:rPr>
                <w:sz w:val="20"/>
                <w:szCs w:val="20"/>
                <w:color w:val="auto"/>
              </w:rPr>
            </w:pPr>
            <w:r>
              <w:rPr>
                <w:rFonts w:ascii="Times New Roman" w:cs="Times New Roman" w:eastAsia="Times New Roman" w:hAnsi="Times New Roman"/>
                <w:sz w:val="20"/>
                <w:szCs w:val="20"/>
                <w:color w:val="0000FF"/>
                <w:w w:val="97"/>
              </w:rPr>
              <w:t>0.125</w:t>
            </w:r>
            <w:r>
              <w:rPr>
                <w:rFonts w:ascii="Times New Roman" w:cs="Times New Roman" w:eastAsia="Times New Roman" w:hAnsi="Times New Roman"/>
                <w:sz w:val="20"/>
                <w:szCs w:val="20"/>
                <w:color w:val="000000"/>
                <w:w w:val="97"/>
              </w:rPr>
              <w:t>%</w:t>
            </w: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top w:val="single" w:sz="8" w:color="auto"/>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24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320" w:type="dxa"/>
            <w:vAlign w:val="bottom"/>
            <w:tcBorders>
              <w:bottom w:val="single" w:sz="8" w:color="00000A"/>
            </w:tcBorders>
          </w:tcPr>
          <w:p>
            <w:pPr>
              <w:spacing w:after="0"/>
              <w:rPr>
                <w:sz w:val="2"/>
                <w:szCs w:val="2"/>
                <w:color w:val="auto"/>
              </w:rPr>
            </w:pPr>
          </w:p>
        </w:tc>
        <w:tc>
          <w:tcPr>
            <w:tcW w:w="260" w:type="dxa"/>
            <w:vAlign w:val="bottom"/>
            <w:tcBorders>
              <w:bottom w:val="single" w:sz="8" w:color="00000A"/>
              <w:right w:val="single" w:sz="8" w:color="00000A"/>
            </w:tcBorders>
          </w:tcPr>
          <w:p>
            <w:pPr>
              <w:spacing w:after="0"/>
              <w:rPr>
                <w:sz w:val="2"/>
                <w:szCs w:val="2"/>
                <w:color w:val="auto"/>
              </w:rPr>
            </w:pPr>
          </w:p>
        </w:tc>
        <w:tc>
          <w:tcPr>
            <w:tcW w:w="34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460" w:type="dxa"/>
            <w:vAlign w:val="bottom"/>
            <w:tcBorders>
              <w:top w:val="single" w:sz="8" w:color="0000FF"/>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4</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Times New Roman" w:cs="Times New Roman" w:eastAsia="Times New Roman" w:hAnsi="Times New Roman"/>
                <w:sz w:val="20"/>
                <w:szCs w:val="20"/>
                <w:color w:val="auto"/>
                <w:w w:val="98"/>
              </w:rPr>
              <w:t>&gt;2.50:1.0 but &lt;3.00:1.0</w:t>
            </w:r>
          </w:p>
        </w:tc>
        <w:tc>
          <w:tcPr>
            <w:tcW w:w="15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0.175%</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1.250</w:t>
            </w:r>
          </w:p>
        </w:tc>
        <w:tc>
          <w:tcPr>
            <w:tcW w:w="960" w:type="dxa"/>
            <w:vAlign w:val="bottom"/>
            <w:tcBorders>
              <w:right w:val="single" w:sz="8" w:color="00000A"/>
            </w:tcBorders>
            <w:gridSpan w:val="2"/>
          </w:tcPr>
          <w:p>
            <w:pPr>
              <w:jc w:val="right"/>
              <w:ind w:right="340"/>
              <w:spacing w:after="0" w:line="196" w:lineRule="exact"/>
              <w:rPr>
                <w:sz w:val="20"/>
                <w:szCs w:val="20"/>
                <w:color w:val="auto"/>
              </w:rPr>
            </w:pPr>
            <w:r>
              <w:rPr>
                <w:rFonts w:ascii="Times New Roman" w:cs="Times New Roman" w:eastAsia="Times New Roman" w:hAnsi="Times New Roman"/>
                <w:sz w:val="20"/>
                <w:szCs w:val="20"/>
                <w:color w:val="0000FF"/>
                <w:w w:val="97"/>
              </w:rPr>
              <w:t>1.375</w:t>
            </w:r>
            <w:r>
              <w:rPr>
                <w:rFonts w:ascii="Times New Roman" w:cs="Times New Roman" w:eastAsia="Times New Roman" w:hAnsi="Times New Roman"/>
                <w:sz w:val="20"/>
                <w:szCs w:val="20"/>
                <w:color w:val="000000"/>
                <w:w w:val="97"/>
              </w:rPr>
              <w:t>%</w:t>
            </w:r>
          </w:p>
        </w:tc>
        <w:tc>
          <w:tcPr>
            <w:tcW w:w="2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1.250</w:t>
            </w:r>
          </w:p>
        </w:tc>
        <w:tc>
          <w:tcPr>
            <w:tcW w:w="7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20"/>
                <w:szCs w:val="20"/>
                <w:color w:val="0000FF"/>
                <w:w w:val="93"/>
              </w:rPr>
              <w:t>1.375</w:t>
            </w:r>
            <w:r>
              <w:rPr>
                <w:rFonts w:ascii="Times New Roman" w:cs="Times New Roman" w:eastAsia="Times New Roman" w:hAnsi="Times New Roman"/>
                <w:sz w:val="20"/>
                <w:szCs w:val="20"/>
                <w:color w:val="000000"/>
                <w:w w:val="93"/>
              </w:rPr>
              <w:t>%</w:t>
            </w:r>
          </w:p>
        </w:tc>
        <w:tc>
          <w:tcPr>
            <w:tcW w:w="260" w:type="dxa"/>
            <w:vAlign w:val="bottom"/>
            <w:tcBorders>
              <w:right w:val="single" w:sz="8" w:color="00000A"/>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w w:val="93"/>
              </w:rPr>
              <w:t>0.250</w:t>
            </w:r>
          </w:p>
        </w:tc>
        <w:tc>
          <w:tcPr>
            <w:tcW w:w="980" w:type="dxa"/>
            <w:vAlign w:val="bottom"/>
            <w:tcBorders>
              <w:right w:val="single" w:sz="8" w:color="00000A"/>
            </w:tcBorders>
            <w:gridSpan w:val="2"/>
          </w:tcPr>
          <w:p>
            <w:pPr>
              <w:jc w:val="right"/>
              <w:ind w:right="360"/>
              <w:spacing w:after="0" w:line="196" w:lineRule="exact"/>
              <w:rPr>
                <w:sz w:val="20"/>
                <w:szCs w:val="20"/>
                <w:color w:val="auto"/>
              </w:rPr>
            </w:pPr>
            <w:r>
              <w:rPr>
                <w:rFonts w:ascii="Times New Roman" w:cs="Times New Roman" w:eastAsia="Times New Roman" w:hAnsi="Times New Roman"/>
                <w:sz w:val="20"/>
                <w:szCs w:val="20"/>
                <w:color w:val="0000FF"/>
                <w:w w:val="97"/>
              </w:rPr>
              <w:t>0.375</w:t>
            </w:r>
            <w:r>
              <w:rPr>
                <w:rFonts w:ascii="Times New Roman" w:cs="Times New Roman" w:eastAsia="Times New Roman" w:hAnsi="Times New Roman"/>
                <w:sz w:val="20"/>
                <w:szCs w:val="20"/>
                <w:color w:val="000000"/>
                <w:w w:val="97"/>
              </w:rPr>
              <w:t>%</w:t>
            </w: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top w:val="single" w:sz="8" w:color="auto"/>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24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320" w:type="dxa"/>
            <w:vAlign w:val="bottom"/>
            <w:tcBorders>
              <w:bottom w:val="single" w:sz="8" w:color="00000A"/>
            </w:tcBorders>
          </w:tcPr>
          <w:p>
            <w:pPr>
              <w:spacing w:after="0"/>
              <w:rPr>
                <w:sz w:val="2"/>
                <w:szCs w:val="2"/>
                <w:color w:val="auto"/>
              </w:rPr>
            </w:pPr>
          </w:p>
        </w:tc>
        <w:tc>
          <w:tcPr>
            <w:tcW w:w="260" w:type="dxa"/>
            <w:vAlign w:val="bottom"/>
            <w:tcBorders>
              <w:bottom w:val="single" w:sz="8" w:color="00000A"/>
              <w:right w:val="single" w:sz="8" w:color="00000A"/>
            </w:tcBorders>
          </w:tcPr>
          <w:p>
            <w:pPr>
              <w:spacing w:after="0"/>
              <w:rPr>
                <w:sz w:val="2"/>
                <w:szCs w:val="2"/>
                <w:color w:val="auto"/>
              </w:rPr>
            </w:pPr>
          </w:p>
        </w:tc>
        <w:tc>
          <w:tcPr>
            <w:tcW w:w="34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460" w:type="dxa"/>
            <w:vAlign w:val="bottom"/>
            <w:tcBorders>
              <w:top w:val="single" w:sz="8" w:color="0000FF"/>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5</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Times New Roman" w:cs="Times New Roman" w:eastAsia="Times New Roman" w:hAnsi="Times New Roman"/>
                <w:sz w:val="20"/>
                <w:szCs w:val="20"/>
                <w:color w:val="auto"/>
                <w:w w:val="98"/>
              </w:rPr>
              <w:t>&gt;3.00:1.0 but &lt;3.25:1.0</w:t>
            </w:r>
          </w:p>
        </w:tc>
        <w:tc>
          <w:tcPr>
            <w:tcW w:w="15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0.200%</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1.500</w:t>
            </w:r>
          </w:p>
        </w:tc>
        <w:tc>
          <w:tcPr>
            <w:tcW w:w="960" w:type="dxa"/>
            <w:vAlign w:val="bottom"/>
            <w:tcBorders>
              <w:right w:val="single" w:sz="8" w:color="00000A"/>
            </w:tcBorders>
            <w:gridSpan w:val="2"/>
          </w:tcPr>
          <w:p>
            <w:pPr>
              <w:jc w:val="right"/>
              <w:ind w:right="340"/>
              <w:spacing w:after="0" w:line="196" w:lineRule="exact"/>
              <w:rPr>
                <w:sz w:val="20"/>
                <w:szCs w:val="20"/>
                <w:color w:val="auto"/>
              </w:rPr>
            </w:pPr>
            <w:r>
              <w:rPr>
                <w:rFonts w:ascii="Times New Roman" w:cs="Times New Roman" w:eastAsia="Times New Roman" w:hAnsi="Times New Roman"/>
                <w:sz w:val="20"/>
                <w:szCs w:val="20"/>
                <w:color w:val="0000FF"/>
                <w:w w:val="97"/>
              </w:rPr>
              <w:t>1.625</w:t>
            </w:r>
            <w:r>
              <w:rPr>
                <w:rFonts w:ascii="Times New Roman" w:cs="Times New Roman" w:eastAsia="Times New Roman" w:hAnsi="Times New Roman"/>
                <w:sz w:val="20"/>
                <w:szCs w:val="20"/>
                <w:color w:val="000000"/>
                <w:w w:val="97"/>
              </w:rPr>
              <w:t>%</w:t>
            </w:r>
          </w:p>
        </w:tc>
        <w:tc>
          <w:tcPr>
            <w:tcW w:w="2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1.500</w:t>
            </w:r>
          </w:p>
        </w:tc>
        <w:tc>
          <w:tcPr>
            <w:tcW w:w="7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20"/>
                <w:szCs w:val="20"/>
                <w:color w:val="0000FF"/>
                <w:w w:val="93"/>
              </w:rPr>
              <w:t>1.625</w:t>
            </w:r>
            <w:r>
              <w:rPr>
                <w:rFonts w:ascii="Times New Roman" w:cs="Times New Roman" w:eastAsia="Times New Roman" w:hAnsi="Times New Roman"/>
                <w:sz w:val="20"/>
                <w:szCs w:val="20"/>
                <w:color w:val="000000"/>
                <w:w w:val="93"/>
              </w:rPr>
              <w:t>%</w:t>
            </w:r>
          </w:p>
        </w:tc>
        <w:tc>
          <w:tcPr>
            <w:tcW w:w="260" w:type="dxa"/>
            <w:vAlign w:val="bottom"/>
            <w:tcBorders>
              <w:right w:val="single" w:sz="8" w:color="00000A"/>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w w:val="93"/>
              </w:rPr>
              <w:t>0.500</w:t>
            </w:r>
          </w:p>
        </w:tc>
        <w:tc>
          <w:tcPr>
            <w:tcW w:w="980" w:type="dxa"/>
            <w:vAlign w:val="bottom"/>
            <w:tcBorders>
              <w:right w:val="single" w:sz="8" w:color="00000A"/>
            </w:tcBorders>
            <w:gridSpan w:val="2"/>
          </w:tcPr>
          <w:p>
            <w:pPr>
              <w:jc w:val="right"/>
              <w:ind w:right="360"/>
              <w:spacing w:after="0" w:line="196" w:lineRule="exact"/>
              <w:rPr>
                <w:sz w:val="20"/>
                <w:szCs w:val="20"/>
                <w:color w:val="auto"/>
              </w:rPr>
            </w:pPr>
            <w:r>
              <w:rPr>
                <w:rFonts w:ascii="Times New Roman" w:cs="Times New Roman" w:eastAsia="Times New Roman" w:hAnsi="Times New Roman"/>
                <w:sz w:val="20"/>
                <w:szCs w:val="20"/>
                <w:color w:val="0000FF"/>
                <w:w w:val="97"/>
              </w:rPr>
              <w:t>0.625</w:t>
            </w:r>
            <w:r>
              <w:rPr>
                <w:rFonts w:ascii="Times New Roman" w:cs="Times New Roman" w:eastAsia="Times New Roman" w:hAnsi="Times New Roman"/>
                <w:sz w:val="20"/>
                <w:szCs w:val="20"/>
                <w:color w:val="000000"/>
                <w:w w:val="97"/>
              </w:rPr>
              <w:t>%</w:t>
            </w: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top w:val="single" w:sz="8" w:color="auto"/>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24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320" w:type="dxa"/>
            <w:vAlign w:val="bottom"/>
            <w:tcBorders>
              <w:bottom w:val="single" w:sz="8" w:color="00000A"/>
            </w:tcBorders>
          </w:tcPr>
          <w:p>
            <w:pPr>
              <w:spacing w:after="0"/>
              <w:rPr>
                <w:sz w:val="2"/>
                <w:szCs w:val="2"/>
                <w:color w:val="auto"/>
              </w:rPr>
            </w:pPr>
          </w:p>
        </w:tc>
        <w:tc>
          <w:tcPr>
            <w:tcW w:w="260" w:type="dxa"/>
            <w:vAlign w:val="bottom"/>
            <w:tcBorders>
              <w:bottom w:val="single" w:sz="8" w:color="00000A"/>
              <w:right w:val="single" w:sz="8" w:color="00000A"/>
            </w:tcBorders>
          </w:tcPr>
          <w:p>
            <w:pPr>
              <w:spacing w:after="0"/>
              <w:rPr>
                <w:sz w:val="2"/>
                <w:szCs w:val="2"/>
                <w:color w:val="auto"/>
              </w:rPr>
            </w:pPr>
          </w:p>
        </w:tc>
        <w:tc>
          <w:tcPr>
            <w:tcW w:w="34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460" w:type="dxa"/>
            <w:vAlign w:val="bottom"/>
            <w:tcBorders>
              <w:top w:val="single" w:sz="8" w:color="0000FF"/>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6</w:t>
            </w:r>
          </w:p>
        </w:tc>
        <w:tc>
          <w:tcPr>
            <w:tcW w:w="3000" w:type="dxa"/>
            <w:vAlign w:val="bottom"/>
            <w:tcBorders>
              <w:right w:val="single" w:sz="8" w:color="00000A"/>
            </w:tcBorders>
            <w:gridSpan w:val="5"/>
          </w:tcPr>
          <w:p>
            <w:pPr>
              <w:jc w:val="center"/>
              <w:ind w:right="40"/>
              <w:spacing w:after="0" w:line="196" w:lineRule="exact"/>
              <w:rPr>
                <w:sz w:val="20"/>
                <w:szCs w:val="20"/>
                <w:color w:val="auto"/>
              </w:rPr>
            </w:pPr>
            <w:r>
              <w:rPr>
                <w:rFonts w:ascii="Times New Roman" w:cs="Times New Roman" w:eastAsia="Times New Roman" w:hAnsi="Times New Roman"/>
                <w:sz w:val="20"/>
                <w:szCs w:val="20"/>
                <w:color w:val="auto"/>
                <w:w w:val="98"/>
              </w:rPr>
              <w:t>&gt;3.25:1.0</w:t>
            </w:r>
          </w:p>
        </w:tc>
        <w:tc>
          <w:tcPr>
            <w:tcW w:w="15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0.200%</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1.625</w:t>
            </w:r>
          </w:p>
        </w:tc>
        <w:tc>
          <w:tcPr>
            <w:tcW w:w="960" w:type="dxa"/>
            <w:vAlign w:val="bottom"/>
            <w:tcBorders>
              <w:right w:val="single" w:sz="8" w:color="00000A"/>
            </w:tcBorders>
            <w:gridSpan w:val="2"/>
          </w:tcPr>
          <w:p>
            <w:pPr>
              <w:jc w:val="right"/>
              <w:ind w:right="340"/>
              <w:spacing w:after="0" w:line="196" w:lineRule="exact"/>
              <w:rPr>
                <w:sz w:val="20"/>
                <w:szCs w:val="20"/>
                <w:color w:val="auto"/>
              </w:rPr>
            </w:pPr>
            <w:r>
              <w:rPr>
                <w:rFonts w:ascii="Times New Roman" w:cs="Times New Roman" w:eastAsia="Times New Roman" w:hAnsi="Times New Roman"/>
                <w:sz w:val="20"/>
                <w:szCs w:val="20"/>
                <w:color w:val="0000FF"/>
                <w:w w:val="97"/>
              </w:rPr>
              <w:t>1.750</w:t>
            </w:r>
            <w:r>
              <w:rPr>
                <w:rFonts w:ascii="Times New Roman" w:cs="Times New Roman" w:eastAsia="Times New Roman" w:hAnsi="Times New Roman"/>
                <w:sz w:val="20"/>
                <w:szCs w:val="20"/>
                <w:color w:val="000000"/>
                <w:w w:val="97"/>
              </w:rPr>
              <w:t>%</w:t>
            </w:r>
          </w:p>
        </w:tc>
        <w:tc>
          <w:tcPr>
            <w:tcW w:w="2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1.625</w:t>
            </w:r>
          </w:p>
        </w:tc>
        <w:tc>
          <w:tcPr>
            <w:tcW w:w="7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20"/>
                <w:szCs w:val="20"/>
                <w:color w:val="0000FF"/>
                <w:w w:val="93"/>
              </w:rPr>
              <w:t>1.750</w:t>
            </w:r>
            <w:r>
              <w:rPr>
                <w:rFonts w:ascii="Times New Roman" w:cs="Times New Roman" w:eastAsia="Times New Roman" w:hAnsi="Times New Roman"/>
                <w:sz w:val="20"/>
                <w:szCs w:val="20"/>
                <w:color w:val="000000"/>
                <w:w w:val="93"/>
              </w:rPr>
              <w:t>%</w:t>
            </w:r>
          </w:p>
        </w:tc>
        <w:tc>
          <w:tcPr>
            <w:tcW w:w="260" w:type="dxa"/>
            <w:vAlign w:val="bottom"/>
            <w:tcBorders>
              <w:right w:val="single" w:sz="8" w:color="00000A"/>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w w:val="93"/>
              </w:rPr>
              <w:t>0.625</w:t>
            </w:r>
          </w:p>
        </w:tc>
        <w:tc>
          <w:tcPr>
            <w:tcW w:w="980" w:type="dxa"/>
            <w:vAlign w:val="bottom"/>
            <w:tcBorders>
              <w:right w:val="single" w:sz="8" w:color="00000A"/>
            </w:tcBorders>
            <w:gridSpan w:val="2"/>
          </w:tcPr>
          <w:p>
            <w:pPr>
              <w:jc w:val="right"/>
              <w:ind w:right="360"/>
              <w:spacing w:after="0" w:line="196" w:lineRule="exact"/>
              <w:rPr>
                <w:sz w:val="20"/>
                <w:szCs w:val="20"/>
                <w:color w:val="auto"/>
              </w:rPr>
            </w:pPr>
            <w:r>
              <w:rPr>
                <w:rFonts w:ascii="Times New Roman" w:cs="Times New Roman" w:eastAsia="Times New Roman" w:hAnsi="Times New Roman"/>
                <w:sz w:val="20"/>
                <w:szCs w:val="20"/>
                <w:color w:val="0000FF"/>
                <w:w w:val="97"/>
              </w:rPr>
              <w:t>0.750</w:t>
            </w:r>
            <w:r>
              <w:rPr>
                <w:rFonts w:ascii="Times New Roman" w:cs="Times New Roman" w:eastAsia="Times New Roman" w:hAnsi="Times New Roman"/>
                <w:sz w:val="20"/>
                <w:szCs w:val="20"/>
                <w:color w:val="000000"/>
                <w:w w:val="97"/>
              </w:rPr>
              <w:t>%</w:t>
            </w: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top w:val="single" w:sz="8" w:color="auto"/>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24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440" w:type="dxa"/>
            <w:vAlign w:val="bottom"/>
            <w:tcBorders>
              <w:top w:val="single" w:sz="8" w:color="0000FF"/>
              <w:bottom w:val="single" w:sz="8" w:color="00000A"/>
            </w:tcBorders>
          </w:tcPr>
          <w:p>
            <w:pPr>
              <w:spacing w:after="0"/>
              <w:rPr>
                <w:sz w:val="2"/>
                <w:szCs w:val="2"/>
                <w:color w:val="auto"/>
              </w:rPr>
            </w:pPr>
          </w:p>
        </w:tc>
        <w:tc>
          <w:tcPr>
            <w:tcW w:w="320" w:type="dxa"/>
            <w:vAlign w:val="bottom"/>
            <w:tcBorders>
              <w:bottom w:val="single" w:sz="8" w:color="00000A"/>
            </w:tcBorders>
          </w:tcPr>
          <w:p>
            <w:pPr>
              <w:spacing w:after="0"/>
              <w:rPr>
                <w:sz w:val="2"/>
                <w:szCs w:val="2"/>
                <w:color w:val="auto"/>
              </w:rPr>
            </w:pPr>
          </w:p>
        </w:tc>
        <w:tc>
          <w:tcPr>
            <w:tcW w:w="260" w:type="dxa"/>
            <w:vAlign w:val="bottom"/>
            <w:tcBorders>
              <w:bottom w:val="single" w:sz="8" w:color="00000A"/>
              <w:right w:val="single" w:sz="8" w:color="00000A"/>
            </w:tcBorders>
          </w:tcPr>
          <w:p>
            <w:pPr>
              <w:spacing w:after="0"/>
              <w:rPr>
                <w:sz w:val="2"/>
                <w:szCs w:val="2"/>
                <w:color w:val="auto"/>
              </w:rPr>
            </w:pPr>
          </w:p>
        </w:tc>
        <w:tc>
          <w:tcPr>
            <w:tcW w:w="34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460" w:type="dxa"/>
            <w:vAlign w:val="bottom"/>
            <w:tcBorders>
              <w:top w:val="single" w:sz="8" w:color="0000FF"/>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60" w:right="40" w:hanging="4"/>
        <w:spacing w:after="0" w:line="269" w:lineRule="auto"/>
        <w:tabs>
          <w:tab w:leader="none" w:pos="81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Rate for performance standby Letters of Credit with respect to non-financial contractual obligations shall be equal to 50% of the Applicable Rate for Letters of Credit set forth above.</w:t>
      </w:r>
    </w:p>
    <w:p>
      <w:pPr>
        <w:spacing w:after="0" w:line="17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Net Leverage Ratio shall become effective as of the first Business Day immediately following the date a Compliance Certificate is required to be delivered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 Compliance Certificate is not delivered within five (5) Business Days after the date when due in accordance with such Section, then, upon the request of the Required Lenders, Pricing Level 6 shall apply as of the first Business Day after the date on which such Compliance Certificate was required to have been delivered and shall continue to apply until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whereupon the Applicable Rate shall be adjusted based upon the calculation of the Consolidated Net Leverage Ratio contained in such Compliance Certificate. Notwithstanding the foregoing, the Applicable Rate in effect from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through the first Business Day immediately following the date a Compliance Certificate is required to be delivered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for the Fiscal Quarter ending </w:t>
      </w:r>
      <w:r>
        <w:rPr>
          <w:rFonts w:ascii="Times New Roman" w:cs="Times New Roman" w:eastAsia="Times New Roman" w:hAnsi="Times New Roman"/>
          <w:sz w:val="20"/>
          <w:szCs w:val="20"/>
          <w:color w:val="FF0000"/>
          <w:strike w:val="1"/>
        </w:rPr>
        <w:t>July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October</w:t>
      </w:r>
      <w:r>
        <w:rPr>
          <w:rFonts w:ascii="Times New Roman" w:cs="Times New Roman" w:eastAsia="Times New Roman" w:hAnsi="Times New Roman"/>
          <w:sz w:val="20"/>
          <w:szCs w:val="20"/>
          <w:color w:val="auto"/>
        </w:rPr>
        <w:t xml:space="preserve"> 31, </w:t>
      </w:r>
      <w:r>
        <w:rPr>
          <w:rFonts w:ascii="Times New Roman" w:cs="Times New Roman" w:eastAsia="Times New Roman" w:hAnsi="Times New Roman"/>
          <w:sz w:val="20"/>
          <w:szCs w:val="20"/>
          <w:color w:val="FF0000"/>
          <w:strike w:val="1"/>
        </w:rPr>
        <w:t>2019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2022</w:t>
      </w:r>
      <w:r>
        <w:rPr>
          <w:rFonts w:ascii="Times New Roman" w:cs="Times New Roman" w:eastAsia="Times New Roman" w:hAnsi="Times New Roman"/>
          <w:sz w:val="20"/>
          <w:szCs w:val="20"/>
          <w:color w:val="auto"/>
        </w:rPr>
        <w:t xml:space="preserve"> shall be determined based upon Pricing Level 1.</w:t>
      </w:r>
    </w:p>
    <w:p>
      <w:pPr>
        <w:spacing w:after="0" w:line="19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xml:space="preserve">” means BMO Capital Markets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BofA Securities, Inc. </w:t>
      </w:r>
      <w:r>
        <w:rPr>
          <w:rFonts w:ascii="Times New Roman" w:cs="Times New Roman" w:eastAsia="Times New Roman" w:hAnsi="Times New Roman"/>
          <w:sz w:val="20"/>
          <w:szCs w:val="20"/>
          <w:color w:val="0000FF"/>
        </w:rPr>
        <w:t>and CIBC Bank USA</w:t>
      </w:r>
      <w:r>
        <w:rPr>
          <w:rFonts w:ascii="Times New Roman" w:cs="Times New Roman" w:eastAsia="Times New Roman" w:hAnsi="Times New Roman"/>
          <w:sz w:val="20"/>
          <w:szCs w:val="20"/>
          <w:color w:val="auto"/>
        </w:rPr>
        <w:t>, in their capacities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-260985</wp:posOffset>
            </wp:positionV>
            <wp:extent cx="244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47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-209550</wp:posOffset>
            </wp:positionV>
            <wp:extent cx="1125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5220" cy="8890"/>
                    </a:xfrm>
                    <a:prstGeom prst="rect">
                      <a:avLst/>
                    </a:prstGeom>
                    <a:noFill/>
                  </pic:spPr>
                </pic:pic>
              </a:graphicData>
            </a:graphic>
          </wp:anchor>
        </w:drawing>
      </w:r>
    </w:p>
    <w:p>
      <w:pPr>
        <w:spacing w:after="0" w:line="12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320" w:top="1413" w:right="31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and accepted by the Administrative Agent, in substantially the form of </w:t>
      </w:r>
      <w:r>
        <w:rPr>
          <w:rFonts w:ascii="Times New Roman" w:cs="Times New Roman" w:eastAsia="Times New Roman" w:hAnsi="Times New Roman"/>
          <w:sz w:val="20"/>
          <w:szCs w:val="20"/>
          <w:u w:val="single" w:color="auto"/>
          <w:color w:val="auto"/>
        </w:rPr>
        <w:t>Exhibit 11.06(b)</w:t>
      </w:r>
      <w:r>
        <w:rPr>
          <w:rFonts w:ascii="Times New Roman" w:cs="Times New Roman" w:eastAsia="Times New Roman" w:hAnsi="Times New Roman"/>
          <w:sz w:val="20"/>
          <w:szCs w:val="20"/>
          <w:color w:val="auto"/>
        </w:rPr>
        <w:t xml:space="preserve"> or any other form (including electronic documentation generated by </w:t>
      </w: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auto"/>
        </w:rPr>
        <w:t xml:space="preserve"> use of an electronic platform) reasonably approved by the Administrative Agent that does not conflict with the terms of this Agreement.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Company and its Subsidiaries as of July 31, 2018 and the related consolidated statements of income or operations, shareholders’ equity and cash flows for the Fiscal Year ended July 31, 2018 of the Company and its Subsidiaries, including the notes thereto.</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the period from and including the Closing Date to the earliest of (a) the Maturity Date, (b) the date of termination of the Aggregate Revolving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(c) the date of termination of the commitment of each Lender to make Loans and of the obligation of the L/C Issuer to make L/C Credit Extensions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36" w:lineRule="exact"/>
        <w:rPr>
          <w:sz w:val="20"/>
          <w:szCs w:val="20"/>
          <w:color w:val="auto"/>
        </w:rPr>
      </w:pPr>
    </w:p>
    <w:p>
      <w:pPr>
        <w:jc w:val="both"/>
        <w:ind w:firstLine="648"/>
        <w:spacing w:after="0" w:line="247"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current Benchmark for any Agreed Currency, as applicable, any tenor for such Benchmark </w:t>
      </w:r>
      <w:r>
        <w:rPr>
          <w:rFonts w:ascii="Times New Roman" w:cs="Times New Roman" w:eastAsia="Times New Roman" w:hAnsi="Times New Roman"/>
          <w:sz w:val="20"/>
          <w:szCs w:val="20"/>
          <w:u w:val="single" w:color="auto"/>
          <w:color w:val="0000FF"/>
        </w:rPr>
        <w:t>(or component thereof)</w:t>
      </w:r>
      <w:r>
        <w:rPr>
          <w:rFonts w:ascii="Times New Roman" w:cs="Times New Roman" w:eastAsia="Times New Roman" w:hAnsi="Times New Roman"/>
          <w:sz w:val="20"/>
          <w:szCs w:val="20"/>
          <w:color w:val="auto"/>
        </w:rPr>
        <w:t xml:space="preserve"> or payment period for interest calculated with reference to such Benchmark </w:t>
      </w:r>
      <w:r>
        <w:rPr>
          <w:rFonts w:ascii="Times New Roman" w:cs="Times New Roman" w:eastAsia="Times New Roman" w:hAnsi="Times New Roman"/>
          <w:sz w:val="20"/>
          <w:szCs w:val="20"/>
          <w:u w:val="single" w:color="auto"/>
          <w:color w:val="0000FF"/>
        </w:rPr>
        <w:t>(or component thereof)</w:t>
      </w:r>
      <w:r>
        <w:rPr>
          <w:rFonts w:ascii="Times New Roman" w:cs="Times New Roman" w:eastAsia="Times New Roman" w:hAnsi="Times New Roman"/>
          <w:sz w:val="20"/>
          <w:szCs w:val="20"/>
          <w:color w:val="auto"/>
        </w:rPr>
        <w:t xml:space="preserve">, as applicable, that is or may be used for determining the length of an Interest Period </w:t>
      </w:r>
      <w:r>
        <w:rPr>
          <w:rFonts w:ascii="Times New Roman" w:cs="Times New Roman" w:eastAsia="Times New Roman" w:hAnsi="Times New Roman"/>
          <w:sz w:val="20"/>
          <w:szCs w:val="20"/>
          <w:u w:val="single" w:color="auto"/>
          <w:color w:val="0000FF"/>
        </w:rPr>
        <w:t>for any term rate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otherwise, for determining any frequency of making payments of interest calculated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pursuant to this Agreement as of such date and not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including, for the avoidance of doubt, any tenor for such Benchmark that is then</w:t>
      </w:r>
      <w:r>
        <w:rPr>
          <w:rFonts w:ascii="MS PGothic" w:cs="MS PGothic" w:eastAsia="MS PGothic" w:hAnsi="MS PGothic"/>
          <w:sz w:val="20"/>
          <w:szCs w:val="20"/>
          <w:color w:val="000000"/>
        </w:rPr>
        <w:t>‐</w:t>
      </w:r>
      <w:r>
        <w:rPr>
          <w:rFonts w:ascii="Times New Roman" w:cs="Times New Roman" w:eastAsia="Times New Roman" w:hAnsi="Times New Roman"/>
          <w:sz w:val="20"/>
          <w:szCs w:val="20"/>
          <w:color w:val="000000"/>
        </w:rPr>
        <w:t xml:space="preserve">removed from the definition of “Interest Period” pursuant to clause (e) of </w:t>
      </w:r>
      <w:r>
        <w:rPr>
          <w:rFonts w:ascii="Times New Roman" w:cs="Times New Roman" w:eastAsia="Times New Roman" w:hAnsi="Times New Roman"/>
          <w:sz w:val="20"/>
          <w:szCs w:val="20"/>
          <w:u w:val="single" w:color="auto"/>
          <w:color w:val="000000"/>
        </w:rPr>
        <w:t>Section 3.07</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-474345</wp:posOffset>
            </wp:positionV>
            <wp:extent cx="31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-685800</wp:posOffset>
            </wp:positionV>
            <wp:extent cx="48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w:t>
      </w:r>
      <w:r>
        <w:rPr>
          <w:rFonts w:ascii="Times New Roman" w:cs="Times New Roman" w:eastAsia="Times New Roman" w:hAnsi="Times New Roman"/>
          <w:sz w:val="19"/>
          <w:szCs w:val="19"/>
          <w:color w:val="auto"/>
        </w:rPr>
        <w:t xml:space="preserve">” means for any day a fluctuating rate per annum equal to the highest of (a) the Federal Funds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0.50%, (b) the rate of interest in effect for such day as publicly announced from time to time by BMO as its “prime rate” and (c) the </w:t>
      </w:r>
      <w:r>
        <w:rPr>
          <w:rFonts w:ascii="Times New Roman" w:cs="Times New Roman" w:eastAsia="Times New Roman" w:hAnsi="Times New Roman"/>
          <w:sz w:val="19"/>
          <w:szCs w:val="19"/>
          <w:color w:val="FF0000"/>
          <w:strike w:val="1"/>
        </w:rPr>
        <w:t>Eurocurrency Base 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 xml:space="preserve">(determined pursuant to clause (b) of the definition thereof) </w:t>
      </w:r>
      <w:r>
        <w:rPr>
          <w:rFonts w:ascii="Times New Roman" w:cs="Times New Roman" w:eastAsia="Times New Roman" w:hAnsi="Times New Roman"/>
          <w:sz w:val="19"/>
          <w:szCs w:val="19"/>
          <w:u w:val="single" w:color="auto"/>
          <w:color w:val="FF0000"/>
          <w:strike w:val="1"/>
        </w:rPr>
        <w:t>plus</w:t>
      </w:r>
      <w:r>
        <w:rPr>
          <w:rFonts w:ascii="Times New Roman" w:cs="Times New Roman" w:eastAsia="Times New Roman" w:hAnsi="Times New Roman"/>
          <w:sz w:val="19"/>
          <w:szCs w:val="19"/>
          <w:color w:val="FF0000"/>
          <w:strike w:val="1"/>
        </w:rPr>
        <w:t xml:space="preserve"> 1.0%</w:t>
      </w:r>
      <w:r>
        <w:rPr>
          <w:rFonts w:ascii="Times New Roman" w:cs="Times New Roman" w:eastAsia="Times New Roman" w:hAnsi="Times New Roman"/>
          <w:sz w:val="19"/>
          <w:szCs w:val="19"/>
          <w:u w:val="single" w:color="auto"/>
          <w:color w:val="0000FF"/>
          <w:strike w:val="1"/>
        </w:rPr>
        <w:t>Adjusted Term SOFR Rate for a one month Interest Period as</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0000FF"/>
          <w:strike w:val="1"/>
        </w:rPr>
        <w:t>published two U.S. Government Securities Business Days prior to such day (or if such day is not a U.S. Government Securities Business Day, the immediately preceding U.S. Government Securities Business Day) plus 1.0%;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w:t>
      </w:r>
      <w:r>
        <w:rPr>
          <w:rFonts w:ascii="Times New Roman" w:cs="Times New Roman" w:eastAsia="Times New Roman" w:hAnsi="Times New Roman"/>
          <w:sz w:val="19"/>
          <w:szCs w:val="19"/>
          <w:color w:val="000000"/>
          <w:strike w:val="1"/>
        </w:rPr>
        <w:t>. The “prime rate” is a rate set by BMO based upon various factors including BMO’s costs and desired</w:t>
      </w:r>
      <w:r>
        <w:rPr>
          <w:rFonts w:ascii="Times New Roman" w:cs="Times New Roman" w:eastAsia="Times New Roman" w:hAnsi="Times New Roman"/>
          <w:sz w:val="19"/>
          <w:szCs w:val="19"/>
          <w:color w:val="0000FF"/>
          <w:strike w:val="1"/>
        </w:rPr>
        <w:t xml:space="preserve"> </w:t>
      </w:r>
      <w:r>
        <w:rPr>
          <w:rFonts w:ascii="Times New Roman" w:cs="Times New Roman" w:eastAsia="Times New Roman" w:hAnsi="Times New Roman"/>
          <w:sz w:val="19"/>
          <w:szCs w:val="19"/>
          <w:color w:val="000000"/>
          <w:strike w:val="1"/>
        </w:rPr>
        <w:t>return, general economic conditions and other factors, and is used as a reference point for pricing some loans, which may be priced at,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20"/>
          <w:szCs w:val="20"/>
          <w:color w:val="auto"/>
        </w:rPr>
        <w:t>or below such announced rate. Any change in such “prime rate” announced by BMO shall take effect at the opening of business on the day specified in the public announcement of such change. If the Base Rate shall be less than zero, such rate shall be deemed zero for purposes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All Base Rate Loans shall be denominated in Dollars.</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u w:val="single" w:color="auto"/>
          <w:color w:val="0000FF"/>
        </w:rPr>
        <w:t xml:space="preserve">“BBSY Rate” means, with respect to any Term Benchmark Borrowing denominated in Australian Dollars and for any Interest Period, the BBSY Screen Rate at approximately 11:00 a.m., Sydney time, on the first day of such Interest Period; provided that if the BBSY </w:t>
      </w:r>
      <w:r>
        <w:rPr>
          <w:rFonts w:ascii="Times New Roman" w:cs="Times New Roman" w:eastAsia="Times New Roman" w:hAnsi="Times New Roman"/>
          <w:sz w:val="20"/>
          <w:szCs w:val="20"/>
          <w:u w:val="single" w:color="auto"/>
          <w:color w:val="008000"/>
        </w:rPr>
        <w:t>Rate as</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so determined would be less than </w:t>
      </w:r>
      <w:r>
        <w:rPr>
          <w:rFonts w:ascii="Times New Roman" w:cs="Times New Roman" w:eastAsia="Times New Roman" w:hAnsi="Times New Roman"/>
          <w:sz w:val="20"/>
          <w:szCs w:val="20"/>
          <w:u w:val="single" w:color="auto"/>
          <w:color w:val="0000FF"/>
        </w:rPr>
        <w:t>the Floor</w:t>
      </w:r>
      <w:r>
        <w:rPr>
          <w:rFonts w:ascii="Times New Roman" w:cs="Times New Roman" w:eastAsia="Times New Roman" w:hAnsi="Times New Roman"/>
          <w:sz w:val="20"/>
          <w:szCs w:val="20"/>
          <w:u w:val="single" w:color="auto"/>
          <w:color w:val="008000"/>
        </w:rPr>
        <w:t xml:space="preserve">, such rate shall be deemed to be </w:t>
      </w:r>
      <w:r>
        <w:rPr>
          <w:rFonts w:ascii="Times New Roman" w:cs="Times New Roman" w:eastAsia="Times New Roman" w:hAnsi="Times New Roman"/>
          <w:sz w:val="20"/>
          <w:szCs w:val="20"/>
          <w:u w:val="single" w:color="auto"/>
          <w:color w:val="0000FF"/>
        </w:rPr>
        <w:t>equal to the Floor</w:t>
      </w:r>
      <w:r>
        <w:rPr>
          <w:rFonts w:ascii="Times New Roman" w:cs="Times New Roman" w:eastAsia="Times New Roman" w:hAnsi="Times New Roman"/>
          <w:sz w:val="20"/>
          <w:szCs w:val="20"/>
          <w:u w:val="single" w:color="auto"/>
          <w:color w:val="008000"/>
        </w:rPr>
        <w:t xml:space="preserve"> for the purposes of this Agreement.</w:t>
      </w:r>
    </w:p>
    <w:p>
      <w:pPr>
        <w:spacing w:after="0" w:line="16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u w:val="single" w:color="auto"/>
          <w:color w:val="0000FF"/>
        </w:rPr>
        <w:t xml:space="preserve">“BBSY Screen Rate” means, with respect to any Interest Period, the average bid reference rate administered by ASX Benchmarks Pty Limited (ACN 616 075 417) (or any other Person that takes over the administration of such rate) for Australian dollar bills of exchange with a tenor </w:t>
      </w:r>
      <w:r>
        <w:rPr>
          <w:rFonts w:ascii="Times New Roman" w:cs="Times New Roman" w:eastAsia="Times New Roman" w:hAnsi="Times New Roman"/>
          <w:sz w:val="19"/>
          <w:szCs w:val="19"/>
          <w:u w:val="single" w:color="auto"/>
          <w:color w:val="008000"/>
        </w:rPr>
        <w:t>equal in length to such Interest Period as displayed on</w:t>
      </w:r>
      <w:r>
        <w:rPr>
          <w:rFonts w:ascii="Times New Roman" w:cs="Times New Roman" w:eastAsia="Times New Roman" w:hAnsi="Times New Roman"/>
          <w:sz w:val="19"/>
          <w:szCs w:val="19"/>
          <w:u w:val="single" w:color="auto"/>
          <w:color w:val="0000FF"/>
        </w:rPr>
        <w:t xml:space="preserve"> page BBSY of the Reuters screen </w:t>
      </w:r>
      <w:r>
        <w:rPr>
          <w:rFonts w:ascii="Times New Roman" w:cs="Times New Roman" w:eastAsia="Times New Roman" w:hAnsi="Times New Roman"/>
          <w:sz w:val="19"/>
          <w:szCs w:val="19"/>
          <w:u w:val="single" w:color="auto"/>
          <w:color w:val="008000"/>
        </w:rPr>
        <w:t>(or, in the event such rate does not</w:t>
      </w:r>
      <w:r>
        <w:rPr>
          <w:rFonts w:ascii="Times New Roman" w:cs="Times New Roman" w:eastAsia="Times New Roman" w:hAnsi="Times New Roman"/>
          <w:sz w:val="19"/>
          <w:szCs w:val="19"/>
          <w:u w:val="single" w:color="auto"/>
          <w:color w:val="0000FF"/>
        </w:rPr>
        <w:t xml:space="preserve"> </w:t>
      </w:r>
      <w:r>
        <w:rPr>
          <w:rFonts w:ascii="Times New Roman" w:cs="Times New Roman" w:eastAsia="Times New Roman" w:hAnsi="Times New Roman"/>
          <w:sz w:val="19"/>
          <w:szCs w:val="19"/>
          <w:u w:val="single" w:color="auto"/>
          <w:color w:val="008000"/>
        </w:rPr>
        <w:t>appear on</w:t>
      </w:r>
      <w:r>
        <w:rPr>
          <w:rFonts w:ascii="Times New Roman" w:cs="Times New Roman" w:eastAsia="Times New Roman" w:hAnsi="Times New Roman"/>
          <w:sz w:val="19"/>
          <w:szCs w:val="19"/>
          <w:color w:val="008000"/>
        </w:rPr>
        <w:t xml:space="preserve"> </w:t>
      </w:r>
      <w:r>
        <w:rPr>
          <w:rFonts w:ascii="Times New Roman" w:cs="Times New Roman" w:eastAsia="Times New Roman" w:hAnsi="Times New Roman"/>
          <w:sz w:val="19"/>
          <w:szCs w:val="19"/>
          <w:u w:val="single" w:color="auto"/>
          <w:color w:val="0000FF"/>
        </w:rPr>
        <w:t>such Reuters page,</w:t>
      </w:r>
      <w:r>
        <w:rPr>
          <w:rFonts w:ascii="Times New Roman" w:cs="Times New Roman" w:eastAsia="Times New Roman" w:hAnsi="Times New Roman"/>
          <w:sz w:val="19"/>
          <w:szCs w:val="19"/>
          <w:color w:val="008000"/>
        </w:rPr>
        <w:t xml:space="preserve"> on any successor or substitute page on such screen that displays such rate, or on the appropriate page of such </w:t>
      </w:r>
      <w:r>
        <w:rPr>
          <w:rFonts w:ascii="Times New Roman" w:cs="Times New Roman" w:eastAsia="Times New Roman" w:hAnsi="Times New Roman"/>
          <w:sz w:val="19"/>
          <w:szCs w:val="19"/>
          <w:u w:val="single" w:color="auto"/>
          <w:color w:val="008000"/>
        </w:rPr>
        <w:t xml:space="preserve">other information service that publishes such rate </w:t>
      </w:r>
      <w:r>
        <w:rPr>
          <w:rFonts w:ascii="Times New Roman" w:cs="Times New Roman" w:eastAsia="Times New Roman" w:hAnsi="Times New Roman"/>
          <w:sz w:val="19"/>
          <w:szCs w:val="19"/>
          <w:u w:val="single" w:color="auto"/>
          <w:color w:val="0000FF"/>
        </w:rPr>
        <w:t>as shall be</w:t>
      </w:r>
      <w:r>
        <w:rPr>
          <w:rFonts w:ascii="Times New Roman" w:cs="Times New Roman" w:eastAsia="Times New Roman" w:hAnsi="Times New Roman"/>
          <w:sz w:val="19"/>
          <w:szCs w:val="19"/>
          <w:u w:val="single" w:color="auto"/>
          <w:color w:val="008000"/>
        </w:rPr>
        <w:t xml:space="preserve"> selected by the Administrative Agent </w:t>
      </w:r>
      <w:r>
        <w:rPr>
          <w:rFonts w:ascii="Times New Roman" w:cs="Times New Roman" w:eastAsia="Times New Roman" w:hAnsi="Times New Roman"/>
          <w:sz w:val="19"/>
          <w:szCs w:val="19"/>
          <w:u w:val="single" w:color="auto"/>
          <w:color w:val="0000FF"/>
        </w:rPr>
        <w:t>from time to time</w:t>
      </w:r>
      <w:r>
        <w:rPr>
          <w:rFonts w:ascii="Times New Roman" w:cs="Times New Roman" w:eastAsia="Times New Roman" w:hAnsi="Times New Roman"/>
          <w:sz w:val="19"/>
          <w:szCs w:val="19"/>
          <w:u w:val="single" w:color="auto"/>
          <w:color w:val="008000"/>
        </w:rPr>
        <w:t xml:space="preserve"> in its reasonable discretion) at or about 10:30 a.m. (Melbourne, Australia time) on the Rate Determination Date with a term equivalent to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-343535</wp:posOffset>
            </wp:positionV>
            <wp:extent cx="56407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158" w:lineRule="exact"/>
        <w:rPr>
          <w:sz w:val="20"/>
          <w:szCs w:val="20"/>
          <w:color w:val="auto"/>
        </w:rPr>
      </w:pPr>
    </w:p>
    <w:p>
      <w:pPr>
        <w:jc w:val="both"/>
        <w:ind w:firstLine="648"/>
        <w:spacing w:after="0" w:line="241"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means for any Agreed Currency, initially, the Relevant Rate for such Agreed Currency; provided that if a Benchmark Transition Event</w:t>
      </w: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 Term SOFR Transition Event, a Term ESTR Transition Event, an Early Opt</w:t>
      </w:r>
      <w:r>
        <w:rPr>
          <w:rFonts w:ascii="MS PGothic" w:cs="MS PGothic" w:eastAsia="MS PGothic" w:hAnsi="MS PGothic"/>
          <w:sz w:val="20"/>
          <w:szCs w:val="20"/>
          <w:color w:val="FF0000"/>
          <w:strike w:val="1"/>
        </w:rPr>
        <w:t>‐</w:t>
      </w:r>
      <w:r>
        <w:rPr>
          <w:rFonts w:ascii="Times New Roman" w:cs="Times New Roman" w:eastAsia="Times New Roman" w:hAnsi="Times New Roman"/>
          <w:sz w:val="20"/>
          <w:szCs w:val="20"/>
          <w:color w:val="FF0000"/>
          <w:strike w:val="1"/>
        </w:rPr>
        <w:t>in Election, or an Other Benchmark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Election, as applicable, and its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and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related Benchmark Replacement Date have occurred with respect to the applicable Relevant Rate 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then</w:t>
      </w:r>
      <w:r>
        <w:rPr>
          <w:rFonts w:ascii="MS PGothic" w:cs="MS PGothic" w:eastAsia="MS PGothic" w:hAnsi="MS PGothic"/>
          <w:sz w:val="20"/>
          <w:szCs w:val="20"/>
          <w:color w:val="000000"/>
        </w:rPr>
        <w:t>‐</w:t>
      </w:r>
      <w:r>
        <w:rPr>
          <w:rFonts w:ascii="Times New Roman" w:cs="Times New Roman" w:eastAsia="Times New Roman" w:hAnsi="Times New Roman"/>
          <w:sz w:val="20"/>
          <w:szCs w:val="20"/>
          <w:color w:val="000000"/>
        </w:rPr>
        <w:t>current Benchmark for such Agreed Currency, then “Benchmark” means the applicable Benchmark Replacement to the extent that such Benchmark Replacement has replaced such prior benchmark rate pursuant to clause (</w:t>
      </w:r>
      <w:r>
        <w:rPr>
          <w:rFonts w:ascii="Times New Roman" w:cs="Times New Roman" w:eastAsia="Times New Roman" w:hAnsi="Times New Roman"/>
          <w:sz w:val="20"/>
          <w:szCs w:val="20"/>
          <w:color w:val="FF0000"/>
          <w:strike w:val="1"/>
        </w:rPr>
        <w:t>a) or (</w:t>
      </w:r>
      <w:r>
        <w:rPr>
          <w:rFonts w:ascii="Times New Roman" w:cs="Times New Roman" w:eastAsia="Times New Roman" w:hAnsi="Times New Roman"/>
          <w:sz w:val="20"/>
          <w:szCs w:val="20"/>
          <w:color w:val="000000"/>
        </w:rPr>
        <w:t xml:space="preserve">b) of </w:t>
      </w:r>
      <w:r>
        <w:rPr>
          <w:rFonts w:ascii="Times New Roman" w:cs="Times New Roman" w:eastAsia="Times New Roman" w:hAnsi="Times New Roman"/>
          <w:sz w:val="20"/>
          <w:szCs w:val="20"/>
          <w:u w:val="single" w:color="auto"/>
          <w:color w:val="000000"/>
        </w:rPr>
        <w:t>Section 3.07</w:t>
      </w:r>
      <w:r>
        <w:rPr>
          <w:rFonts w:ascii="Times New Roman" w:cs="Times New Roman" w:eastAsia="Times New Roman" w:hAnsi="Times New Roman"/>
          <w:sz w:val="20"/>
          <w:szCs w:val="20"/>
          <w:color w:val="000000"/>
        </w:rPr>
        <w:t>.</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means, for any Available Tenor, the first alternative set forth in the order below that can be determined by the Administrative Agent for the applicable Benchmark Replacement Date; provided that, in the case of </w:t>
      </w:r>
      <w:r>
        <w:rPr>
          <w:rFonts w:ascii="Times New Roman" w:cs="Times New Roman" w:eastAsia="Times New Roman" w:hAnsi="Times New Roman"/>
          <w:sz w:val="20"/>
          <w:szCs w:val="20"/>
          <w:color w:val="FF0000"/>
          <w:strike w:val="1"/>
        </w:rPr>
        <w:t>an Other Benchmark Rate Election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any Loan denominated in an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Agreed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Alternative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Currency</w:t>
      </w:r>
      <w:r>
        <w:rPr>
          <w:rFonts w:ascii="Times New Roman" w:cs="Times New Roman" w:eastAsia="Times New Roman" w:hAnsi="Times New Roman"/>
          <w:sz w:val="20"/>
          <w:szCs w:val="20"/>
          <w:color w:val="FF0000"/>
        </w:rPr>
        <w:t xml:space="preserve"> other than Dollars and euro</w:t>
      </w:r>
      <w:r>
        <w:rPr>
          <w:rFonts w:ascii="Times New Roman" w:cs="Times New Roman" w:eastAsia="Times New Roman" w:hAnsi="Times New Roman"/>
          <w:sz w:val="20"/>
          <w:szCs w:val="20"/>
          <w:color w:val="000000"/>
        </w:rPr>
        <w:t>, “Benchmark Replacement” shall mean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alternative set forth in (</w:t>
      </w:r>
      <w:r>
        <w:rPr>
          <w:rFonts w:ascii="Times New Roman" w:cs="Times New Roman" w:eastAsia="Times New Roman" w:hAnsi="Times New Roman"/>
          <w:sz w:val="20"/>
          <w:szCs w:val="20"/>
          <w:color w:val="FF0000"/>
          <w:strike w:val="1"/>
        </w:rPr>
        <w:t>3</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000000"/>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-234315</wp:posOffset>
            </wp:positionV>
            <wp:extent cx="1534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255"/>
                    </a:xfrm>
                    <a:prstGeom prst="rect">
                      <a:avLst/>
                    </a:prstGeom>
                    <a:noFill/>
                  </pic:spPr>
                </pic:pic>
              </a:graphicData>
            </a:graphic>
          </wp:anchor>
        </w:drawing>
      </w:r>
    </w:p>
    <w:p>
      <w:pPr>
        <w:spacing w:after="0" w:line="167" w:lineRule="exact"/>
        <w:rPr>
          <w:sz w:val="20"/>
          <w:szCs w:val="20"/>
          <w:color w:val="auto"/>
        </w:rPr>
      </w:pPr>
    </w:p>
    <w:p>
      <w:pPr>
        <w:ind w:left="1300" w:firstLine="4"/>
        <w:spacing w:after="0" w:line="283" w:lineRule="auto"/>
        <w:tabs>
          <w:tab w:leader="none" w:pos="1936" w:val="left"/>
        </w:tabs>
        <w:numPr>
          <w:ilvl w:val="0"/>
          <w:numId w:val="1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(A) in the case of any Loan denominated in Dollars, the sum of: (a) Term SOFR and (b) the related Benchmark Replacement Adjustment, or</w:t>
      </w:r>
    </w:p>
    <w:p>
      <w:pPr>
        <w:spacing w:after="0" w:line="146" w:lineRule="exact"/>
        <w:rPr>
          <w:rFonts w:ascii="Times New Roman" w:cs="Times New Roman" w:eastAsia="Times New Roman" w:hAnsi="Times New Roman"/>
          <w:sz w:val="20"/>
          <w:szCs w:val="20"/>
          <w:color w:val="FF0000"/>
          <w:strike w:val="1"/>
        </w:rPr>
      </w:pPr>
    </w:p>
    <w:p>
      <w:pPr>
        <w:ind w:left="1300" w:firstLine="652"/>
        <w:spacing w:after="0" w:line="283" w:lineRule="auto"/>
        <w:tabs>
          <w:tab w:leader="none" w:pos="2288" w:val="left"/>
        </w:tabs>
        <w:numPr>
          <w:ilvl w:val="1"/>
          <w:numId w:val="1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in the case of any Loan denominated in euro, the sum of: (a) Term ESTR and (b) the related Benchmark Replacement Adjustment;</w:t>
      </w:r>
    </w:p>
    <w:p>
      <w:pPr>
        <w:spacing w:after="0" w:line="146"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FF0000"/>
          <w:strike w:val="1"/>
        </w:rPr>
        <w:t>(2)(A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(1</w:t>
      </w:r>
      <w:r>
        <w:rPr>
          <w:rFonts w:ascii="Times New Roman" w:cs="Times New Roman" w:eastAsia="Times New Roman" w:hAnsi="Times New Roman"/>
          <w:sz w:val="20"/>
          <w:szCs w:val="20"/>
          <w:color w:val="000000"/>
        </w:rPr>
        <w:t>) in the case of any Loan denominated in Dollars, the sum of: (a) Daily Simple SOFR and (b)</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the related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Benchmark Replacement Adjustment</w:t>
      </w:r>
      <w:r>
        <w:rPr>
          <w:rFonts w:ascii="Times New Roman" w:cs="Times New Roman" w:eastAsia="Times New Roman" w:hAnsi="Times New Roman"/>
          <w:sz w:val="20"/>
          <w:szCs w:val="20"/>
          <w:u w:val="single" w:color="auto"/>
          <w:color w:val="0000FF"/>
        </w:rPr>
        <w:t>0.10%</w:t>
      </w:r>
      <w:r>
        <w:rPr>
          <w:rFonts w:ascii="Times New Roman" w:cs="Times New Roman" w:eastAsia="Times New Roman" w:hAnsi="Times New Roman"/>
          <w:sz w:val="20"/>
          <w:szCs w:val="20"/>
          <w:color w:val="000000"/>
        </w:rPr>
        <w:t>, or</w:t>
      </w:r>
    </w:p>
    <w:p>
      <w:pPr>
        <w:spacing w:after="0" w:line="160" w:lineRule="exact"/>
        <w:rPr>
          <w:sz w:val="20"/>
          <w:szCs w:val="20"/>
          <w:color w:val="auto"/>
        </w:rPr>
      </w:pPr>
    </w:p>
    <w:p>
      <w:pPr>
        <w:ind w:left="1300" w:firstLine="652"/>
        <w:spacing w:after="0" w:line="269" w:lineRule="auto"/>
        <w:tabs>
          <w:tab w:leader="none" w:pos="2261" w:val="left"/>
        </w:tabs>
        <w:numPr>
          <w:ilvl w:val="0"/>
          <w:numId w:val="12"/>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in the case of any Loan denominated in euro, the sum of: (a) Daily Simple ESTR and (b) the related Benchmark Replacement Adjustment; or</w:t>
      </w:r>
    </w:p>
    <w:p>
      <w:pPr>
        <w:spacing w:after="0" w:line="173" w:lineRule="exact"/>
        <w:rPr>
          <w:sz w:val="20"/>
          <w:szCs w:val="20"/>
          <w:color w:val="auto"/>
        </w:rPr>
      </w:pPr>
    </w:p>
    <w:p>
      <w:pPr>
        <w:ind w:left="1300"/>
        <w:spacing w:after="0" w:line="253" w:lineRule="exact"/>
        <w:rPr>
          <w:sz w:val="20"/>
          <w:szCs w:val="20"/>
          <w:color w:val="auto"/>
        </w:rPr>
      </w:pPr>
      <w:r>
        <w:rPr>
          <w:rFonts w:ascii="Times New Roman" w:cs="Times New Roman" w:eastAsia="Times New Roman" w:hAnsi="Times New Roman"/>
          <w:sz w:val="20"/>
          <w:szCs w:val="20"/>
          <w:color w:val="FF0000"/>
          <w:strike w:val="1"/>
        </w:rPr>
        <w:t>(3</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000000"/>
        </w:rPr>
        <w:t>) the sum of: (a) the alternate benchmark rate that has been selected by the Administrative Agent and the Company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as the replacement for the then</w:t>
      </w:r>
      <w:r>
        <w:rPr>
          <w:rFonts w:ascii="MS PGothic" w:cs="MS PGothic" w:eastAsia="MS PGothic" w:hAnsi="MS PGothic"/>
          <w:sz w:val="20"/>
          <w:szCs w:val="20"/>
          <w:color w:val="000000"/>
        </w:rPr>
        <w:t>‐</w:t>
      </w:r>
      <w:r>
        <w:rPr>
          <w:rFonts w:ascii="Times New Roman" w:cs="Times New Roman" w:eastAsia="Times New Roman" w:hAnsi="Times New Roman"/>
          <w:sz w:val="20"/>
          <w:szCs w:val="20"/>
          <w:color w:val="000000"/>
        </w:rPr>
        <w:t>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26" w:name="page27"/>
    <w:bookmarkEnd w:id="26"/>
    <w:p>
      <w:pPr>
        <w:jc w:val="both"/>
        <w:ind w:left="1300"/>
        <w:spacing w:after="0" w:line="241" w:lineRule="exact"/>
        <w:rPr>
          <w:sz w:val="20"/>
          <w:szCs w:val="20"/>
          <w:color w:val="auto"/>
        </w:rPr>
      </w:pPr>
      <w:r>
        <w:rPr>
          <w:rFonts w:ascii="Times New Roman" w:cs="Times New Roman" w:eastAsia="Times New Roman" w:hAnsi="Times New Roman"/>
          <w:sz w:val="20"/>
          <w:szCs w:val="20"/>
          <w:color w:val="auto"/>
        </w:rPr>
        <w:t>Benchmark for the applicable Corresponding Tenor giving due consideration to (i) any selection or recommendation of a replacement benchmark rate or the mechanism for determining such a rate by the Relevant Governmental Body or (ii) any evolving or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prevailing market convention for determining a benchmark rate as a replacement for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for syndicated credit facilities denominated in the applicable Agreed Currency at such time in the United States and (b) the related Benchmark Replacement Adjustment;</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FF0000"/>
          <w:strike w:val="1"/>
        </w:rPr>
        <w:t xml:space="preserve">provided </w:t>
      </w:r>
      <w:r>
        <w:rPr>
          <w:rFonts w:ascii="Times New Roman" w:cs="Times New Roman" w:eastAsia="Times New Roman" w:hAnsi="Times New Roman"/>
          <w:sz w:val="20"/>
          <w:szCs w:val="20"/>
          <w:color w:val="FF0000"/>
          <w:strike w:val="1"/>
        </w:rPr>
        <w:t>that, in the case of clause (1)(A) or (1)(B), such Unadjusted Benchmark Replacement is displayed on a screen or other information</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 xml:space="preserve">service that publishes such rate from time to time </w:t>
      </w:r>
      <w:r>
        <w:rPr>
          <w:rFonts w:ascii="Times New Roman" w:cs="Times New Roman" w:eastAsia="Times New Roman" w:hAnsi="Times New Roman"/>
          <w:sz w:val="20"/>
          <w:szCs w:val="20"/>
          <w:color w:val="008000"/>
          <w:strike w:val="1"/>
        </w:rPr>
        <w:t>as selected by the Administrative Agent in its reasonable discretion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FF0000"/>
          <w:strike w:val="1"/>
        </w:rPr>
        <w:t>provided further</w:t>
      </w:r>
      <w:r>
        <w:rPr>
          <w:rFonts w:ascii="Times New Roman" w:cs="Times New Roman" w:eastAsia="Times New Roman" w:hAnsi="Times New Roman"/>
          <w:sz w:val="20"/>
          <w:szCs w:val="20"/>
          <w:color w:val="FF0000"/>
          <w:strike w:val="1"/>
        </w:rPr>
        <w:t xml:space="preserve"> that, in the case of clause (3), when such clause is used to determine the Benchmark Replacement in connection with the occurrence of an Other Benchmark Rate Election, the alternate benchmark rate selected by the Administrative Agent and the Company shall be the term benchmark rate that is used in lieu of the applicable rate in the relevant other syndicated credit facilities; </w:t>
      </w:r>
      <w:r>
        <w:rPr>
          <w:rFonts w:ascii="Times New Roman" w:cs="Times New Roman" w:eastAsia="Times New Roman" w:hAnsi="Times New Roman"/>
          <w:sz w:val="20"/>
          <w:szCs w:val="20"/>
          <w:u w:val="single" w:color="auto"/>
          <w:color w:val="FF0000"/>
          <w:strike w:val="1"/>
        </w:rPr>
        <w:t>provided further</w:t>
      </w:r>
      <w:r>
        <w:rPr>
          <w:rFonts w:ascii="Times New Roman" w:cs="Times New Roman" w:eastAsia="Times New Roman" w:hAnsi="Times New Roman"/>
          <w:sz w:val="20"/>
          <w:szCs w:val="20"/>
          <w:color w:val="FF0000"/>
          <w:strike w:val="1"/>
        </w:rPr>
        <w:t xml:space="preserve"> that, (x) solely with respect to a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(1)(A) of this definition (subject to the first proviso above) and (y) with respect to a Loan denominated in euro, notwithstanding anything to the contrary contained in this Agreement or in any other Loan Document, upon the occurrence of a Term ESTR Transition Event, and the delivery of a Term ESTR Notice, on the applicable Benchmark Replacement Date the “Benchmark Replacement” shall revert to and be deemed to be the sum of (a) Term ESTR and (b) the related Benchmark Replacement Adjustment, as set forth in clause (1)(B) of this definition (subject to the first proviso above).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FF0000"/>
          <w:strike w:val="1"/>
        </w:rPr>
        <w:t>If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provided that, if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Benchmark Replacement as determined pursuant to clause (1</w:t>
      </w:r>
      <w:r>
        <w:rPr>
          <w:rFonts w:ascii="Times New Roman" w:cs="Times New Roman" w:eastAsia="Times New Roman" w:hAnsi="Times New Roman"/>
          <w:sz w:val="20"/>
          <w:szCs w:val="20"/>
          <w:color w:val="FF0000"/>
          <w:strike w:val="1"/>
        </w:rPr>
        <w:t>), (2</w:t>
      </w:r>
      <w:r>
        <w:rPr>
          <w:rFonts w:ascii="Times New Roman" w:cs="Times New Roman" w:eastAsia="Times New Roman" w:hAnsi="Times New Roman"/>
          <w:sz w:val="20"/>
          <w:szCs w:val="20"/>
          <w:color w:val="000000"/>
        </w:rPr>
        <w:t>) 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(3</w:t>
      </w:r>
      <w:r>
        <w:rPr>
          <w:rFonts w:ascii="Times New Roman" w:cs="Times New Roman" w:eastAsia="Times New Roman" w:hAnsi="Times New Roman"/>
          <w:sz w:val="20"/>
          <w:szCs w:val="20"/>
          <w:u w:val="single" w:color="auto"/>
          <w:color w:val="0000FF"/>
        </w:rPr>
        <w:t>clause (2</w:t>
      </w:r>
      <w:r>
        <w:rPr>
          <w:rFonts w:ascii="Times New Roman" w:cs="Times New Roman" w:eastAsia="Times New Roman" w:hAnsi="Times New Roman"/>
          <w:sz w:val="20"/>
          <w:szCs w:val="20"/>
          <w:color w:val="000000"/>
        </w:rPr>
        <w:t>) above would be less than the Floor,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Benchmark Replacement will be deemed to be the Floor for the purposes of this Agreement and the other Loan Documents.</w:t>
      </w:r>
    </w:p>
    <w:p>
      <w:pPr>
        <w:spacing w:after="0" w:line="173"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for any applicable Interest Period and Available Tenor for any setting of such Unadjusted Benchmark Replacement</w:t>
      </w:r>
      <w:r>
        <w:rPr>
          <w:rFonts w:ascii="Times New Roman" w:cs="Times New Roman" w:eastAsia="Times New Roman" w:hAnsi="Times New Roman"/>
          <w:sz w:val="19"/>
          <w:szCs w:val="19"/>
          <w:color w:val="FF0000"/>
          <w:strike w:val="1"/>
        </w:rPr>
        <w:t>:</w:t>
      </w:r>
    </w:p>
    <w:p>
      <w:pPr>
        <w:spacing w:after="0" w:line="151" w:lineRule="exact"/>
        <w:rPr>
          <w:sz w:val="20"/>
          <w:szCs w:val="20"/>
          <w:color w:val="auto"/>
        </w:rPr>
      </w:pPr>
    </w:p>
    <w:p>
      <w:pPr>
        <w:ind w:right="20" w:firstLine="1304"/>
        <w:spacing w:after="0" w:line="283" w:lineRule="auto"/>
        <w:tabs>
          <w:tab w:leader="none" w:pos="1932" w:val="left"/>
        </w:tabs>
        <w:numPr>
          <w:ilvl w:val="0"/>
          <w:numId w:val="1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purposes of clauses (1) and (2) of the definition of “Benchmark Replacement,” the first alternative set forth in the order below that can be determined by the Administrative Agent:</w:t>
      </w:r>
    </w:p>
    <w:p>
      <w:pPr>
        <w:spacing w:after="0" w:line="146" w:lineRule="exact"/>
        <w:rPr>
          <w:sz w:val="20"/>
          <w:szCs w:val="20"/>
          <w:color w:val="auto"/>
        </w:rPr>
      </w:pPr>
    </w:p>
    <w:p>
      <w:pPr>
        <w:jc w:val="both"/>
        <w:ind w:left="660" w:firstLine="644"/>
        <w:spacing w:after="0" w:line="258" w:lineRule="auto"/>
        <w:tabs>
          <w:tab w:leader="none" w:pos="1946" w:val="left"/>
        </w:tabs>
        <w:numPr>
          <w:ilvl w:val="0"/>
          <w:numId w:val="1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85" w:lineRule="exact"/>
        <w:rPr>
          <w:rFonts w:ascii="Times New Roman" w:cs="Times New Roman" w:eastAsia="Times New Roman" w:hAnsi="Times New Roman"/>
          <w:sz w:val="20"/>
          <w:szCs w:val="20"/>
          <w:color w:val="FF0000"/>
          <w:strike w:val="1"/>
        </w:rPr>
      </w:pPr>
    </w:p>
    <w:p>
      <w:pPr>
        <w:jc w:val="both"/>
        <w:ind w:left="660" w:firstLine="644"/>
        <w:spacing w:after="0" w:line="254" w:lineRule="auto"/>
        <w:tabs>
          <w:tab w:leader="none" w:pos="1944" w:val="left"/>
        </w:tabs>
        <w:numPr>
          <w:ilvl w:val="0"/>
          <w:numId w:val="1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27" w:name="page28"/>
    <w:bookmarkEnd w:id="27"/>
    <w:p>
      <w:pPr>
        <w:jc w:val="both"/>
        <w:ind w:firstLine="8"/>
        <w:spacing w:after="0" w:line="251" w:lineRule="auto"/>
        <w:tabs>
          <w:tab w:leader="none" w:pos="636" w:val="left"/>
        </w:tabs>
        <w:numPr>
          <w:ilvl w:val="0"/>
          <w:numId w:val="15"/>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purposes of clause (3) of the definition of “Benchmark Replacement,”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spread adjustment, or method for calculating 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w:t>
      </w:r>
      <w:r>
        <w:rPr>
          <w:rFonts w:ascii="Times New Roman" w:cs="Times New Roman" w:eastAsia="Times New Roman" w:hAnsi="Times New Roman"/>
          <w:sz w:val="20"/>
          <w:szCs w:val="20"/>
          <w:color w:val="FF0000"/>
        </w:rPr>
        <w:t>in the United States;</w:t>
      </w:r>
      <w:r>
        <w:rPr>
          <w:rFonts w:ascii="Times New Roman" w:cs="Times New Roman" w:eastAsia="Times New Roman" w:hAnsi="Times New Roman"/>
          <w:sz w:val="20"/>
          <w:szCs w:val="20"/>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3054350</wp:posOffset>
            </wp:positionH>
            <wp:positionV relativeFrom="paragraph">
              <wp:posOffset>-83820</wp:posOffset>
            </wp:positionV>
            <wp:extent cx="1053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FF0000"/>
          <w:strike w:val="1"/>
        </w:rPr>
        <w:t>provided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7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xml:space="preserve">” means, with respect to any Benchmark Replacement </w:t>
      </w:r>
      <w:r>
        <w:rPr>
          <w:rFonts w:ascii="Times New Roman" w:cs="Times New Roman" w:eastAsia="Times New Roman" w:hAnsi="Times New Roman"/>
          <w:sz w:val="19"/>
          <w:szCs w:val="19"/>
          <w:u w:val="single" w:color="auto"/>
          <w:color w:val="0000FF"/>
        </w:rPr>
        <w:t>and/or any Term Benchmark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Loan denominated in Dollars</w:t>
      </w:r>
      <w:r>
        <w:rPr>
          <w:rFonts w:ascii="Times New Roman" w:cs="Times New Roman" w:eastAsia="Times New Roman" w:hAnsi="Times New Roman"/>
          <w:sz w:val="19"/>
          <w:szCs w:val="19"/>
          <w:color w:val="000000"/>
        </w:rPr>
        <w:t>, any technical, administrative or operational changes (including changes to the definition of “Base Rate,”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definition of </w:t>
      </w:r>
      <w:r>
        <w:rPr>
          <w:rFonts w:ascii="Times New Roman" w:cs="Times New Roman" w:eastAsia="Times New Roman" w:hAnsi="Times New Roman"/>
          <w:sz w:val="19"/>
          <w:szCs w:val="19"/>
          <w:u w:val="single" w:color="auto"/>
          <w:color w:val="0000FF"/>
        </w:rPr>
        <w:t>“Business Day,” the definition of "U.S. Government Securities</w:t>
      </w:r>
      <w:r>
        <w:rPr>
          <w:rFonts w:ascii="Times New Roman" w:cs="Times New Roman" w:eastAsia="Times New Roman" w:hAnsi="Times New Roman"/>
          <w:sz w:val="19"/>
          <w:szCs w:val="19"/>
          <w:color w:val="000000"/>
        </w:rPr>
        <w:t xml:space="preserve"> Business Day,” the definition of “Interest Period,” the timing and frequency of determining rates and making payments of interest, the timing of borrowing requests or prepayment, conversion or continuation notices, the length of lookback periods, the applicability of breakage provisions, and other technical, administrative or operational matters) that the Administrative Agent decides in its reasonable discretion may be appropriate to reflect the adoption and implementation of such Benchmark </w:t>
      </w:r>
      <w:r>
        <w:rPr>
          <w:rFonts w:ascii="Times New Roman" w:cs="Times New Roman" w:eastAsia="Times New Roman" w:hAnsi="Times New Roman"/>
          <w:sz w:val="19"/>
          <w:szCs w:val="19"/>
          <w:color w:val="FF0000"/>
          <w:strike w:val="1"/>
        </w:rPr>
        <w:t>Replacement</w:t>
      </w:r>
      <w:r>
        <w:rPr>
          <w:rFonts w:ascii="Times New Roman" w:cs="Times New Roman" w:eastAsia="Times New Roman" w:hAnsi="Times New Roman"/>
          <w:sz w:val="19"/>
          <w:szCs w:val="19"/>
          <w:color w:val="000000"/>
        </w:rPr>
        <w:t xml:space="preserve">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w:t>
      </w:r>
      <w:r>
        <w:rPr>
          <w:rFonts w:ascii="Times New Roman" w:cs="Times New Roman" w:eastAsia="Times New Roman" w:hAnsi="Times New Roman"/>
          <w:sz w:val="19"/>
          <w:szCs w:val="19"/>
          <w:color w:val="FF0000"/>
          <w:strike w:val="1"/>
        </w:rPr>
        <w:t>Replacement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exists, in such other manner of administration as the Administrative Agent decides in its reasonable discretion in consultation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with the Company is reasonably necessary in connection with the administration of this Agreement and the other Loan Documents).</w:t>
      </w:r>
    </w:p>
    <w:p>
      <w:pPr>
        <w:spacing w:after="0" w:line="16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0000FF"/>
        </w:rPr>
        <w:t>, with respect to any Benchmark,</w:t>
      </w:r>
      <w:r>
        <w:rPr>
          <w:rFonts w:ascii="Times New Roman" w:cs="Times New Roman" w:eastAsia="Times New Roman" w:hAnsi="Times New Roman"/>
          <w:sz w:val="20"/>
          <w:szCs w:val="20"/>
          <w:color w:val="auto"/>
        </w:rPr>
        <w:t xml:space="preserve"> the earliest to occur of the following events with respect to the then-current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-260985</wp:posOffset>
            </wp:positionV>
            <wp:extent cx="31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40" w:lineRule="exact"/>
        <w:rPr>
          <w:sz w:val="20"/>
          <w:szCs w:val="20"/>
          <w:color w:val="auto"/>
        </w:rPr>
      </w:pPr>
    </w:p>
    <w:p>
      <w:pPr>
        <w:jc w:val="both"/>
        <w:ind w:firstLine="1304"/>
        <w:spacing w:after="0" w:line="254" w:lineRule="auto"/>
        <w:tabs>
          <w:tab w:leader="none" w:pos="19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Times New Roman" w:cs="Times New Roman" w:eastAsia="Times New Roman" w:hAnsi="Times New Roman"/>
          <w:sz w:val="20"/>
          <w:szCs w:val="20"/>
          <w:color w:val="0000FF"/>
        </w:rPr>
        <w:t>or</w:t>
      </w:r>
    </w:p>
    <w:p>
      <w:pPr>
        <w:spacing w:after="0" w:line="18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w:t>
      </w:r>
      <w:r>
        <w:rPr>
          <w:rFonts w:ascii="Times New Roman" w:cs="Times New Roman" w:eastAsia="Times New Roman" w:hAnsi="Times New Roman"/>
          <w:sz w:val="20"/>
          <w:szCs w:val="20"/>
          <w:u w:val="single" w:color="auto"/>
          <w:color w:val="0000FF"/>
        </w:rPr>
        <w:t>first</w:t>
      </w:r>
      <w:r>
        <w:rPr>
          <w:rFonts w:ascii="Times New Roman" w:cs="Times New Roman" w:eastAsia="Times New Roman" w:hAnsi="Times New Roman"/>
          <w:sz w:val="20"/>
          <w:szCs w:val="20"/>
          <w:color w:val="auto"/>
        </w:rPr>
        <w:t xml:space="preserve"> date </w:t>
      </w:r>
      <w:r>
        <w:rPr>
          <w:rFonts w:ascii="Times New Roman" w:cs="Times New Roman" w:eastAsia="Times New Roman" w:hAnsi="Times New Roman"/>
          <w:sz w:val="20"/>
          <w:szCs w:val="20"/>
          <w:color w:val="FF0000"/>
          <w:strike w:val="1"/>
        </w:rPr>
        <w:t>of the public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on which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statement or publication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of information referenced therein;</w:t>
      </w:r>
      <w:r>
        <w:rPr>
          <w:rFonts w:ascii="Times New Roman" w:cs="Times New Roman" w:eastAsia="Times New Roman" w:hAnsi="Times New Roman"/>
          <w:sz w:val="20"/>
          <w:szCs w:val="20"/>
          <w:u w:val="single" w:color="auto"/>
          <w:color w:val="0000FF"/>
        </w:rPr>
        <w:t>referenced in such clause (3)</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and even if any Available Tenor of such 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-925830</wp:posOffset>
            </wp:positionV>
            <wp:extent cx="135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28" w:name="page29"/>
    <w:bookmarkEnd w:id="28"/>
    <w:p>
      <w:pPr>
        <w:jc w:val="both"/>
        <w:ind w:firstLine="1304"/>
        <w:spacing w:after="0" w:line="261" w:lineRule="auto"/>
        <w:tabs>
          <w:tab w:leader="none" w:pos="1932" w:val="left"/>
        </w:tabs>
        <w:numPr>
          <w:ilvl w:val="0"/>
          <w:numId w:val="1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in the case of a Term SOFR Transition Event or a Term ESTR Transition Event, as applicable, the date that is 30 days after the date a Term SOFR Notice or a Term ESTR Notice, as applicable, is provided to the Lenders and the Company pursuant to </w:t>
      </w:r>
      <w:r>
        <w:rPr>
          <w:rFonts w:ascii="Times New Roman" w:cs="Times New Roman" w:eastAsia="Times New Roman" w:hAnsi="Times New Roman"/>
          <w:sz w:val="20"/>
          <w:szCs w:val="20"/>
          <w:u w:val="single" w:color="auto"/>
          <w:color w:val="FF0000"/>
          <w:strike w:val="1"/>
        </w:rPr>
        <w:t>Section 3.07(b)</w:t>
      </w:r>
      <w:r>
        <w:rPr>
          <w:rFonts w:ascii="Times New Roman" w:cs="Times New Roman" w:eastAsia="Times New Roman" w:hAnsi="Times New Roman"/>
          <w:sz w:val="20"/>
          <w:szCs w:val="20"/>
          <w:color w:val="FF0000"/>
          <w:strike w:val="1"/>
        </w:rPr>
        <w:t>; or</w:t>
      </w:r>
    </w:p>
    <w:p>
      <w:pPr>
        <w:spacing w:after="0" w:line="149" w:lineRule="exact"/>
        <w:rPr>
          <w:rFonts w:ascii="Times New Roman" w:cs="Times New Roman" w:eastAsia="Times New Roman" w:hAnsi="Times New Roman"/>
          <w:sz w:val="20"/>
          <w:szCs w:val="20"/>
          <w:color w:val="FF0000"/>
          <w:strike w:val="1"/>
        </w:rPr>
      </w:pPr>
    </w:p>
    <w:p>
      <w:pPr>
        <w:jc w:val="both"/>
        <w:ind w:firstLine="1304"/>
        <w:spacing w:after="0" w:line="251" w:lineRule="exact"/>
        <w:tabs>
          <w:tab w:leader="none" w:pos="1932" w:val="left"/>
        </w:tabs>
        <w:numPr>
          <w:ilvl w:val="0"/>
          <w:numId w:val="1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in the case of an Early Opt</w:t>
      </w:r>
      <w:r>
        <w:rPr>
          <w:rFonts w:ascii="MS PGothic" w:cs="MS PGothic" w:eastAsia="MS PGothic" w:hAnsi="MS PGothic"/>
          <w:sz w:val="20"/>
          <w:szCs w:val="20"/>
          <w:color w:val="FF0000"/>
          <w:strike w:val="1"/>
        </w:rPr>
        <w:t>‐</w:t>
      </w:r>
      <w:r>
        <w:rPr>
          <w:rFonts w:ascii="Times New Roman" w:cs="Times New Roman" w:eastAsia="Times New Roman" w:hAnsi="Times New Roman"/>
          <w:sz w:val="20"/>
          <w:szCs w:val="20"/>
          <w:color w:val="FF0000"/>
          <w:strike w:val="1"/>
        </w:rPr>
        <w:t>in Election or an Other Benchmark Rate Election, as applicable, the 6th Business Day after the date notice of such Early Opt</w:t>
      </w:r>
      <w:r>
        <w:rPr>
          <w:rFonts w:ascii="MS PGothic" w:cs="MS PGothic" w:eastAsia="MS PGothic" w:hAnsi="MS PGothic"/>
          <w:sz w:val="20"/>
          <w:szCs w:val="20"/>
          <w:color w:val="FF0000"/>
          <w:strike w:val="1"/>
        </w:rPr>
        <w:t>‐</w:t>
      </w:r>
      <w:r>
        <w:rPr>
          <w:rFonts w:ascii="Times New Roman" w:cs="Times New Roman" w:eastAsia="Times New Roman" w:hAnsi="Times New Roman"/>
          <w:sz w:val="20"/>
          <w:szCs w:val="20"/>
          <w:color w:val="FF0000"/>
          <w:strike w:val="1"/>
        </w:rPr>
        <w:t>in Election or Other Benchmark Rate Election, as applicable, is provided to the Lenders (and the Company), so long as the Administrative Agent has not received, by 5:00 p.m. (Chicago time) on the 5th Business Day after the date notice of such Early Opt</w:t>
      </w:r>
      <w:r>
        <w:rPr>
          <w:rFonts w:ascii="MS PGothic" w:cs="MS PGothic" w:eastAsia="MS PGothic" w:hAnsi="MS PGothic"/>
          <w:sz w:val="20"/>
          <w:szCs w:val="20"/>
          <w:color w:val="FF0000"/>
          <w:strike w:val="1"/>
        </w:rPr>
        <w:t>‐</w:t>
      </w:r>
      <w:r>
        <w:rPr>
          <w:rFonts w:ascii="Times New Roman" w:cs="Times New Roman" w:eastAsia="Times New Roman" w:hAnsi="Times New Roman"/>
          <w:sz w:val="20"/>
          <w:szCs w:val="20"/>
          <w:color w:val="FF0000"/>
          <w:strike w:val="1"/>
        </w:rPr>
        <w:t>in Election or Other Benchmark Rate Election, as applicable, is provided to the Lenders, written notice of objection to such Early Opt</w:t>
      </w:r>
      <w:r>
        <w:rPr>
          <w:rFonts w:ascii="MS PGothic" w:cs="MS PGothic" w:eastAsia="MS PGothic" w:hAnsi="MS PGothic"/>
          <w:sz w:val="20"/>
          <w:szCs w:val="20"/>
          <w:color w:val="FF0000"/>
          <w:strike w:val="1"/>
        </w:rPr>
        <w:t>‐</w:t>
      </w:r>
      <w:r>
        <w:rPr>
          <w:rFonts w:ascii="Times New Roman" w:cs="Times New Roman" w:eastAsia="Times New Roman" w:hAnsi="Times New Roman"/>
          <w:sz w:val="20"/>
          <w:szCs w:val="20"/>
          <w:color w:val="FF0000"/>
          <w:strike w:val="1"/>
        </w:rPr>
        <w:t>in Election or Other Benchmark Rate Election, as applicable, from Lenders comprising the Required Lenders.</w:t>
      </w:r>
    </w:p>
    <w:p>
      <w:pPr>
        <w:spacing w:after="0" w:line="185" w:lineRule="exact"/>
        <w:rPr>
          <w:sz w:val="20"/>
          <w:szCs w:val="20"/>
          <w:color w:val="auto"/>
        </w:rPr>
      </w:pPr>
    </w:p>
    <w:p>
      <w:pPr>
        <w:jc w:val="both"/>
        <w:ind w:firstLine="648"/>
        <w:spacing w:after="0" w:line="241" w:lineRule="exact"/>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Available Tenors of such Benchmark (or the published component used in the calculation thereof).</w:t>
      </w:r>
    </w:p>
    <w:p>
      <w:pPr>
        <w:spacing w:after="0" w:line="201" w:lineRule="exact"/>
        <w:rPr>
          <w:sz w:val="20"/>
          <w:szCs w:val="20"/>
          <w:color w:val="auto"/>
        </w:rPr>
      </w:pPr>
    </w:p>
    <w:p>
      <w:pPr>
        <w:jc w:val="both"/>
        <w:ind w:firstLine="648"/>
        <w:spacing w:after="0" w:line="25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0000FF"/>
        </w:rPr>
        <w:t>, with respect to any Benchmark,</w:t>
      </w:r>
      <w:r>
        <w:rPr>
          <w:rFonts w:ascii="Times New Roman" w:cs="Times New Roman" w:eastAsia="Times New Roman" w:hAnsi="Times New Roman"/>
          <w:sz w:val="20"/>
          <w:szCs w:val="20"/>
          <w:color w:val="auto"/>
        </w:rPr>
        <w:t xml:space="preserve"> the occurrence of one or more of the following events with respect to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such</w:t>
      </w:r>
      <w:r>
        <w:rPr>
          <w:rFonts w:ascii="Times New Roman" w:cs="Times New Roman" w:eastAsia="Times New Roman" w:hAnsi="Times New Roman"/>
          <w:sz w:val="20"/>
          <w:szCs w:val="20"/>
          <w:color w:val="auto"/>
        </w:rPr>
        <w:t xml:space="preserv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-237490</wp:posOffset>
            </wp:positionV>
            <wp:extent cx="31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3" w:lineRule="exact"/>
        <w:rPr>
          <w:sz w:val="20"/>
          <w:szCs w:val="20"/>
          <w:color w:val="auto"/>
        </w:rPr>
      </w:pPr>
    </w:p>
    <w:p>
      <w:pPr>
        <w:jc w:val="both"/>
        <w:ind w:firstLine="1304"/>
        <w:spacing w:after="0" w:line="253" w:lineRule="auto"/>
        <w:tabs>
          <w:tab w:leader="none" w:pos="193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w:t>
      </w:r>
    </w:p>
    <w:p>
      <w:pPr>
        <w:spacing w:after="0" w:line="19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FRB, the NYFRB</w:t>
      </w:r>
      <w:r>
        <w:rPr>
          <w:rFonts w:ascii="Times New Roman" w:cs="Times New Roman" w:eastAsia="Times New Roman" w:hAnsi="Times New Roman"/>
          <w:sz w:val="20"/>
          <w:szCs w:val="20"/>
          <w:u w:val="single" w:color="auto"/>
          <w:color w:val="0000FF"/>
        </w:rPr>
        <w:t>, the CME Term SOFR Administrator</w:t>
      </w:r>
      <w:r>
        <w:rPr>
          <w:rFonts w:ascii="Times New Roman" w:cs="Times New Roman" w:eastAsia="Times New Roman" w:hAnsi="Times New Roman"/>
          <w:sz w:val="20"/>
          <w:szCs w:val="20"/>
          <w:color w:val="auto"/>
        </w:rPr>
        <w:t xml:space="preserve">,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or</w:t>
      </w:r>
    </w:p>
    <w:p>
      <w:pPr>
        <w:spacing w:after="0" w:line="17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announcing that all Available Tenors of such Benchmark (or such component thereof) are no longer </w:t>
      </w:r>
      <w:r>
        <w:rPr>
          <w:rFonts w:ascii="Times New Roman" w:cs="Times New Roman" w:eastAsia="Times New Roman" w:hAnsi="Times New Roman"/>
          <w:sz w:val="20"/>
          <w:szCs w:val="20"/>
          <w:u w:val="single" w:color="auto"/>
          <w:color w:val="0000FF"/>
        </w:rPr>
        <w:t>, or as of a specified future date will no longer be,</w:t>
      </w:r>
      <w:r>
        <w:rPr>
          <w:rFonts w:ascii="Times New Roman" w:cs="Times New Roman" w:eastAsia="Times New Roman" w:hAnsi="Times New Roman"/>
          <w:sz w:val="20"/>
          <w:szCs w:val="20"/>
          <w:color w:val="auto"/>
        </w:rPr>
        <w:t xml:space="preserv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-675640</wp:posOffset>
            </wp:positionV>
            <wp:extent cx="31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-92710</wp:posOffset>
            </wp:positionV>
            <wp:extent cx="31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29" w:name="page30"/>
    <w:bookmarkEnd w:id="29"/>
    <w:p>
      <w:pPr>
        <w:spacing w:after="0" w:line="219" w:lineRule="exact"/>
        <w:rPr>
          <w:sz w:val="20"/>
          <w:szCs w:val="20"/>
          <w:color w:val="auto"/>
        </w:rPr>
      </w:pPr>
      <w:r>
        <w:rPr>
          <w:rFonts w:ascii="Times New Roman" w:cs="Times New Roman" w:eastAsia="Times New Roman" w:hAnsi="Times New Roman"/>
          <w:sz w:val="19"/>
          <w:szCs w:val="19"/>
          <w:color w:val="auto"/>
        </w:rPr>
        <w:t>occurred with respect to each then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current Available Tenor of such Benchmark (or the published component used in the calculation thereof).</w:t>
      </w:r>
    </w:p>
    <w:p>
      <w:pPr>
        <w:spacing w:after="0" w:line="272" w:lineRule="exact"/>
        <w:rPr>
          <w:sz w:val="20"/>
          <w:szCs w:val="20"/>
          <w:color w:val="auto"/>
        </w:rPr>
      </w:pPr>
    </w:p>
    <w:p>
      <w:pPr>
        <w:jc w:val="both"/>
        <w:ind w:firstLine="648"/>
        <w:spacing w:after="0" w:line="241"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with respect to any Benchmark, the period (if any) (x) beginning at the time that a Benchmark Replacement Date pursuant to clauses (1) or (2) of that definition has occurred if, at such time, no Benchmark Replacement has replaced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such</w:t>
      </w:r>
      <w:r>
        <w:rPr>
          <w:rFonts w:ascii="Times New Roman" w:cs="Times New Roman" w:eastAsia="Times New Roman" w:hAnsi="Times New Roman"/>
          <w:sz w:val="20"/>
          <w:szCs w:val="20"/>
          <w:color w:val="auto"/>
        </w:rPr>
        <w:t xml:space="preserv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current Benchmark for all purposes hereunder and under any Loan Document in accordance with Section 3.07 and (y) ending at the time that a Benchmark Replacement has replaced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such</w:t>
      </w:r>
      <w:r>
        <w:rPr>
          <w:rFonts w:ascii="Times New Roman" w:cs="Times New Roman" w:eastAsia="Times New Roman" w:hAnsi="Times New Roman"/>
          <w:sz w:val="20"/>
          <w:szCs w:val="20"/>
          <w:color w:val="auto"/>
        </w:rPr>
        <w:t xml:space="preserv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BMO</w:t>
      </w:r>
      <w:r>
        <w:rPr>
          <w:rFonts w:ascii="Times New Roman" w:cs="Times New Roman" w:eastAsia="Times New Roman" w:hAnsi="Times New Roman"/>
          <w:sz w:val="20"/>
          <w:szCs w:val="20"/>
          <w:color w:val="auto"/>
        </w:rPr>
        <w:t>” means BMO Harris Bank N.A., together with its successors.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has the meaning specified in the introductory paragraph hereto, and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any one of them.</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xml:space="preserve">” means a borrowing consisting of simultaneous Loans of the same Type, in the same currency and, in the case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Loans, having the same Interest Period made by each of the Lenders pursuant to</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00000"/>
        </w:rPr>
        <w:t>Section 2.01</w:t>
      </w:r>
      <w:r>
        <w:rPr>
          <w:rFonts w:ascii="Times New Roman" w:cs="Times New Roman" w:eastAsia="Times New Roman" w:hAnsi="Times New Roman"/>
          <w:sz w:val="20"/>
          <w:szCs w:val="20"/>
          <w:color w:val="000000"/>
        </w:rPr>
        <w:t>.</w:t>
      </w:r>
    </w:p>
    <w:p>
      <w:pPr>
        <w:spacing w:after="0" w:line="14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Brady Finance Luxembourg</w:t>
      </w:r>
      <w:r>
        <w:rPr>
          <w:rFonts w:ascii="Times New Roman" w:cs="Times New Roman" w:eastAsia="Times New Roman" w:hAnsi="Times New Roman"/>
          <w:sz w:val="20"/>
          <w:szCs w:val="20"/>
          <w:color w:val="auto"/>
        </w:rPr>
        <w:t>” means Brady Finance Luxembourg, a private limited liability company (</w:t>
      </w:r>
      <w:r>
        <w:rPr>
          <w:rFonts w:ascii="Times New Roman" w:cs="Times New Roman" w:eastAsia="Times New Roman" w:hAnsi="Times New Roman"/>
          <w:sz w:val="20"/>
          <w:szCs w:val="20"/>
          <w:i w:val="1"/>
          <w:iCs w:val="1"/>
          <w:color w:val="auto"/>
        </w:rPr>
        <w:t>société à responsabilité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limitée</w:t>
      </w:r>
      <w:r>
        <w:rPr>
          <w:rFonts w:ascii="Times New Roman" w:cs="Times New Roman" w:eastAsia="Times New Roman" w:hAnsi="Times New Roman"/>
          <w:sz w:val="20"/>
          <w:szCs w:val="20"/>
          <w:color w:val="auto"/>
        </w:rPr>
        <w:t>), organized under the laws of Luxembourg, having its registered office at 75, Parc d’Activités, L-8308 Capellen, Luxembourg,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registered with the Luxembourg Companies Register under number B 153389.</w:t>
      </w:r>
    </w:p>
    <w:p>
      <w:pPr>
        <w:spacing w:after="0" w:line="155" w:lineRule="exact"/>
        <w:rPr>
          <w:sz w:val="20"/>
          <w:szCs w:val="20"/>
          <w:color w:val="auto"/>
        </w:rPr>
      </w:pPr>
    </w:p>
    <w:p>
      <w:pPr>
        <w:jc w:val="both"/>
        <w:ind w:firstLine="648"/>
        <w:spacing w:after="0" w:line="24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Brady SARL</w:t>
      </w:r>
      <w:r>
        <w:rPr>
          <w:rFonts w:ascii="Times New Roman" w:cs="Times New Roman" w:eastAsia="Times New Roman" w:hAnsi="Times New Roman"/>
          <w:sz w:val="20"/>
          <w:szCs w:val="20"/>
          <w:color w:val="auto"/>
        </w:rPr>
        <w:t>” means Brady S.à r.l., a private limited liability company (</w:t>
      </w:r>
      <w:r>
        <w:rPr>
          <w:rFonts w:ascii="Times New Roman" w:cs="Times New Roman" w:eastAsia="Times New Roman" w:hAnsi="Times New Roman"/>
          <w:sz w:val="20"/>
          <w:szCs w:val="20"/>
          <w:i w:val="1"/>
          <w:iCs w:val="1"/>
          <w:color w:val="auto"/>
        </w:rPr>
        <w:t>société à responsabilité limitée</w:t>
      </w:r>
      <w:r>
        <w:rPr>
          <w:rFonts w:ascii="Times New Roman" w:cs="Times New Roman" w:eastAsia="Times New Roman" w:hAnsi="Times New Roman"/>
          <w:sz w:val="20"/>
          <w:szCs w:val="20"/>
          <w:color w:val="auto"/>
        </w:rPr>
        <w:t>), organized under the laws of Luxembourg, having its registered office at 75, Parc d’Activités, 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8308 Capellen, Luxembourg, registered with the Luxembourg Companies Register under number B </w:t>
      </w:r>
      <w:r>
        <w:rPr>
          <w:rFonts w:ascii="Times New Roman" w:cs="Times New Roman" w:eastAsia="Times New Roman" w:hAnsi="Times New Roman"/>
          <w:sz w:val="20"/>
          <w:szCs w:val="20"/>
          <w:color w:val="FF0000"/>
          <w:strike w:val="1"/>
        </w:rPr>
        <w:t>177140.</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Business Day</w:t>
      </w:r>
      <w:r>
        <w:rPr>
          <w:rFonts w:ascii="Times New Roman" w:cs="Times New Roman" w:eastAsia="Times New Roman" w:hAnsi="Times New Roman"/>
          <w:sz w:val="20"/>
          <w:szCs w:val="20"/>
          <w:color w:val="FF0000"/>
          <w:strike w:val="1"/>
        </w:rPr>
        <w:t xml:space="preserve">” means any day other than a Saturday, Sunday or other day on which commercial banks are authorized to close under the Laws of, or are in fact closed in, the state where the Administrative Agent’s Office with respect to Obligations denominated in Dollars is located and (a) 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day on which dealings in Dollar deposits are conducted by and between banks in the London interbank eurodollar market; (b) 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TARGET2 Day; (c) if such day relates to any interest rate settings as to a Eurocurrency Rate Loan denominated in a currency other than Dollars or Euro, means any such day </w:t>
      </w:r>
      <w:r>
        <w:rPr>
          <w:rFonts w:ascii="Times New Roman" w:cs="Times New Roman" w:eastAsia="Times New Roman" w:hAnsi="Times New Roman"/>
          <w:sz w:val="20"/>
          <w:szCs w:val="20"/>
          <w:color w:val="008000"/>
          <w:strike w:val="1"/>
        </w:rPr>
        <w:t>on which dealings in deposits in the relevant currency are conducted by and between banks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in the London or other applicable offshore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81" w:right="339" w:bottom="1440" w:gutter="0" w:footer="0" w:header="0"/>
        </w:sectPr>
      </w:pPr>
    </w:p>
    <w:bookmarkStart w:id="30" w:name="page31"/>
    <w:bookmarkEnd w:id="30"/>
    <w:p>
      <w:pPr>
        <w:jc w:val="both"/>
        <w:spacing w:after="0" w:line="264" w:lineRule="auto"/>
        <w:rPr>
          <w:sz w:val="20"/>
          <w:szCs w:val="20"/>
          <w:color w:val="auto"/>
        </w:rPr>
      </w:pPr>
      <w:r>
        <w:rPr>
          <w:rFonts w:ascii="Times New Roman" w:cs="Times New Roman" w:eastAsia="Times New Roman" w:hAnsi="Times New Roman"/>
          <w:sz w:val="19"/>
          <w:szCs w:val="19"/>
          <w:color w:val="008000"/>
          <w:strike w:val="1"/>
        </w:rPr>
        <w:t>interbank market for such currency</w:t>
      </w:r>
      <w:r>
        <w:rPr>
          <w:rFonts w:ascii="Times New Roman" w:cs="Times New Roman" w:eastAsia="Times New Roman" w:hAnsi="Times New Roman"/>
          <w:sz w:val="19"/>
          <w:szCs w:val="19"/>
          <w:color w:val="FF0000"/>
          <w:strike w:val="1"/>
        </w:rPr>
        <w:t>; and (d) if such day relates to any fundings, disbursements, settlements and payments in a currency other</w:t>
      </w:r>
      <w:r>
        <w:rPr>
          <w:rFonts w:ascii="Times New Roman" w:cs="Times New Roman" w:eastAsia="Times New Roman" w:hAnsi="Times New Roman"/>
          <w:sz w:val="19"/>
          <w:szCs w:val="19"/>
          <w:color w:val="008000"/>
          <w:strike w:val="1"/>
        </w:rPr>
        <w:t xml:space="preserve"> </w:t>
      </w:r>
      <w:r>
        <w:rPr>
          <w:rFonts w:ascii="Times New Roman" w:cs="Times New Roman" w:eastAsia="Times New Roman" w:hAnsi="Times New Roman"/>
          <w:sz w:val="19"/>
          <w:szCs w:val="19"/>
          <w:color w:val="FF0000"/>
          <w:strike w:val="1"/>
        </w:rPr>
        <w:t xml:space="preserve">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 provided that when used in connection with an RFR Loan </w:t>
      </w:r>
      <w:r>
        <w:rPr>
          <w:rFonts w:ascii="Times New Roman" w:cs="Times New Roman" w:eastAsia="Times New Roman" w:hAnsi="Times New Roman"/>
          <w:sz w:val="19"/>
          <w:szCs w:val="19"/>
          <w:u w:val="single" w:color="auto"/>
          <w:color w:val="0000FF"/>
          <w:strike w:val="1"/>
        </w:rPr>
        <w:t>“Business Day” means, any day (other than a</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0000FF"/>
          <w:strike w:val="1"/>
        </w:rPr>
        <w:t xml:space="preserve">Saturday or a Sunday) on which banks are open for business in New York City or Chicago; provided that </w:t>
      </w:r>
      <w:r>
        <w:rPr>
          <w:rFonts w:ascii="Times New Roman" w:cs="Times New Roman" w:eastAsia="Times New Roman" w:hAnsi="Times New Roman"/>
          <w:sz w:val="19"/>
          <w:szCs w:val="19"/>
          <w:u w:val="single" w:color="auto"/>
          <w:color w:val="008000"/>
          <w:strike w:val="1"/>
        </w:rPr>
        <w:t>the term "Business Day" shall</w:t>
      </w:r>
      <w:r>
        <w:rPr>
          <w:rFonts w:ascii="Times New Roman" w:cs="Times New Roman" w:eastAsia="Times New Roman" w:hAnsi="Times New Roman"/>
          <w:sz w:val="19"/>
          <w:szCs w:val="19"/>
          <w:u w:val="single" w:color="auto"/>
          <w:color w:val="0000FF"/>
          <w:strike w:val="1"/>
        </w:rPr>
        <w:t xml:space="preserve"> mean</w:t>
      </w:r>
    </w:p>
    <w:p>
      <w:pPr>
        <w:spacing w:after="0" w:line="4" w:lineRule="exact"/>
        <w:rPr>
          <w:sz w:val="20"/>
          <w:szCs w:val="20"/>
          <w:color w:val="auto"/>
        </w:rPr>
      </w:pPr>
    </w:p>
    <w:p>
      <w:pPr>
        <w:jc w:val="both"/>
        <w:ind w:firstLine="8"/>
        <w:spacing w:after="0" w:line="262" w:lineRule="auto"/>
        <w:tabs>
          <w:tab w:leader="none" w:pos="247" w:val="left"/>
        </w:tabs>
        <w:numPr>
          <w:ilvl w:val="0"/>
          <w:numId w:val="19"/>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in relation to RFR Loans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and any interest rate settings, fundings, disbursements, settlements or payments of any such RFR Loan, or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other dealings in the applicable Agreed Currency of such RFR Loan, </w:t>
      </w:r>
      <w:r>
        <w:rPr>
          <w:rFonts w:ascii="Times New Roman" w:cs="Times New Roman" w:eastAsia="Times New Roman" w:hAnsi="Times New Roman"/>
          <w:sz w:val="19"/>
          <w:szCs w:val="19"/>
          <w:color w:val="008000"/>
          <w:strike w:val="1"/>
        </w:rPr>
        <w:t>the term “Business Day” shall</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also exclude any day on which banks are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not open for dealings in deposits in such Agreed Currency in the interbank market in the principal financial center of the country whose lawful currency is such Agreed Currency.</w:t>
      </w:r>
      <w:r>
        <w:rPr>
          <w:rFonts w:ascii="Times New Roman" w:cs="Times New Roman" w:eastAsia="Times New Roman" w:hAnsi="Times New Roman"/>
          <w:sz w:val="19"/>
          <w:szCs w:val="19"/>
          <w:u w:val="single" w:color="auto"/>
          <w:color w:val="0000FF"/>
          <w:strike w:val="1"/>
        </w:rPr>
        <w:t>any such day that is only an RFR Business Day, (ii) in relation to Loans denominated in euro and in</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0000FF"/>
          <w:strike w:val="1"/>
        </w:rPr>
        <w:t xml:space="preserve">relation to the calculation or computation of the EURIBO Rate, any day which is a TARGET2 Day, (iii) in relation to Loans </w:t>
      </w:r>
      <w:r>
        <w:rPr>
          <w:rFonts w:ascii="Times New Roman" w:cs="Times New Roman" w:eastAsia="Times New Roman" w:hAnsi="Times New Roman"/>
          <w:sz w:val="19"/>
          <w:szCs w:val="19"/>
          <w:u w:val="single" w:color="auto"/>
          <w:color w:val="008000"/>
          <w:strike w:val="1"/>
        </w:rPr>
        <w:t>denominated in</w:t>
      </w:r>
      <w:r>
        <w:rPr>
          <w:rFonts w:ascii="Times New Roman" w:cs="Times New Roman" w:eastAsia="Times New Roman" w:hAnsi="Times New Roman"/>
          <w:sz w:val="19"/>
          <w:szCs w:val="19"/>
          <w:u w:val="single" w:color="auto"/>
          <w:color w:val="0000FF"/>
          <w:strike w:val="1"/>
        </w:rPr>
        <w:t xml:space="preserve"> </w:t>
      </w:r>
      <w:r>
        <w:rPr>
          <w:rFonts w:ascii="Times New Roman" w:cs="Times New Roman" w:eastAsia="Times New Roman" w:hAnsi="Times New Roman"/>
          <w:sz w:val="19"/>
          <w:szCs w:val="19"/>
          <w:u w:val="single" w:color="auto"/>
          <w:color w:val="008000"/>
          <w:strike w:val="1"/>
        </w:rPr>
        <w:t xml:space="preserve">Japanese Yen and </w:t>
      </w:r>
      <w:r>
        <w:rPr>
          <w:rFonts w:ascii="Times New Roman" w:cs="Times New Roman" w:eastAsia="Times New Roman" w:hAnsi="Times New Roman"/>
          <w:sz w:val="19"/>
          <w:szCs w:val="19"/>
          <w:u w:val="single" w:color="auto"/>
          <w:color w:val="0000FF"/>
          <w:strike w:val="1"/>
        </w:rPr>
        <w:t>in relation to the calculation or computation of the TIBO Rate, any day (other than a Saturday or a Sunday) on which banks</w:t>
      </w:r>
      <w:r>
        <w:rPr>
          <w:rFonts w:ascii="Times New Roman" w:cs="Times New Roman" w:eastAsia="Times New Roman" w:hAnsi="Times New Roman"/>
          <w:sz w:val="19"/>
          <w:szCs w:val="19"/>
          <w:u w:val="single" w:color="auto"/>
          <w:color w:val="008000"/>
          <w:strike w:val="1"/>
        </w:rPr>
        <w:t xml:space="preserve"> </w:t>
      </w:r>
      <w:r>
        <w:rPr>
          <w:rFonts w:ascii="Times New Roman" w:cs="Times New Roman" w:eastAsia="Times New Roman" w:hAnsi="Times New Roman"/>
          <w:sz w:val="19"/>
          <w:szCs w:val="19"/>
          <w:u w:val="single" w:color="auto"/>
          <w:color w:val="0000FF"/>
          <w:strike w:val="1"/>
        </w:rPr>
        <w:t xml:space="preserve">are open for business in Japan and (iv) in relation to Term Benchmark Loans denominated in other Agreed Currencies and in relation to the calculation or computation of the applicable Relevant Rate, any day (other than a Saturday or a Sunday) </w:t>
      </w:r>
      <w:r>
        <w:rPr>
          <w:rFonts w:ascii="Times New Roman" w:cs="Times New Roman" w:eastAsia="Times New Roman" w:hAnsi="Times New Roman"/>
          <w:sz w:val="19"/>
          <w:szCs w:val="19"/>
          <w:u w:val="single" w:color="auto"/>
          <w:color w:val="008000"/>
          <w:strike w:val="1"/>
        </w:rPr>
        <w:t>on which dealings in deposits in the</w:t>
      </w:r>
      <w:r>
        <w:rPr>
          <w:rFonts w:ascii="Times New Roman" w:cs="Times New Roman" w:eastAsia="Times New Roman" w:hAnsi="Times New Roman"/>
          <w:sz w:val="19"/>
          <w:szCs w:val="19"/>
          <w:u w:val="single" w:color="auto"/>
          <w:color w:val="0000FF"/>
          <w:strike w:val="1"/>
        </w:rPr>
        <w:t xml:space="preserve"> </w:t>
      </w:r>
      <w:r>
        <w:rPr>
          <w:rFonts w:ascii="Times New Roman" w:cs="Times New Roman" w:eastAsia="Times New Roman" w:hAnsi="Times New Roman"/>
          <w:sz w:val="19"/>
          <w:szCs w:val="19"/>
          <w:u w:val="single" w:color="auto"/>
          <w:color w:val="008000"/>
          <w:strike w:val="1"/>
        </w:rPr>
        <w:t>relevant currency are conducted by and between banks in the London or other applicable offshore interbank market for such currency</w:t>
      </w:r>
      <w:r>
        <w:rPr>
          <w:rFonts w:ascii="Times New Roman" w:cs="Times New Roman" w:eastAsia="Times New Roman" w:hAnsi="Times New Roman"/>
          <w:sz w:val="19"/>
          <w:szCs w:val="19"/>
          <w:u w:val="single" w:color="auto"/>
          <w:color w:val="0000FF"/>
          <w:strike w:val="1"/>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with respect to any Person, any lease of (or other agreement conveying the right to use) any real or personal property by such Person that, in conformity with GAAP as in effect immediately prior to the adoption of FASB ASC 842, is accounted for as a capital lease on the balance sheet of such Person.</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Stock</w:t>
      </w:r>
      <w:r>
        <w:rPr>
          <w:rFonts w:ascii="Times New Roman" w:cs="Times New Roman" w:eastAsia="Times New Roman" w:hAnsi="Times New Roman"/>
          <w:sz w:val="19"/>
          <w:szCs w:val="19"/>
          <w:color w:val="auto"/>
        </w:rPr>
        <w:t>” means (i) in the case of a corporation, capital stock, (ii) in the case of an association or business entity, any and all shares, interests, participations, rights or other equivalents (however designated) of capital stock, (iii) in the case of a partnership, partnership interests (whether general or limited), (iv) in the case of a limited liability company, membership interests and (v) any other interest or participation that confers on a Person the right to receive a share of the profits and losses of, or distributions of assets of, the issuing Person.</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deposit in a Controlled Account or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reasonably satisfactory to the Administrative Agent and the L/C Issuer.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as at any date, (a) treasury bills, treasury cash management bills and other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bank deposits, time deposits, certificates of deposit and bankers acceptances, in each case of (i) any Lender or (ii) any commercial bank of recognized standing having capital and surplus in excess of $100,000,000 (each,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49" w:lineRule="auto"/>
        <w:rPr>
          <w:sz w:val="20"/>
          <w:szCs w:val="20"/>
          <w:color w:val="auto"/>
        </w:rPr>
      </w:pPr>
      <w:r>
        <w:rPr>
          <w:rFonts w:ascii="Times New Roman" w:cs="Times New Roman" w:eastAsia="Times New Roman" w:hAnsi="Times New Roman"/>
          <w:sz w:val="20"/>
          <w:szCs w:val="20"/>
          <w:color w:val="auto"/>
        </w:rPr>
        <w:t>“Approved Lender”), (c) commercial paper issued by any Approved Lender (or by the parent company thereof) which is of investment grade provided, the aggregate principal amount of commercial paper issued by any one issuer shall not exceed $25,000,000, (d) unrated commercial paper issued by Wisconsin corporations, provided, the aggregate principal amount of commercial paper issued by any one issuer shall not exceed $10,000,000, (e) repurchase agreements with an Approved Lender, but only to the extent the same is used as an overnight or over weekend investment, (f) obligations of any state of the United States or any political subdivision thereof, the interest with respect to which is entirely exempt from federal income taxation under Section 103 of the Internal Revenue Code and having a rating of A or above by S&amp;P, (g) investments in municipal put bonds and municipal market auction notes and bonds rated A or above by S&amp;P, (h) investments, classified in accordance with GAAP as current assets, in adjustable rate preferred stock (which must be purchased at the call price or below) and money market investment programs registered under the Investment Company Act of 1940, as amended, in each case, which are administered by reputable financial institutions having capital of at least $100,000,000, 70% of the interest with respect to which is exempt from federal income taxation under Section 103 of the Internal Revenue Code, and having a rating of A or above by S&amp;P, (i) VEBA investments in municipal put bonds and notes, money market preferred stock and commercial paper, in each case, the interest with respect to which is taxable, and having a long term rating of A or above by S&amp;P and (j) with respect to any Foreign Subsidiary, short-term investments utilized by such Foreign Subsidiary in accordance with normal investment practices for cash management in investments analogous to the foregoing investments in clause (h) above.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Loan</w:t>
      </w:r>
      <w:r>
        <w:rPr>
          <w:rFonts w:ascii="Times New Roman" w:cs="Times New Roman" w:eastAsia="Times New Roman" w:hAnsi="Times New Roman"/>
          <w:sz w:val="20"/>
          <w:szCs w:val="20"/>
          <w:color w:val="auto"/>
        </w:rPr>
        <w:t>” means a Loan that bears interest at a rate determined by reference to the Central Bank Rate.</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u w:val="single" w:color="auto"/>
          <w:color w:val="0000FF"/>
        </w:rPr>
        <w:t xml:space="preserve">“CDOR Rate” means, with respect to any Term Benchmark Borrowing </w:t>
      </w:r>
      <w:r>
        <w:rPr>
          <w:rFonts w:ascii="Times New Roman" w:cs="Times New Roman" w:eastAsia="Times New Roman" w:hAnsi="Times New Roman"/>
          <w:sz w:val="19"/>
          <w:szCs w:val="19"/>
          <w:u w:val="single" w:color="auto"/>
          <w:color w:val="008000"/>
        </w:rPr>
        <w:t>denominated in Canadian Dollars</w:t>
      </w:r>
      <w:r>
        <w:rPr>
          <w:rFonts w:ascii="Times New Roman" w:cs="Times New Roman" w:eastAsia="Times New Roman" w:hAnsi="Times New Roman"/>
          <w:sz w:val="19"/>
          <w:szCs w:val="19"/>
          <w:u w:val="single" w:color="auto"/>
          <w:color w:val="0000FF"/>
        </w:rPr>
        <w:t xml:space="preserve"> and for any Interest Period, the CDOR Screen Rate at approximately 10:00 a.m., Toronto time, on the first day of such Interest Period; provided that if the CDOR Rate </w:t>
      </w:r>
      <w:r>
        <w:rPr>
          <w:rFonts w:ascii="Times New Roman" w:cs="Times New Roman" w:eastAsia="Times New Roman" w:hAnsi="Times New Roman"/>
          <w:sz w:val="19"/>
          <w:szCs w:val="19"/>
          <w:u w:val="single" w:color="auto"/>
          <w:color w:val="008000"/>
        </w:rPr>
        <w:t>as</w:t>
      </w:r>
      <w:r>
        <w:rPr>
          <w:rFonts w:ascii="Times New Roman" w:cs="Times New Roman" w:eastAsia="Times New Roman" w:hAnsi="Times New Roman"/>
          <w:sz w:val="19"/>
          <w:szCs w:val="19"/>
          <w:u w:val="single" w:color="auto"/>
          <w:color w:val="0000FF"/>
        </w:rPr>
        <w:t xml:space="preserve"> </w:t>
      </w:r>
      <w:r>
        <w:rPr>
          <w:rFonts w:ascii="Times New Roman" w:cs="Times New Roman" w:eastAsia="Times New Roman" w:hAnsi="Times New Roman"/>
          <w:sz w:val="19"/>
          <w:szCs w:val="19"/>
          <w:u w:val="single" w:color="auto"/>
          <w:color w:val="008000"/>
        </w:rPr>
        <w:t xml:space="preserve">so determined would be less than </w:t>
      </w:r>
      <w:r>
        <w:rPr>
          <w:rFonts w:ascii="Times New Roman" w:cs="Times New Roman" w:eastAsia="Times New Roman" w:hAnsi="Times New Roman"/>
          <w:sz w:val="19"/>
          <w:szCs w:val="19"/>
          <w:u w:val="single" w:color="auto"/>
          <w:color w:val="0000FF"/>
        </w:rPr>
        <w:t>the Floor</w:t>
      </w:r>
      <w:r>
        <w:rPr>
          <w:rFonts w:ascii="Times New Roman" w:cs="Times New Roman" w:eastAsia="Times New Roman" w:hAnsi="Times New Roman"/>
          <w:sz w:val="19"/>
          <w:szCs w:val="19"/>
          <w:u w:val="single" w:color="auto"/>
          <w:color w:val="008000"/>
        </w:rPr>
        <w:t xml:space="preserve">, such rate shall be deemed to be </w:t>
      </w:r>
      <w:r>
        <w:rPr>
          <w:rFonts w:ascii="Times New Roman" w:cs="Times New Roman" w:eastAsia="Times New Roman" w:hAnsi="Times New Roman"/>
          <w:sz w:val="19"/>
          <w:szCs w:val="19"/>
          <w:u w:val="single" w:color="auto"/>
          <w:color w:val="0000FF"/>
        </w:rPr>
        <w:t>equal to the Floor</w:t>
      </w:r>
      <w:r>
        <w:rPr>
          <w:rFonts w:ascii="Times New Roman" w:cs="Times New Roman" w:eastAsia="Times New Roman" w:hAnsi="Times New Roman"/>
          <w:sz w:val="19"/>
          <w:szCs w:val="19"/>
          <w:u w:val="single" w:color="auto"/>
          <w:color w:val="008000"/>
        </w:rPr>
        <w:t xml:space="preserve"> for the purposes of this Agreement.</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u w:val="single" w:color="auto"/>
          <w:color w:val="0000FF"/>
        </w:rPr>
        <w:t xml:space="preserve">“CDOR Screen Rate” means,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w:t>
      </w:r>
      <w:r>
        <w:rPr>
          <w:rFonts w:ascii="Times New Roman" w:cs="Times New Roman" w:eastAsia="Times New Roman" w:hAnsi="Times New Roman"/>
          <w:sz w:val="20"/>
          <w:szCs w:val="20"/>
          <w:u w:val="single" w:color="auto"/>
          <w:color w:val="008000"/>
        </w:rPr>
        <w:t>as selected by the Administrative Agent in its reasonable</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discretion</w:t>
      </w:r>
      <w:r>
        <w:rPr>
          <w:rFonts w:ascii="Times New Roman" w:cs="Times New Roman" w:eastAsia="Times New Roman" w:hAnsi="Times New Roman"/>
          <w:sz w:val="20"/>
          <w:szCs w:val="20"/>
          <w:u w:val="single" w:color="auto"/>
          <w:color w:val="0000FF"/>
        </w:rPr>
        <w:t>), rounded to the nearest 1/100th of 1% (with .005% being rounded up), as of 10:00 a.m. Toronto time on the Rate Determination</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Date with a term equivalent to such Interest Period.</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w:t>
      </w:r>
      <w:r>
        <w:rPr>
          <w:rFonts w:ascii="Times New Roman" w:cs="Times New Roman" w:eastAsia="Times New Roman" w:hAnsi="Times New Roman"/>
          <w:sz w:val="20"/>
          <w:szCs w:val="20"/>
          <w:color w:val="auto"/>
        </w:rPr>
        <w:t>” 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Bank (or any successor thereto) from time to time, (c) Japanese Yen, the “short-term prime rate” as publicly announced by the Bank of Japan (or any successor thereto) from time to time and (d) any other Alternative Currency determined after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a central bank rate as determined by the Administrative Agent in its reasonable discretion in consultation with the Company and (ii) zero; plus (B) the applicable Central Bank Rate Adjustment.</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 Adjustment</w:t>
      </w:r>
      <w:r>
        <w:rPr>
          <w:rFonts w:ascii="Times New Roman" w:cs="Times New Roman" w:eastAsia="Times New Roman" w:hAnsi="Times New Roman"/>
          <w:sz w:val="20"/>
          <w:szCs w:val="20"/>
          <w:color w:val="auto"/>
        </w:rPr>
        <w:t xml:space="preserve">” means for any day, for any Loan denominated in (a) Sterling, a rate equal to the difference (which may be a positive or negative value, or zero) of (i) the average of SONIA for the last five (5) RFR Business Days for which SONIA was available (excluding the highest level from such series of days and the lowest level from such series of days) minus (ii) the Central Bank Rate in respect of Sterling in effect on the last Business Day in such period, (b) euro, a rate equal to the difference (which may be a positive or negative value, or zero) of (i) the average of the </w:t>
      </w:r>
      <w:r>
        <w:rPr>
          <w:rFonts w:ascii="Times New Roman" w:cs="Times New Roman" w:eastAsia="Times New Roman" w:hAnsi="Times New Roman"/>
          <w:sz w:val="20"/>
          <w:szCs w:val="20"/>
          <w:u w:val="single" w:color="auto"/>
          <w:color w:val="0000FF"/>
        </w:rPr>
        <w:t>Adjusted</w:t>
      </w:r>
      <w:r>
        <w:rPr>
          <w:rFonts w:ascii="Times New Roman" w:cs="Times New Roman" w:eastAsia="Times New Roman" w:hAnsi="Times New Roman"/>
          <w:sz w:val="20"/>
          <w:szCs w:val="20"/>
          <w:color w:val="auto"/>
        </w:rPr>
        <w:t xml:space="preserve"> EURIBO Rate for the last five (5) Business Days for which the </w:t>
      </w:r>
      <w:r>
        <w:rPr>
          <w:rFonts w:ascii="Times New Roman" w:cs="Times New Roman" w:eastAsia="Times New Roman" w:hAnsi="Times New Roman"/>
          <w:sz w:val="20"/>
          <w:szCs w:val="20"/>
          <w:color w:val="FF0000"/>
          <w:strike w:val="1"/>
        </w:rPr>
        <w:t>EURIBO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EURIBOR Screen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 was available (excluding the highest level from such series of days and the lowest level from such series of days)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minus (ii) the Central Bank Rate in respect of euro in effect on the last Business Day in such period, (c) Japanese Yen, a rate equal to the difference (which may be a positive or negative value, or zero) of (i) the average of the </w:t>
      </w:r>
      <w:r>
        <w:rPr>
          <w:rFonts w:ascii="Times New Roman" w:cs="Times New Roman" w:eastAsia="Times New Roman" w:hAnsi="Times New Roman"/>
          <w:sz w:val="20"/>
          <w:szCs w:val="20"/>
          <w:u w:val="single" w:color="auto"/>
          <w:color w:val="0000FF"/>
        </w:rPr>
        <w:t>Adjusted</w:t>
      </w:r>
      <w:r>
        <w:rPr>
          <w:rFonts w:ascii="Times New Roman" w:cs="Times New Roman" w:eastAsia="Times New Roman" w:hAnsi="Times New Roman"/>
          <w:sz w:val="20"/>
          <w:szCs w:val="20"/>
          <w:color w:val="000000"/>
        </w:rPr>
        <w:t xml:space="preserve"> TIBO Rate for the last </w:t>
      </w:r>
      <w:r>
        <w:rPr>
          <w:rFonts w:ascii="Times New Roman" w:cs="Times New Roman" w:eastAsia="Times New Roman" w:hAnsi="Times New Roman"/>
          <w:sz w:val="20"/>
          <w:szCs w:val="20"/>
          <w:u w:val="single" w:color="auto"/>
          <w:color w:val="0000FF"/>
        </w:rPr>
        <w:t>five</w:t>
      </w:r>
      <w:r>
        <w:rPr>
          <w:rFonts w:ascii="Times New Roman" w:cs="Times New Roman" w:eastAsia="Times New Roman" w:hAnsi="Times New Roman"/>
          <w:sz w:val="20"/>
          <w:szCs w:val="20"/>
          <w:color w:val="000000"/>
        </w:rPr>
        <w:t xml:space="preserve"> (5) </w:t>
      </w:r>
      <w:r>
        <w:rPr>
          <w:rFonts w:ascii="Times New Roman" w:cs="Times New Roman" w:eastAsia="Times New Roman" w:hAnsi="Times New Roman"/>
          <w:sz w:val="20"/>
          <w:szCs w:val="20"/>
          <w:color w:val="FF0000"/>
          <w:strike w:val="1"/>
        </w:rPr>
        <w:t>five</w:t>
      </w:r>
      <w:r>
        <w:rPr>
          <w:rFonts w:ascii="Times New Roman" w:cs="Times New Roman" w:eastAsia="Times New Roman" w:hAnsi="Times New Roman"/>
          <w:sz w:val="20"/>
          <w:szCs w:val="20"/>
          <w:color w:val="000000"/>
        </w:rPr>
        <w:t xml:space="preserve"> Business Days for which the </w:t>
      </w:r>
      <w:r>
        <w:rPr>
          <w:rFonts w:ascii="Times New Roman" w:cs="Times New Roman" w:eastAsia="Times New Roman" w:hAnsi="Times New Roman"/>
          <w:sz w:val="20"/>
          <w:szCs w:val="20"/>
          <w:color w:val="FF0000"/>
          <w:strike w:val="1"/>
        </w:rPr>
        <w:t>TIBO</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TIBOR Screen</w:t>
      </w:r>
      <w:r>
        <w:rPr>
          <w:rFonts w:ascii="Times New Roman" w:cs="Times New Roman" w:eastAsia="Times New Roman" w:hAnsi="Times New Roman"/>
          <w:sz w:val="20"/>
          <w:szCs w:val="20"/>
          <w:color w:val="000000"/>
        </w:rPr>
        <w:t xml:space="preserve"> Rate was available (excluding the highest level from such series of days and the lowest level from such series of days) minus (ii) the Central Bank Rate in respect of Japanese Yen in effect on the last Business Day in such period and (d) any other Alternative Currency determined after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000000"/>
        </w:rPr>
        <w:t xml:space="preserve"> Amendment Effective Date, an adjustment as determined by the Administrative Agent in its reasonable discretion in consultation with the Company. For purposes of this definition, (x) the term Central Bank Rate shall be determined disregarding clause (B) of the definition of such term and (y) each of the EURIBO Rate and the TIBO Rate on any day shall be based on the EURIBOR Screen Rate or the TIBOR Screen Rate, as applicable, on such day at approximately the time referred to in the definition of such term for deposits in the applicable Agreed Currency for a maturity of one month </w:t>
      </w:r>
      <w:r>
        <w:rPr>
          <w:rFonts w:ascii="Times New Roman" w:cs="Times New Roman" w:eastAsia="Times New Roman" w:hAnsi="Times New Roman"/>
          <w:sz w:val="20"/>
          <w:szCs w:val="20"/>
          <w:color w:val="FF0000"/>
        </w:rPr>
        <w:t>(or, in the event the EURIBOR Screen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Rate or the TIBOR Screen Rate, as applicable, for deposits in the applicable Agreed Currency is not available for such maturity of one month, shall be based on the EURIBO Interpolated Rate or the TIBO Interpolated Rate, as applicable, as of such time)</w:t>
      </w:r>
      <w:r>
        <w:rPr>
          <w:rFonts w:ascii="Times New Roman" w:cs="Times New Roman" w:eastAsia="Times New Roman" w:hAnsi="Times New Roman"/>
          <w:sz w:val="20"/>
          <w:szCs w:val="20"/>
          <w:color w:val="000000"/>
          <w:strike w:val="1"/>
        </w:rPr>
        <w: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i w:val="1"/>
          <w:iCs w:val="1"/>
          <w:color w:val="000000"/>
          <w:strike w:val="1"/>
        </w:rPr>
        <w:t>provided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that if such</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rate shall be less than 0.00%, such rate shall be deemed to be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-526415</wp:posOffset>
            </wp:positionV>
            <wp:extent cx="20313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(or, with respect to any Lender, if later, the date on which such Lender becomes a Lender),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except to the extent they are merely proposed and not in effect (it being understood that at the time they become effective, they shall constitute a “Change in Law”) (i) the Dodd-Frank Wall Street Reform and Consumer Protection Act and all requests, rules, guidelines or directives thereunder or issued in connection therewith by a Governmental Authority charged with the enforcement, implementation, interpretation or administration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3" w:right="339" w:bottom="1440" w:gutter="0" w:footer="0" w:header="0"/>
        </w:sectPr>
      </w:pPr>
    </w:p>
    <w:bookmarkStart w:id="33" w:name="page34"/>
    <w:bookmarkEnd w:id="33"/>
    <w:p>
      <w:pPr>
        <w:jc w:val="both"/>
        <w:ind w:firstLine="648"/>
        <w:spacing w:after="0" w:line="283" w:lineRule="auto"/>
        <w:rPr>
          <w:sz w:val="20"/>
          <w:szCs w:val="20"/>
          <w:color w:val="auto"/>
        </w:rPr>
      </w:pPr>
      <w:r>
        <w:rPr>
          <w:rFonts w:ascii="Times New Roman" w:cs="Times New Roman" w:eastAsia="Times New Roman" w:hAnsi="Times New Roman"/>
          <w:sz w:val="20"/>
          <w:szCs w:val="20"/>
          <w:u w:val="single" w:color="auto"/>
          <w:color w:val="0000FF"/>
        </w:rPr>
        <w:t>“CME Term SOFR Administrator” means CME Group Benchmark Administration Limited as administrator of the forward-looking term Secured Overnight Financing Rate (SOFR) (or a successor administrator).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as to each Lender, the Revolving Commitment of such Lender.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introductory paragraph hereto.</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means any competitor of the Company or any Subsidiary that is in the same or a similar line of business as the Company or any Subsidiary designated in writing from time to time by the Company to the Administrative Agent.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7.01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Computation Period</w:t>
      </w:r>
      <w:r>
        <w:rPr>
          <w:rFonts w:ascii="Times New Roman" w:cs="Times New Roman" w:eastAsia="Times New Roman" w:hAnsi="Times New Roman"/>
          <w:sz w:val="20"/>
          <w:szCs w:val="20"/>
          <w:color w:val="auto"/>
        </w:rPr>
        <w:t>” means each period of four consecutive Fiscal Quarters ending on the last day of a Fiscal Quarter.</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6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 to the extent deducted in computing such Consolidated Net Income and without duplication, (i) depreciation and amortization expense for such period, (ii) Consolidated Interest Expense for such period, (iii) income tax expense for such period, (iv) any unusual or non-recurring expenses or losses (including, whether or not otherwise includable as a separate item in the statement of Consolidated Net Income for such period, losses on the sales or other dispositions of assets outside the ordinary course of business and loss on early retirement of debt), (v) any other non-cash items for such period (excluding any write-down of current assets and any such non-cash charges to the extent that such charge represents an accrual of or reserve for a future cash payment), (vi) the amount of business optimization expenses and other restructuring charges (which, for the avoidance of doubt, shall include the effect of inventory optimization programs, plant closure, retention, severance, systems establishment costs and excess pension charges), (vii) the amount of cost savings, operating expense reductions and cost synergies relating to transactions consummated by the Company and its Subsidiaries and projected by the Borrowers in good faith to result from actions taken or committed to be taken no later than 12 months after the consummation of such transaction (calculated on a pro forma basis as though such cost savings, operating expense reductions and cost synergies had been realized on the first day of such period for which Consolidated EBITDA is being determined and as if such cost savings, operating expense reductions and cost synergies were realized during the entirety of such period), net of the amount of actual benefits realized during such period from such actions, (viii) any net unrealized losses resulting from currency translation losses related to currency re-measurements of Debt (including any net loss resulting from Hedging Agreements for currency exchange risk) and any unrealized foreign currency translation losses, (ix) any unrealized mark-to-market losses on Hedging Agreements and (x) any one-time costs, fees, expenses, premiums, make-whole payments and other similar items associated with the issuance, incurrence or repayment of Debt (including the closing of this Agreement), any issuance of equity interests, any Investment, any Acquisition, and any disposition of assets of the applicable Person, in each case to the extent permitted hereunder (and whether or not consummated),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to the extent included in computing such Consolidated Net Income and without duplication, (i) any unusual or non-recurring income or gains (including, whether or not otherwise includable as a separate item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3" w:right="339" w:bottom="1440" w:gutter="0" w:footer="0" w:header="0"/>
        </w:sectPr>
      </w:pPr>
    </w:p>
    <w:bookmarkStart w:id="34" w:name="page35"/>
    <w:bookmarkEnd w:id="34"/>
    <w:p>
      <w:pPr>
        <w:jc w:val="both"/>
        <w:spacing w:after="0" w:line="251" w:lineRule="auto"/>
        <w:rPr>
          <w:sz w:val="20"/>
          <w:szCs w:val="20"/>
          <w:color w:val="auto"/>
        </w:rPr>
      </w:pPr>
      <w:r>
        <w:rPr>
          <w:rFonts w:ascii="Times New Roman" w:cs="Times New Roman" w:eastAsia="Times New Roman" w:hAnsi="Times New Roman"/>
          <w:sz w:val="20"/>
          <w:szCs w:val="20"/>
          <w:color w:val="auto"/>
        </w:rPr>
        <w:t>statement of Consolidated Net Income for such period, gains on the sales or other dispositions of assets outside the ordinary course of business and gain on early retirement of debt), (ii) non-cash income for such period (excluding any non-cash income to the extent that such income represents a receivable or asset for a future cash receipt), (iii) any net unrealized gains resulting from currency translation gains related to currency re-measurements of Debt (including any net gain resulting from Hedging Agreements for currency exchange risk) and any unrealized foreign currency translation gains and (iv) any unrealized mark-to-market gains on Hedging Agreements, all as determined in accordance with GAAP. For purposes of calculating Consolidated EBITDA for any period of four consecutive quarters, if during such period the Company or any Subsidiary shall have consummated an Acquisition, Consolidated EBITDA for such period shall be calculated after giving pro forma effect thereto as if such transaction occurred on the first day of such period and if during such period, the Company or any Subsidiary shall have consummated a disposition, Consolidated EBITDA for such period shall be calculated after giving pro forma effect thereto as if such transaction occurred on the last day of the previous period; provided that the aggregate amount of add-backs made pursuant to clauses (a)(iv), (a)(vi), (a)(vii) and (a)(x) for any period shall not exceed the greater of (A) $15,000,000 and (B) an amount equal to 15% of Consolidated EBITDA for such period (determined prior to giving effect to such add-backs).</w:t>
      </w:r>
    </w:p>
    <w:p>
      <w:pPr>
        <w:spacing w:after="0" w:line="17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Funded Debt</w:t>
      </w:r>
      <w:r>
        <w:rPr>
          <w:rFonts w:ascii="Times New Roman" w:cs="Times New Roman" w:eastAsia="Times New Roman" w:hAnsi="Times New Roman"/>
          <w:sz w:val="19"/>
          <w:szCs w:val="19"/>
          <w:color w:val="auto"/>
        </w:rPr>
        <w:t>” means all Debt of the Company and its Subsidiaries, excluding (i) contingent obligations in respect of undrawn letters of credit, bank guarantees and banker’s acceptances and Suretyship Liabilities in respect of obligations not constituting Debt,</w:t>
      </w:r>
    </w:p>
    <w:p>
      <w:pPr>
        <w:spacing w:after="0" w:line="1" w:lineRule="exact"/>
        <w:rPr>
          <w:sz w:val="20"/>
          <w:szCs w:val="20"/>
          <w:color w:val="auto"/>
        </w:rPr>
      </w:pPr>
    </w:p>
    <w:p>
      <w:pPr>
        <w:jc w:val="both"/>
        <w:ind w:firstLine="8"/>
        <w:spacing w:after="0" w:line="256" w:lineRule="auto"/>
        <w:tabs>
          <w:tab w:leader="none" w:pos="31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under Hedging Agreements, (iii) Securitization Obligations to the extent such obligations would not be required to be included on the consolidated balance sheet of the Company in accordance with GAAP and (iv) obligations to pay the deferred purchase price of services.</w:t>
      </w:r>
    </w:p>
    <w:p>
      <w:pPr>
        <w:spacing w:after="0" w:line="17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means, for any Computation Period, the ratio of (a) Consolidated EBITDA for such Computation Period to (b) Consolidated Interest Expense for such Computation Period.</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for any Computation Period, the consolidated interest expense of the Company and its Subsidiaries for such Computation Period, as determined in accordance with GAAP.</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any period, for the Company and its Subsidiaries on a consolidated basis, the net income (or loss) of the Company and its Subsidiaries (excluding (i) extraordinary items and (ii) 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for that period, as determined in accordance with GAAP.</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means, for any Computation Period, the ratio of (a) the difference of (i) Consolidated Funded Debt as of the last day of such Computation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Specified Cash as of the last day of such Computation Period to (b) Consolidated EBITDA for such Computation Period.</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written agreement, instrument or other undertaking to which such Person is a party or by which it or any of its property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3" w:right="339" w:bottom="1440" w:gutter="0" w:footer="0" w:header="0"/>
        </w:sectPr>
      </w:pPr>
    </w:p>
    <w:bookmarkStart w:id="35" w:name="page36"/>
    <w:bookmarkEnd w:id="35"/>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Account</w:t>
      </w:r>
      <w:r>
        <w:rPr>
          <w:rFonts w:ascii="Times New Roman" w:cs="Times New Roman" w:eastAsia="Times New Roman" w:hAnsi="Times New Roman"/>
          <w:sz w:val="20"/>
          <w:szCs w:val="20"/>
          <w:color w:val="auto"/>
        </w:rPr>
        <w:t>” means each deposit account and securities account that is subject to an account control agreement in form and substance satisfactory to the Administrative Agent and the L/C Issuer.</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Group</w:t>
      </w:r>
      <w:r>
        <w:rPr>
          <w:rFonts w:ascii="Times New Roman" w:cs="Times New Roman" w:eastAsia="Times New Roman" w:hAnsi="Times New Roman"/>
          <w:sz w:val="20"/>
          <w:szCs w:val="20"/>
          <w:color w:val="auto"/>
        </w:rPr>
        <w:t>” means all members of a controlled group of corporations and all members of a controlled group of trades or businesses (whether or not incorporated) under common control which, together with the Company, are treated as a single employer under Section 414 of the Internal Revenue Code or Section 4001 of ERISA.</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Daily Simple ESTR</w:t>
      </w:r>
      <w:r>
        <w:rPr>
          <w:rFonts w:ascii="Times New Roman" w:cs="Times New Roman" w:eastAsia="Times New Roman" w:hAnsi="Times New Roman"/>
          <w:sz w:val="20"/>
          <w:szCs w:val="20"/>
          <w:color w:val="FF0000"/>
          <w:strike w:val="1"/>
        </w:rPr>
        <w:t>” means, for any day, ESTR, with the conventions for this rate (which may include a lookback) being established by the Administrative Agent in accordance with the conventions for this rate selected or recommended by the Relevant Governmental Body for determining “Daily Simple ESTR” for syndicated business loans; provided that, if the Administrative Agent decides in its reasonable discretion that any such convention is not administratively feasible for the Administrative Agent, then the Administrative Agent may establish another convention in its reasonable discretion in consultation with the Company.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008000"/>
          <w:strike w:val="1"/>
        </w:rPr>
        <w:t>“</w:t>
      </w:r>
      <w:r>
        <w:rPr>
          <w:rFonts w:ascii="Times New Roman" w:cs="Times New Roman" w:eastAsia="Times New Roman" w:hAnsi="Times New Roman"/>
          <w:sz w:val="20"/>
          <w:szCs w:val="20"/>
          <w:u w:val="single" w:color="auto"/>
          <w:color w:val="008000"/>
          <w:strike w:val="1"/>
        </w:rPr>
        <w:t>Daily Simple SOFR</w:t>
      </w:r>
      <w:r>
        <w:rPr>
          <w:rFonts w:ascii="Times New Roman" w:cs="Times New Roman" w:eastAsia="Times New Roman" w:hAnsi="Times New Roman"/>
          <w:sz w:val="20"/>
          <w:szCs w:val="20"/>
          <w:color w:val="008000"/>
          <w:strike w:val="1"/>
        </w:rPr>
        <w:t>” means, for any day</w:t>
      </w:r>
      <w:r>
        <w:rPr>
          <w:rFonts w:ascii="Times New Roman" w:cs="Times New Roman" w:eastAsia="Times New Roman" w:hAnsi="Times New Roman"/>
          <w:sz w:val="20"/>
          <w:szCs w:val="20"/>
          <w:color w:val="FF0000"/>
          <w:strike w:val="1"/>
        </w:rPr>
        <w:t>, SOFR, with the conventions for this rate (which will include a lookback) being</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 xml:space="preserve">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that if the Administrative Agent decides in its reasonable discretion that any such convention is not administratively feasible for the Administrative Agent, then the Administrative Agent may establish another comparable convention in its reasonable discretion in consultation with the Company.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u w:val="single" w:color="auto"/>
          <w:color w:val="008000"/>
        </w:rPr>
        <w:t xml:space="preserve">“Daily Simple SOFR” means, for any day </w:t>
      </w:r>
      <w:r>
        <w:rPr>
          <w:rFonts w:ascii="Times New Roman" w:cs="Times New Roman" w:eastAsia="Times New Roman" w:hAnsi="Times New Roman"/>
          <w:sz w:val="20"/>
          <w:szCs w:val="20"/>
          <w:u w:val="single" w:color="auto"/>
          <w:color w:val="0000FF"/>
        </w:rPr>
        <w:t>(a “SOFR Rate Day”), a rate per annum equal to SOFR for the day that is five (5) Business</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Days prior to (i) if such SOFR Rate Day is a Business Day, such SOFR Rate Day or (ii) if such SOFR Rate Day is not a Business Day, the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SONIA</w:t>
      </w:r>
      <w:r>
        <w:rPr>
          <w:rFonts w:ascii="Times New Roman" w:cs="Times New Roman" w:eastAsia="Times New Roman" w:hAnsi="Times New Roman"/>
          <w:sz w:val="20"/>
          <w:szCs w:val="20"/>
          <w:color w:val="auto"/>
        </w:rPr>
        <w:t>” means, for any RFR Loan denominated in Sterling, for any day (an “</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an interest rate per annum equal to the greater of (a) SONIA for the day that is five (5) RFR Business Days prior to (A) if such RFR Interest Day is an RFR Business Day, such RFR Interest Day or (B) if such RFR Interest Day is not an RFR Business Day, the RFR Business Day immediately preceding such RFR Interest Day and (b) zero. Any change in Daily Simple SONIA due to a change in the applicable RFR shall be effective from and including the effective date of such change in the RFR without notice to the Company.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w:t>
      </w:r>
      <w:r>
        <w:rPr>
          <w:rFonts w:ascii="Times New Roman" w:cs="Times New Roman" w:eastAsia="Times New Roman" w:hAnsi="Times New Roman"/>
          <w:sz w:val="20"/>
          <w:szCs w:val="20"/>
          <w:color w:val="auto"/>
        </w:rPr>
        <w:t>” of any Person means, without duplication, (a) all indebtedness of such Person for borrowed money, whether or not evidenced by bonds, debentures, notes or similar instruments, (b) all obligations of such Person as lessee under Capital Leases which have been or should be recorded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3" w:right="339" w:bottom="1440" w:gutter="0" w:footer="0" w:header="0"/>
        </w:sectPr>
      </w:pPr>
    </w:p>
    <w:bookmarkStart w:id="36" w:name="page37"/>
    <w:bookmarkEnd w:id="36"/>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liabilities on a balance sheet of such Person in accordance with GAAP as in effect immediately prior the adoption of FASB ASC 842, (c) all obligations of such Person to pay the deferred purchase price of property or services (excluding (i) trade and similar accounts payable and accrued expenses in the ordinary course of business and (ii) accrued pension costs and other employee benefit and compensation obligations arising in the ordinary course of business), (d) all indebtedness secured by a Lien on the property of such Person, whether or not such indebtedness shall have been assumed by such Person (it being understood that if such Person has not assumed or otherwise become personally liable for any such indebtedness, the amount of the Debt of such Person in connection therewith shall be limited to the lesser of the face amount of such indebtedness and the fair market value of all property of such Person securing such indebtedness), (e) all obligations, contingent or otherwise, under letters of credit (whether or not drawn), including the Letters of Credit, but otherwise excluding trade letters of credit, and banker’s acceptances issued for the account of such Person, (f) all Securitization Obligations of such Person, to the extent such obligations would be required to be included on the consolidated balance sheet of the Company in accordance with GAAP, (g) the net obligations of such Person under Hedging Agreements, (h) all Suretyship Liabilities of such Person with respect to obligations of the type described in any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and (i) all Debt of any partnership in which such Person is a general partner. The amount of any net obligation under any Hedging Agreement on any date shall be deemed to be the Swap Termination Value thereof as of such date. If any of the foregoing Debt is limited to recourse against a particular asset or assets of such Person, the amount of the corresponding Debt shall be equal to the lesser of the amount of such Debt and the fair market value of such asset or assets at the date for determination of the amount of such Debt. The amount of Debt of the Company and its Subsidiaries hereunder shall be calculated without duplication of Suretyship Liabilities of the Company or any Subsidiary in respect thereof. “Debt” shall not include (1) indebtedness owing to the Company by any Subsidiary or indebtedness owing to any Subsidiary by the Company or another Subsidiary, (2) any customary earnout or holdback or similar obligations in connection with Acquisitions permitted hereunder, (3) any obligations of the Company or its Subsidiaries in respect of customer advances received and held in the ordinary course of business, (4) performance bonds or performance guaranties (or bank guaranties or letters of credit in lieu thereof) entered into in the ordinary course of business, (5) defeased and/or discharged indebtedness, (6) interest, fees, premium or expenses, if any, relating to the principal amount of Debt to the extent not paid in kind, or (7) all obligations of any Person as lessee under operating leases, in accordance with GAAP as in effect immediately prior to the adoption of FASB ASC 842.</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generally, moratorium, rearrangement, receivership, insolvency, reorganization, or similar debtor relief Laws of the United States or other applicable jurisdictions from time to time in effect and affecting the rights of creditors generally, including any Luxembourg Insolvency Event.</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7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Rate</w:t>
      </w:r>
      <w:r>
        <w:rPr>
          <w:rFonts w:ascii="Times New Roman" w:cs="Times New Roman" w:eastAsia="Times New Roman" w:hAnsi="Times New Roman"/>
          <w:sz w:val="19"/>
          <w:szCs w:val="19"/>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the Applicable Rate, if any, applicable to Base Rate Loans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(iii) 2% per annum;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with respect to a </w:t>
      </w:r>
      <w:r>
        <w:rPr>
          <w:rFonts w:ascii="Times New Roman" w:cs="Times New Roman" w:eastAsia="Times New Roman" w:hAnsi="Times New Roman"/>
          <w:sz w:val="19"/>
          <w:szCs w:val="19"/>
          <w:color w:val="EE2724"/>
          <w:strike w:val="1"/>
        </w:rPr>
        <w:t>Eurocurrency Rate</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Loan or RFR Loan, the Default Rate shall be an interest rate equal to the interest rate (including any</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 xml:space="preserve">Applicable Rate) otherwise applicable to such Loan </w:t>
      </w:r>
      <w:r>
        <w:rPr>
          <w:rFonts w:ascii="Times New Roman" w:cs="Times New Roman" w:eastAsia="Times New Roman" w:hAnsi="Times New Roman"/>
          <w:sz w:val="19"/>
          <w:szCs w:val="19"/>
          <w:u w:val="single" w:color="auto"/>
          <w:color w:val="000000"/>
        </w:rPr>
        <w:t>plus</w:t>
      </w:r>
      <w:r>
        <w:rPr>
          <w:rFonts w:ascii="Times New Roman" w:cs="Times New Roman" w:eastAsia="Times New Roman" w:hAnsi="Times New Roman"/>
          <w:sz w:val="19"/>
          <w:szCs w:val="19"/>
          <w:color w:val="000000"/>
        </w:rPr>
        <w:t xml:space="preserve"> 2% per annum, in each case to the fullest extent permitted by applicable Laws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when used with respect to Letter of Credit Fees,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 xml:space="preserve">rate equal to the Applicable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 in all cases to the fullest extent permitted by applicable Laws.</w:t>
      </w:r>
    </w:p>
    <w:p>
      <w:pPr>
        <w:spacing w:after="0" w:line="2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the L/C Issuer or the Swing Line Lender in writing that it does not intend or expect to comply with all or any portion of its funding obligations hereunder or under other agreements in which it commits to extend credit generally,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(such writing to be reasonably satisfactory to the Administrative Agent or the Company, as applicable) that it will comply with, and is financially able to meet,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or of a Bail-In Action,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taken any action in furtherance of, or indicated its consent to, approval of or acquiescence in any such proceeding or appointment;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made in good faith by the Administrative Agent that a Lender is a Defaulting Lender under any one or more of clauses (a) through (d) above, and of the effective date of such status, shall be conclusive and binding absent demonstrable error, and such Lender shall be deemed to be a Defaulting Lender (subject to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w:t>
      </w:r>
      <w:r>
        <w:rPr>
          <w:rFonts w:ascii="Times New Roman" w:cs="Times New Roman" w:eastAsia="Times New Roman" w:hAnsi="Times New Roman"/>
          <w:sz w:val="20"/>
          <w:szCs w:val="20"/>
          <w:color w:val="auto"/>
        </w:rPr>
        <w:t>” means any limited liability company organized or formed under the laws of the State of Delaware.</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 Division</w:t>
      </w:r>
      <w:r>
        <w:rPr>
          <w:rFonts w:ascii="Times New Roman" w:cs="Times New Roman" w:eastAsia="Times New Roman" w:hAnsi="Times New Roman"/>
          <w:sz w:val="20"/>
          <w:szCs w:val="20"/>
          <w:color w:val="auto"/>
        </w:rPr>
        <w:t>” means the statutory division of any Delaware LLC into two or more Delaware LLCs pursuant to Section 18-217 of the Delaware Limited Liability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3"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has the meaning specified in the introductory paragraph hereto.</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rPr>
        <w:t>Notice</w:t>
      </w:r>
      <w:r>
        <w:rPr>
          <w:rFonts w:ascii="Times New Roman" w:cs="Times New Roman" w:eastAsia="Times New Roman" w:hAnsi="Times New Roman"/>
          <w:sz w:val="20"/>
          <w:szCs w:val="20"/>
          <w:color w:val="FF0000"/>
        </w:rPr>
        <w:t>” has the meaning specified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rPr>
        <w:t>Section 2.14</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8000"/>
          <w:strike w:val="1"/>
        </w:rPr>
        <w:t>“</w:t>
      </w:r>
      <w:r>
        <w:rPr>
          <w:rFonts w:ascii="Times New Roman" w:cs="Times New Roman" w:eastAsia="Times New Roman" w:hAnsi="Times New Roman"/>
          <w:sz w:val="20"/>
          <w:szCs w:val="20"/>
          <w:u w:val="single" w:color="auto"/>
          <w:color w:val="008000"/>
          <w:strike w:val="1"/>
        </w:rPr>
        <w:t>Designated Borrower Request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and Assumption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Joinder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-243840</wp:posOffset>
            </wp:positionV>
            <wp:extent cx="26289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8900" cy="8255"/>
                    </a:xfrm>
                    <a:prstGeom prst="rect">
                      <a:avLst/>
                    </a:prstGeom>
                    <a:noFill/>
                  </pic:spPr>
                </pic:pic>
              </a:graphicData>
            </a:graphic>
          </wp:anchor>
        </w:drawing>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8000"/>
        </w:rPr>
        <w:t>“Designated Borrower Request</w:t>
      </w:r>
      <w:r>
        <w:rPr>
          <w:rFonts w:ascii="Times New Roman" w:cs="Times New Roman" w:eastAsia="Times New Roman" w:hAnsi="Times New Roman"/>
          <w:sz w:val="20"/>
          <w:szCs w:val="20"/>
          <w:u w:val="single" w:color="auto"/>
          <w:color w:val="0000FF"/>
        </w:rPr>
        <w:t>” has the meaning specified in Section 2.14(b).</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territory or region itself is the subject of any Sanction.</w:t>
      </w:r>
    </w:p>
    <w:p>
      <w:pPr>
        <w:spacing w:after="0" w:line="16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Institution</w:t>
      </w:r>
      <w:r>
        <w:rPr>
          <w:rFonts w:ascii="Times New Roman" w:cs="Times New Roman" w:eastAsia="Times New Roman" w:hAnsi="Times New Roman"/>
          <w:sz w:val="19"/>
          <w:szCs w:val="19"/>
          <w:color w:val="auto"/>
        </w:rPr>
        <w:t xml:space="preserve">” shall mean (a) those Competitors identified on a list provided by the Company to the Administrative Agent and made available to the Lenders on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Second Amendment Effective</w:t>
      </w:r>
      <w:r>
        <w:rPr>
          <w:rFonts w:ascii="Times New Roman" w:cs="Times New Roman" w:eastAsia="Times New Roman" w:hAnsi="Times New Roman"/>
          <w:sz w:val="19"/>
          <w:szCs w:val="19"/>
          <w:color w:val="auto"/>
        </w:rPr>
        <w:t xml:space="preserve"> Date (the “</w:t>
      </w:r>
      <w:r>
        <w:rPr>
          <w:rFonts w:ascii="Times New Roman" w:cs="Times New Roman" w:eastAsia="Times New Roman" w:hAnsi="Times New Roman"/>
          <w:sz w:val="19"/>
          <w:szCs w:val="19"/>
          <w:u w:val="single" w:color="auto"/>
          <w:color w:val="auto"/>
        </w:rPr>
        <w:t>Disqualified Institution List</w:t>
      </w:r>
      <w:r>
        <w:rPr>
          <w:rFonts w:ascii="Times New Roman" w:cs="Times New Roman" w:eastAsia="Times New Roman" w:hAnsi="Times New Roman"/>
          <w:sz w:val="19"/>
          <w:szCs w:val="19"/>
          <w:color w:val="auto"/>
        </w:rPr>
        <w:t xml:space="preserve">”) (as such Disqualified Institution List may be supplemented from time to time by the Borrowers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and (b) any other Competitor identified by legal name in writing to the Administrative Agent after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Second Amendment Effective</w:t>
      </w:r>
      <w:r>
        <w:rPr>
          <w:rFonts w:ascii="Times New Roman" w:cs="Times New Roman" w:eastAsia="Times New Roman" w:hAnsi="Times New Roman"/>
          <w:sz w:val="19"/>
          <w:szCs w:val="19"/>
          <w:color w:val="auto"/>
        </w:rPr>
        <w:t xml:space="preserve"> Date (it being understood that the Company shall be required to provide a fully updated Disqualified Institution List to the Administrative Agent in order to supplement such list after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Second Amendment Effective</w:t>
      </w:r>
      <w:r>
        <w:rPr>
          <w:rFonts w:ascii="Times New Roman" w:cs="Times New Roman" w:eastAsia="Times New Roman" w:hAnsi="Times New Roman"/>
          <w:sz w:val="19"/>
          <w:szCs w:val="19"/>
          <w:color w:val="auto"/>
        </w:rPr>
        <w:t xml:space="preserve"> Date and the Administrative Agent shall make such updated list available to the Lenders), which designation shall become effective one day after the date that such written designation to the Administrative Agent is made available to the Lenders on IntraLinks, Syndtrak, ClearPar or a similar electronic transmission system, but which shall not apply retroactively to disqualify any persons that have previously acquired an assignment or participation interest in the Loans and/or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during continuation of an Event of Default, the Company may not designate any additional Persons as Disqualified Institutions.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at any time, (a) with respect to any amount denominated in Dollars, such amount, and (b) with respect to any amount denominated in any Alternative Currency, the equivalent amount thereof in Dollars as determined in good faith by the Administrative Agent or the L/C Issuer, as the case may be, at such time on the basis of the Spot Rate (determined in respect of the most recent Revaluation Date) for the purchase of Dollars with such Alternative Currency.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Borrower</w:t>
      </w:r>
      <w:r>
        <w:rPr>
          <w:rFonts w:ascii="Times New Roman" w:cs="Times New Roman" w:eastAsia="Times New Roman" w:hAnsi="Times New Roman"/>
          <w:sz w:val="20"/>
          <w:szCs w:val="20"/>
          <w:color w:val="auto"/>
        </w:rPr>
        <w:t>” means, collectively, the Company and each Designated Borrower that is a Domestic Subsidiary.</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any state of the United States or the District of Columbia.</w:t>
      </w:r>
    </w:p>
    <w:p>
      <w:pPr>
        <w:spacing w:after="0" w:line="115" w:lineRule="exact"/>
        <w:rPr>
          <w:sz w:val="20"/>
          <w:szCs w:val="20"/>
          <w:color w:val="auto"/>
        </w:rPr>
      </w:pPr>
    </w:p>
    <w:p>
      <w:pPr>
        <w:ind w:left="660"/>
        <w:spacing w:after="0" w:line="230" w:lineRule="exact"/>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Early Opt</w:t>
      </w:r>
      <w:r>
        <w:rPr>
          <w:rFonts w:ascii="MS PGothic" w:cs="MS PGothic" w:eastAsia="MS PGothic" w:hAnsi="MS PGothic"/>
          <w:sz w:val="20"/>
          <w:szCs w:val="20"/>
          <w:u w:val="single" w:color="auto"/>
          <w:color w:val="FF0000"/>
          <w:strike w:val="1"/>
        </w:rPr>
        <w:t>‐</w:t>
      </w:r>
      <w:r>
        <w:rPr>
          <w:rFonts w:ascii="Times New Roman" w:cs="Times New Roman" w:eastAsia="Times New Roman" w:hAnsi="Times New Roman"/>
          <w:sz w:val="20"/>
          <w:szCs w:val="20"/>
          <w:u w:val="single" w:color="auto"/>
          <w:color w:val="FF0000"/>
          <w:strike w:val="1"/>
        </w:rPr>
        <w:t>in Election</w:t>
      </w:r>
      <w:r>
        <w:rPr>
          <w:rFonts w:ascii="Times New Roman" w:cs="Times New Roman" w:eastAsia="Times New Roman" w:hAnsi="Times New Roman"/>
          <w:sz w:val="20"/>
          <w:szCs w:val="20"/>
          <w:color w:val="FF0000"/>
          <w:strike w:val="1"/>
        </w:rPr>
        <w:t>” means, with respect to any Agreed Currency, the occurrence of:</w:t>
      </w:r>
    </w:p>
    <w:p>
      <w:pPr>
        <w:spacing w:after="0" w:line="260" w:lineRule="exact"/>
        <w:rPr>
          <w:sz w:val="20"/>
          <w:szCs w:val="20"/>
          <w:color w:val="auto"/>
        </w:rPr>
      </w:pPr>
    </w:p>
    <w:p>
      <w:pPr>
        <w:jc w:val="both"/>
        <w:ind w:firstLine="656"/>
        <w:spacing w:after="0" w:line="264" w:lineRule="auto"/>
        <w:tabs>
          <w:tab w:leader="none" w:pos="1284" w:val="left"/>
        </w:tabs>
        <w:numPr>
          <w:ilvl w:val="0"/>
          <w:numId w:val="2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a notification by the Administrative Agent to (or the request by the Company to the Administrative Agent to notify) each of the other parties hereto that </w:t>
      </w:r>
      <w:r>
        <w:rPr>
          <w:rFonts w:ascii="Times New Roman" w:cs="Times New Roman" w:eastAsia="Times New Roman" w:hAnsi="Times New Roman"/>
          <w:sz w:val="20"/>
          <w:szCs w:val="20"/>
          <w:color w:val="008000"/>
          <w:strike w:val="1"/>
        </w:rPr>
        <w:t>syndicated credit facilities</w:t>
      </w:r>
      <w:r>
        <w:rPr>
          <w:rFonts w:ascii="Times New Roman" w:cs="Times New Roman" w:eastAsia="Times New Roman" w:hAnsi="Times New Roman"/>
          <w:sz w:val="20"/>
          <w:szCs w:val="20"/>
          <w:color w:val="FF0000"/>
          <w:strike w:val="1"/>
        </w:rPr>
        <w:t xml:space="preserve"> denominated in the applicable Agreed Currency being executed at such time, or that include language similar to that contained in </w:t>
      </w:r>
      <w:r>
        <w:rPr>
          <w:rFonts w:ascii="Times New Roman" w:cs="Times New Roman" w:eastAsia="Times New Roman" w:hAnsi="Times New Roman"/>
          <w:sz w:val="21"/>
          <w:szCs w:val="21"/>
          <w:u w:val="single" w:color="auto"/>
          <w:color w:val="FF0000"/>
          <w:strike w:val="1"/>
        </w:rPr>
        <w:t>Section 3.07</w:t>
      </w:r>
      <w:r>
        <w:rPr>
          <w:rFonts w:ascii="Times New Roman" w:cs="Times New Roman" w:eastAsia="Times New Roman" w:hAnsi="Times New Roman"/>
          <w:sz w:val="20"/>
          <w:szCs w:val="20"/>
          <w:color w:val="FF0000"/>
          <w:strike w:val="1"/>
        </w:rPr>
        <w:t xml:space="preserve"> are being executed or amended, as applicable, in the United States to, incorporate or adopt a new benchmark interest rate to replace the Relevant Rate, and</w:t>
      </w:r>
    </w:p>
    <w:p>
      <w:pPr>
        <w:spacing w:after="0" w:line="163" w:lineRule="exact"/>
        <w:rPr>
          <w:rFonts w:ascii="Times New Roman" w:cs="Times New Roman" w:eastAsia="Times New Roman" w:hAnsi="Times New Roman"/>
          <w:sz w:val="20"/>
          <w:szCs w:val="20"/>
          <w:color w:val="FF0000"/>
          <w:strike w:val="1"/>
        </w:rPr>
      </w:pPr>
    </w:p>
    <w:p>
      <w:pPr>
        <w:jc w:val="both"/>
        <w:ind w:firstLine="656"/>
        <w:spacing w:after="0" w:line="261" w:lineRule="auto"/>
        <w:tabs>
          <w:tab w:leader="none" w:pos="1284" w:val="left"/>
        </w:tabs>
        <w:numPr>
          <w:ilvl w:val="0"/>
          <w:numId w:val="2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the joint election by the Administrative Agent and the Company to declare that an Early Opt-in Election for such Agreed Currency has occurred and the provision, as applicable, by the Administrative Agent of written notice of such election </w:t>
      </w:r>
      <w:r>
        <w:rPr>
          <w:rFonts w:ascii="Times New Roman" w:cs="Times New Roman" w:eastAsia="Times New Roman" w:hAnsi="Times New Roman"/>
          <w:sz w:val="20"/>
          <w:szCs w:val="20"/>
          <w:color w:val="008000"/>
          <w:strike w:val="1"/>
        </w:rPr>
        <w:t>to the Company and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the Lenders</w:t>
      </w:r>
      <w:r>
        <w:rPr>
          <w:rFonts w:ascii="Times New Roman" w:cs="Times New Roman" w:eastAsia="Times New Roman" w:hAnsi="Times New Roman"/>
          <w:sz w:val="20"/>
          <w:szCs w:val="20"/>
          <w:color w:val="FF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3" w:right="339" w:bottom="1440" w:gutter="0" w:footer="0" w:header="0"/>
        </w:sectPr>
      </w:pPr>
    </w:p>
    <w:bookmarkStart w:id="39" w:name="page40"/>
    <w:bookmarkEnd w:id="39"/>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Sections 11.06(b)(iii)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11.06(b)(iii)</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EMU</w:t>
      </w:r>
      <w:r>
        <w:rPr>
          <w:rFonts w:ascii="Times New Roman" w:cs="Times New Roman" w:eastAsia="Times New Roman" w:hAnsi="Times New Roman"/>
          <w:sz w:val="20"/>
          <w:szCs w:val="20"/>
          <w:color w:val="FF0000"/>
          <w:strike w:val="1"/>
        </w:rPr>
        <w:t>” means the economic and monetary union in accordance with the Treaty of Rome 1957, as amended by the Single European Act 1986, the Maastricht Treaty of 1992 and the Amsterdam Treaty of 1998.</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EMU Legislation</w:t>
      </w:r>
      <w:r>
        <w:rPr>
          <w:rFonts w:ascii="Times New Roman" w:cs="Times New Roman" w:eastAsia="Times New Roman" w:hAnsi="Times New Roman"/>
          <w:sz w:val="20"/>
          <w:szCs w:val="20"/>
          <w:color w:val="auto"/>
        </w:rPr>
        <w:t>” means the legislative measures of the European Council for the introduction of, changeover to or operation of a single or unified European currency.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Claims</w:t>
      </w:r>
      <w:r>
        <w:rPr>
          <w:rFonts w:ascii="Times New Roman" w:cs="Times New Roman" w:eastAsia="Times New Roman" w:hAnsi="Times New Roman"/>
          <w:sz w:val="20"/>
          <w:szCs w:val="20"/>
          <w:color w:val="auto"/>
        </w:rPr>
        <w:t>” means all claims, however asserted, by any Governmental Authority or other Person alleging potential liability or responsibility for violation of any Environmental Law, or for release of Hazardous Substances or injury to the environment.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federal, state or local Laws, statutes, common law duties, rules, regulations, ordinances and codes, together with all administrative orders, directed and enforceable duties, licenses, authorizations and permits of, and agreements with, any Governmental Authority, in each case relating to environmental matters.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11.25(a)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ESTR</w:t>
      </w:r>
      <w:r>
        <w:rPr>
          <w:rFonts w:ascii="Times New Roman" w:cs="Times New Roman" w:eastAsia="Times New Roman" w:hAnsi="Times New Roman"/>
          <w:sz w:val="20"/>
          <w:szCs w:val="20"/>
          <w:color w:val="FF0000"/>
          <w:strike w:val="1"/>
        </w:rPr>
        <w:t>” means, with respect to any Business Day, a rate per annum equal to the Euro Short Term Rate for such Business Day published by the ESTR Administrator on the ESTR Administrator’s Website.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ESTR Administrator</w:t>
      </w:r>
      <w:r>
        <w:rPr>
          <w:rFonts w:ascii="Times New Roman" w:cs="Times New Roman" w:eastAsia="Times New Roman" w:hAnsi="Times New Roman"/>
          <w:sz w:val="20"/>
          <w:szCs w:val="20"/>
          <w:color w:val="FF0000"/>
          <w:strike w:val="1"/>
        </w:rPr>
        <w:t>” means the European Central Bank (or any successor administrator of the Euro Short Term Rate).</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ESTR Administrator’s Website</w:t>
      </w:r>
      <w:r>
        <w:rPr>
          <w:rFonts w:ascii="Times New Roman" w:cs="Times New Roman" w:eastAsia="Times New Roman" w:hAnsi="Times New Roman"/>
          <w:sz w:val="20"/>
          <w:szCs w:val="20"/>
          <w:color w:val="FF0000"/>
          <w:strike w:val="1"/>
        </w:rPr>
        <w:t>” means the European Central Bank’s website, currently at http://www.ecb.europa.eu, or any successor source for the Euro Short Term Rate identified as such by the ESTR Administrator from time to time.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3" w:right="339" w:bottom="1440" w:gutter="0" w:footer="0" w:header="0"/>
        </w:sectPr>
      </w:pPr>
    </w:p>
    <w:bookmarkStart w:id="40" w:name="page41"/>
    <w:bookmarkEnd w:id="40"/>
    <w:p>
      <w:pPr>
        <w:jc w:val="both"/>
        <w:ind w:firstLine="648"/>
        <w:spacing w:after="0" w:line="251"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EURIBO Interpolated Rate</w:t>
      </w:r>
      <w:r>
        <w:rPr>
          <w:rFonts w:ascii="Times New Roman" w:cs="Times New Roman" w:eastAsia="Times New Roman" w:hAnsi="Times New Roman"/>
          <w:sz w:val="20"/>
          <w:szCs w:val="20"/>
          <w:color w:val="FF0000"/>
          <w:strike w:val="1"/>
        </w:rPr>
        <w:t xml:space="preserve">” means, at any time, with respect to any Eurocurrency Borrowing denominated in euro and for any Interest Period, the rate per annum (rounded to the same number of decimal places as the EURIBOR Screen Rate) determined by the Administrative Agent (which determination shall be conclusive and binding absent demonstrable error) to be equal to the rate that results from interpolating on a linear basis between: (a) the EURIBOR Screen Rate for the longest period (for which the EURIBOR Screen Rate is available for euro) that is shorter than the Impacted EURIBO Rate Interest Period; and (b) the EURIBOR Screen Rate for the shortest period (for which the EURIBOR Screen Rate is available for euro) that exceeds the Impacted EURIBO Rate Interest Period, in each case, at such time; provided that, if any EURIBO Interpolated </w:t>
      </w:r>
      <w:r>
        <w:rPr>
          <w:rFonts w:ascii="Times New Roman" w:cs="Times New Roman" w:eastAsia="Times New Roman" w:hAnsi="Times New Roman"/>
          <w:sz w:val="20"/>
          <w:szCs w:val="20"/>
          <w:color w:val="008000"/>
          <w:strike w:val="1"/>
        </w:rPr>
        <w:t>Rate as so determined would be less than</w:t>
      </w:r>
      <w:r>
        <w:rPr>
          <w:rFonts w:ascii="Times New Roman" w:cs="Times New Roman" w:eastAsia="Times New Roman" w:hAnsi="Times New Roman"/>
          <w:sz w:val="20"/>
          <w:szCs w:val="20"/>
          <w:color w:val="FF0000"/>
          <w:strike w:val="1"/>
        </w:rPr>
        <w:t xml:space="preserve"> zero, </w:t>
      </w:r>
      <w:r>
        <w:rPr>
          <w:rFonts w:ascii="Times New Roman" w:cs="Times New Roman" w:eastAsia="Times New Roman" w:hAnsi="Times New Roman"/>
          <w:sz w:val="20"/>
          <w:szCs w:val="20"/>
          <w:color w:val="008000"/>
          <w:strike w:val="1"/>
        </w:rPr>
        <w:t>such rate shall be deemed to be</w:t>
      </w:r>
      <w:r>
        <w:rPr>
          <w:rFonts w:ascii="Times New Roman" w:cs="Times New Roman" w:eastAsia="Times New Roman" w:hAnsi="Times New Roman"/>
          <w:sz w:val="20"/>
          <w:szCs w:val="20"/>
          <w:color w:val="FF0000"/>
          <w:strike w:val="1"/>
        </w:rPr>
        <w:t xml:space="preserve"> zero </w:t>
      </w:r>
      <w:r>
        <w:rPr>
          <w:rFonts w:ascii="Times New Roman" w:cs="Times New Roman" w:eastAsia="Times New Roman" w:hAnsi="Times New Roman"/>
          <w:sz w:val="20"/>
          <w:szCs w:val="20"/>
          <w:color w:val="008000"/>
          <w:strike w:val="1"/>
        </w:rPr>
        <w:t>for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purposes of this Agreement.</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EURIBO Rate</w:t>
      </w:r>
      <w:r>
        <w:rPr>
          <w:rFonts w:ascii="Times New Roman" w:cs="Times New Roman" w:eastAsia="Times New Roman" w:hAnsi="Times New Roman"/>
          <w:sz w:val="20"/>
          <w:szCs w:val="20"/>
          <w:color w:val="FF0000"/>
          <w:strike w:val="1"/>
        </w:rPr>
        <w:t>” means, with respect to any Eurocurrency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"EURIBO Rate" means, with respect to any Term Benchmark</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Borrowing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denominated in euro and for any Interest Period, the EURIBOR Screen Rate at approximately 11:00 a.m., Brussels time, two (2) TARGET2 Days prior to the commencement of such Interest Period</w:t>
      </w:r>
      <w:r>
        <w:rPr>
          <w:rFonts w:ascii="Times New Roman" w:cs="Times New Roman" w:eastAsia="Times New Roman" w:hAnsi="Times New Roman"/>
          <w:sz w:val="20"/>
          <w:szCs w:val="20"/>
          <w:color w:val="FF0000"/>
          <w:strike w:val="1"/>
        </w:rPr>
        <w:t>; provided that, if the EURIBOR Screen Rate shall not be available at such time for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such Interest Period (an “Impacted EURIBO Rate Interest Period”) with respect to euro then the EURIBO Rate shall be the EURIBO Interpolated Rate</w:t>
      </w:r>
      <w:r>
        <w:rPr>
          <w:rFonts w:ascii="Times New Roman" w:cs="Times New Roman" w:eastAsia="Times New Roman" w:hAnsi="Times New Roman"/>
          <w:sz w:val="20"/>
          <w:szCs w:val="20"/>
          <w:color w:val="000000"/>
          <w:strike w:val="1"/>
        </w:rPr>
        <w:t>.</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xml:space="preserve">” means, for any day and time, with respect to any </w:t>
      </w:r>
      <w:r>
        <w:rPr>
          <w:rFonts w:ascii="Times New Roman" w:cs="Times New Roman" w:eastAsia="Times New Roman" w:hAnsi="Times New Roman"/>
          <w:sz w:val="20"/>
          <w:szCs w:val="20"/>
          <w:color w:val="EE2724"/>
          <w:strike w:val="1"/>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Borrowing denominated in euro and for any Interest Period, the euro interbank offered rate administered by the European Money Markets Institute (or any other person which takes over the administration of such rate) for euro for the relevant period displayed on page EURIBOR01 of the Reuters screen (or any replacement Reuters page which displays that rate) or on the appropriate page of such other information service which publishes that rate from time to time in place of Reuters </w:t>
      </w:r>
      <w:r>
        <w:rPr>
          <w:rFonts w:ascii="Times New Roman" w:cs="Times New Roman" w:eastAsia="Times New Roman" w:hAnsi="Times New Roman"/>
          <w:sz w:val="20"/>
          <w:szCs w:val="20"/>
          <w:color w:val="0000FF"/>
        </w:rPr>
        <w:t>as published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at approximately 11:00 a.m.,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Brussels time, two (2) TARGET2 Days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prior to the commencement of such Interest Period</w:t>
      </w:r>
      <w:r>
        <w:rPr>
          <w:rFonts w:ascii="Times New Roman" w:cs="Times New Roman" w:eastAsia="Times New Roman" w:hAnsi="Times New Roman"/>
          <w:sz w:val="20"/>
          <w:szCs w:val="20"/>
          <w:color w:val="000000"/>
        </w:rPr>
        <w:t>. If such page or service ceases to be available, the Administrative Agent may specify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another page or service displaying the relevant rate after consultation with the Company. If the EURIBOR Screen Rate as so determined would be less than zero, such rate shall be deemed to be zero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-486410</wp:posOffset>
            </wp:positionV>
            <wp:extent cx="713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162"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u w:val="single" w:color="auto"/>
          <w:color w:val="auto"/>
        </w:rPr>
        <w:t>EUR</w:t>
      </w:r>
      <w:r>
        <w:rPr>
          <w:rFonts w:ascii="Times New Roman" w:cs="Times New Roman" w:eastAsia="Times New Roman" w:hAnsi="Times New Roman"/>
          <w:sz w:val="20"/>
          <w:szCs w:val="20"/>
          <w:color w:val="auto"/>
        </w:rPr>
        <w:t>” mean the lawful currency of the Participating Member States introduced in accordance with the EMU Legislation.</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Eurocurrency</w:t>
      </w:r>
      <w:r>
        <w:rPr>
          <w:rFonts w:ascii="Times New Roman" w:cs="Times New Roman" w:eastAsia="Times New Roman" w:hAnsi="Times New Roman"/>
          <w:sz w:val="20"/>
          <w:szCs w:val="20"/>
          <w:color w:val="FF0000"/>
          <w:strike w:val="1"/>
        </w:rPr>
        <w:t xml:space="preserve">”, when used in reference to a currency means an Agreed Currency (other than Sterling) and </w:t>
      </w:r>
      <w:r>
        <w:rPr>
          <w:rFonts w:ascii="Times New Roman" w:cs="Times New Roman" w:eastAsia="Times New Roman" w:hAnsi="Times New Roman"/>
          <w:sz w:val="20"/>
          <w:szCs w:val="20"/>
          <w:color w:val="008000"/>
          <w:strike w:val="1"/>
        </w:rPr>
        <w:t>when used in reference to</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any Loan or Borrowing, means that such Loan, or the Loans comprising such Borrowing, bears interest at a rate determined by reference to the Adjusted </w:t>
      </w:r>
      <w:r>
        <w:rPr>
          <w:rFonts w:ascii="Times New Roman" w:cs="Times New Roman" w:eastAsia="Times New Roman" w:hAnsi="Times New Roman"/>
          <w:sz w:val="20"/>
          <w:szCs w:val="20"/>
          <w:color w:val="FF0000"/>
          <w:strike w:val="1"/>
        </w:rPr>
        <w:t>LIBO Rate (except pursuant to clause (c) of the definition of “Base Rate”), the Adjusted EURIBO Rate or the Adjusted TIBO</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Rate.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Eurocurrency Base Rate</w:t>
      </w:r>
      <w:r>
        <w:rPr>
          <w:rFonts w:ascii="Times New Roman" w:cs="Times New Roman" w:eastAsia="Times New Roman" w:hAnsi="Times New Roman"/>
          <w:sz w:val="20"/>
          <w:szCs w:val="20"/>
          <w:color w:val="FF0000"/>
          <w:strike w:val="1"/>
        </w:rPr>
        <w:t>” means,</w:t>
      </w:r>
    </w:p>
    <w:p>
      <w:pPr>
        <w:spacing w:after="0" w:line="229" w:lineRule="exact"/>
        <w:rPr>
          <w:sz w:val="20"/>
          <w:szCs w:val="20"/>
          <w:color w:val="auto"/>
        </w:rPr>
      </w:pPr>
    </w:p>
    <w:p>
      <w:pPr>
        <w:ind w:left="1720" w:hanging="416"/>
        <w:spacing w:after="0"/>
        <w:tabs>
          <w:tab w:leader="none" w:pos="1720" w:val="left"/>
        </w:tabs>
        <w:numPr>
          <w:ilvl w:val="0"/>
          <w:numId w:val="22"/>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any Interest Period with respect to a Eurocurrency Rate Loan:</w:t>
      </w:r>
    </w:p>
    <w:p>
      <w:pPr>
        <w:spacing w:after="0" w:line="215" w:lineRule="exact"/>
        <w:rPr>
          <w:rFonts w:ascii="Times New Roman" w:cs="Times New Roman" w:eastAsia="Times New Roman" w:hAnsi="Times New Roman"/>
          <w:sz w:val="20"/>
          <w:szCs w:val="20"/>
          <w:color w:val="FF0000"/>
          <w:strike w:val="1"/>
        </w:rPr>
      </w:pPr>
    </w:p>
    <w:p>
      <w:pPr>
        <w:jc w:val="both"/>
        <w:ind w:left="1300" w:firstLine="652"/>
        <w:spacing w:after="0" w:line="257" w:lineRule="auto"/>
        <w:tabs>
          <w:tab w:leader="none" w:pos="2184" w:val="left"/>
        </w:tabs>
        <w:numPr>
          <w:ilvl w:val="1"/>
          <w:numId w:val="22"/>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in the case of any Eurocurrency Rate Loan denominated in Dollars, euro or Japanese Yen, as applicable, and when used in reference to any Loan or Borrowing, means that such Loan, or the </w:t>
      </w:r>
      <w:r>
        <w:rPr>
          <w:rFonts w:ascii="Times New Roman" w:cs="Times New Roman" w:eastAsia="Times New Roman" w:hAnsi="Times New Roman"/>
          <w:sz w:val="20"/>
          <w:szCs w:val="20"/>
          <w:color w:val="008000"/>
          <w:strike w:val="1"/>
        </w:rPr>
        <w:t>Loans comprising such Borrowing</w:t>
      </w:r>
      <w:r>
        <w:rPr>
          <w:rFonts w:ascii="Times New Roman" w:cs="Times New Roman" w:eastAsia="Times New Roman" w:hAnsi="Times New Roman"/>
          <w:sz w:val="20"/>
          <w:szCs w:val="20"/>
          <w:color w:val="FF0000"/>
          <w:strike w:val="1"/>
        </w:rPr>
        <w:t>, bears interest at a rate determined by reference to the LIBO Rate (except pursuant to clause (c) of the definition of “Base Rate”), the EURIBO Rate or the TIBO Rate, as applicable, as of the applicable Reference Time with a term equivalent to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3" w:right="339" w:bottom="1440" w:gutter="0" w:footer="0" w:header="0"/>
        </w:sectPr>
      </w:pPr>
    </w:p>
    <w:bookmarkStart w:id="41" w:name="page42"/>
    <w:bookmarkEnd w:id="41"/>
    <w:p>
      <w:pPr>
        <w:jc w:val="both"/>
        <w:ind w:left="1300" w:firstLine="652"/>
        <w:spacing w:after="0" w:line="253" w:lineRule="auto"/>
        <w:tabs>
          <w:tab w:leader="none" w:pos="2473" w:val="left"/>
        </w:tabs>
        <w:numPr>
          <w:ilvl w:val="0"/>
          <w:numId w:val="2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in the case of any Eurocurrency Rate Loan </w:t>
      </w:r>
      <w:r>
        <w:rPr>
          <w:rFonts w:ascii="Times New Roman" w:cs="Times New Roman" w:eastAsia="Times New Roman" w:hAnsi="Times New Roman"/>
          <w:sz w:val="20"/>
          <w:szCs w:val="20"/>
          <w:color w:val="008000"/>
          <w:strike w:val="1"/>
        </w:rPr>
        <w:t>denominated in Canadian Dollars</w:t>
      </w:r>
      <w:r>
        <w:rPr>
          <w:rFonts w:ascii="Times New Roman" w:cs="Times New Roman" w:eastAsia="Times New Roman" w:hAnsi="Times New Roman"/>
          <w:sz w:val="20"/>
          <w:szCs w:val="20"/>
          <w:color w:val="FF0000"/>
          <w:strike w:val="1"/>
        </w:rPr>
        <w:t>, the rate per annum equal to the Canadian Dealer Offered Rate, or a comparable or successor rate which rate is approved by the Administrative Agent, as published on the applicable Reuters screen page (or such other commercially available source providing such quotations as may be designated by the Administrative Agent from time to time) at or about 10:00 a.m. (Toronto, Ontario time) on the Rate Determination Date with a term equivalent to such Interest Period;</w:t>
      </w:r>
    </w:p>
    <w:p>
      <w:pPr>
        <w:spacing w:after="0" w:line="191" w:lineRule="exact"/>
        <w:rPr>
          <w:rFonts w:ascii="Times New Roman" w:cs="Times New Roman" w:eastAsia="Times New Roman" w:hAnsi="Times New Roman"/>
          <w:sz w:val="20"/>
          <w:szCs w:val="20"/>
          <w:color w:val="FF0000"/>
          <w:strike w:val="1"/>
        </w:rPr>
      </w:pPr>
    </w:p>
    <w:p>
      <w:pPr>
        <w:jc w:val="both"/>
        <w:ind w:left="1300" w:firstLine="652"/>
        <w:spacing w:after="0" w:line="253" w:lineRule="auto"/>
        <w:tabs>
          <w:tab w:leader="none" w:pos="2497" w:val="left"/>
        </w:tabs>
        <w:numPr>
          <w:ilvl w:val="0"/>
          <w:numId w:val="2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in the case of any Eurocurrency Rate Loan </w:t>
      </w:r>
      <w:r>
        <w:rPr>
          <w:rFonts w:ascii="Times New Roman" w:cs="Times New Roman" w:eastAsia="Times New Roman" w:hAnsi="Times New Roman"/>
          <w:sz w:val="20"/>
          <w:szCs w:val="20"/>
          <w:color w:val="008000"/>
          <w:strike w:val="1"/>
        </w:rPr>
        <w:t>denominated in Australian Dollars, the</w:t>
      </w:r>
      <w:r>
        <w:rPr>
          <w:rFonts w:ascii="Times New Roman" w:cs="Times New Roman" w:eastAsia="Times New Roman" w:hAnsi="Times New Roman"/>
          <w:sz w:val="20"/>
          <w:szCs w:val="20"/>
          <w:color w:val="FF0000"/>
          <w:strike w:val="1"/>
        </w:rPr>
        <w:t xml:space="preserve"> rate per annum equal to the Bank Bill Swap Reference Bid Rate, or a comparable or successor rate which rate is approved by the Administrative Agent, as published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0"/>
          <w:szCs w:val="20"/>
          <w:color w:val="008000"/>
          <w:strike w:val="1"/>
        </w:rPr>
        <w:t>at or about 10:30 a.m. (Melbourne, Australia time) on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the Rate Determination Date with a term equivalent to such Interest Period</w:t>
      </w:r>
      <w:r>
        <w:rPr>
          <w:rFonts w:ascii="Times New Roman" w:cs="Times New Roman" w:eastAsia="Times New Roman" w:hAnsi="Times New Roman"/>
          <w:sz w:val="20"/>
          <w:szCs w:val="20"/>
          <w:color w:val="FF0000"/>
          <w:strike w:val="1"/>
        </w:rPr>
        <w:t>;</w:t>
      </w:r>
    </w:p>
    <w:p>
      <w:pPr>
        <w:spacing w:after="0" w:line="191" w:lineRule="exact"/>
        <w:rPr>
          <w:rFonts w:ascii="Times New Roman" w:cs="Times New Roman" w:eastAsia="Times New Roman" w:hAnsi="Times New Roman"/>
          <w:sz w:val="20"/>
          <w:szCs w:val="20"/>
          <w:color w:val="FF0000"/>
          <w:strike w:val="1"/>
        </w:rPr>
      </w:pPr>
    </w:p>
    <w:p>
      <w:pPr>
        <w:ind w:left="1300" w:right="360" w:firstLine="652"/>
        <w:spacing w:after="0" w:line="261" w:lineRule="auto"/>
        <w:tabs>
          <w:tab w:leader="none" w:pos="2432" w:val="left"/>
        </w:tabs>
        <w:numPr>
          <w:ilvl w:val="0"/>
          <w:numId w:val="2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in the case of any other Eurocurrency Rate Loan </w:t>
      </w:r>
      <w:r>
        <w:rPr>
          <w:rFonts w:ascii="Times New Roman" w:cs="Times New Roman" w:eastAsia="Times New Roman" w:hAnsi="Times New Roman"/>
          <w:sz w:val="20"/>
          <w:szCs w:val="20"/>
          <w:color w:val="008000"/>
          <w:strike w:val="1"/>
        </w:rPr>
        <w:t>denominated in an Alternative Currency (other than those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specified above), the rate designated with respect to such Alternative Currency at the time such Alternative Currency is approved by the Administrative Agent and the Lenders pursuant to </w:t>
      </w:r>
      <w:r>
        <w:rPr>
          <w:rFonts w:ascii="Times New Roman" w:cs="Times New Roman" w:eastAsia="Times New Roman" w:hAnsi="Times New Roman"/>
          <w:sz w:val="20"/>
          <w:szCs w:val="20"/>
          <w:u w:val="single" w:color="auto"/>
          <w:color w:val="008000"/>
          <w:strike w:val="1"/>
        </w:rPr>
        <w:t>Section 1.07</w:t>
      </w:r>
      <w:r>
        <w:rPr>
          <w:rFonts w:ascii="Times New Roman" w:cs="Times New Roman" w:eastAsia="Times New Roman" w:hAnsi="Times New Roman"/>
          <w:sz w:val="20"/>
          <w:szCs w:val="20"/>
          <w:color w:val="FF0000"/>
          <w:strike w:val="1"/>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-829945</wp:posOffset>
            </wp:positionV>
            <wp:extent cx="2769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spacing w:after="0" w:line="161" w:lineRule="exact"/>
        <w:rPr>
          <w:sz w:val="20"/>
          <w:szCs w:val="20"/>
          <w:color w:val="auto"/>
        </w:rPr>
      </w:pPr>
    </w:p>
    <w:p>
      <w:pPr>
        <w:jc w:val="both"/>
        <w:ind w:left="660" w:firstLine="644"/>
        <w:spacing w:after="0" w:line="261" w:lineRule="auto"/>
        <w:tabs>
          <w:tab w:leader="none" w:pos="1793" w:val="left"/>
        </w:tabs>
        <w:numPr>
          <w:ilvl w:val="0"/>
          <w:numId w:val="2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any interest rate calculation with respect to a Base Rate Loan on any date, the rate per annum equal to the LIBO Rate, at approximately 11:00 a.m., London time determined two Business Days prior to such date for Dollar deposits being delivered in the London interbank market for deposits in Dollars with a term of one month commencing that day;</w:t>
      </w:r>
    </w:p>
    <w:p>
      <w:pPr>
        <w:spacing w:after="0" w:line="18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u w:val="single" w:color="auto"/>
          <w:color w:val="FF0000"/>
          <w:strike w:val="1"/>
        </w:rPr>
        <w:t xml:space="preserve">provided </w:t>
      </w:r>
      <w:r>
        <w:rPr>
          <w:rFonts w:ascii="Times New Roman" w:cs="Times New Roman" w:eastAsia="Times New Roman" w:hAnsi="Times New Roman"/>
          <w:sz w:val="20"/>
          <w:szCs w:val="20"/>
          <w:color w:val="FF0000"/>
          <w:strike w:val="1"/>
        </w:rPr>
        <w:t>that, other than with respect to clause (a)(i) above (which shall be subject to</w:t>
      </w:r>
      <w:r>
        <w:rPr>
          <w:rFonts w:ascii="Times New Roman" w:cs="Times New Roman" w:eastAsia="Times New Roman" w:hAnsi="Times New Roman"/>
          <w:sz w:val="20"/>
          <w:szCs w:val="20"/>
          <w:u w:val="single" w:color="auto"/>
          <w:color w:val="FF0000"/>
          <w:strike w:val="1"/>
        </w:rPr>
        <w:t xml:space="preserve"> Section 3.07</w:t>
      </w:r>
      <w:r>
        <w:rPr>
          <w:rFonts w:ascii="Times New Roman" w:cs="Times New Roman" w:eastAsia="Times New Roman" w:hAnsi="Times New Roman"/>
          <w:sz w:val="20"/>
          <w:szCs w:val="20"/>
          <w:color w:val="FF0000"/>
          <w:strike w:val="1"/>
        </w:rPr>
        <w:t>), (i) to the extent a comparable or</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 xml:space="preserve">successor rate is approved by the Administrative Agent in connection herewith, the approved rate shall be applied in a manner consistent with market practice;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FF0000"/>
          <w:strike w:val="1"/>
        </w:rPr>
        <w:t>further</w:t>
      </w:r>
      <w:r>
        <w:rPr>
          <w:rFonts w:ascii="Times New Roman" w:cs="Times New Roman" w:eastAsia="Times New Roman" w:hAnsi="Times New Roman"/>
          <w:sz w:val="20"/>
          <w:szCs w:val="20"/>
          <w:color w:val="FF0000"/>
          <w:strike w:val="1"/>
        </w:rPr>
        <w:t xml:space="preserve"> that to the extent such market practice is not administratively feasible for the Administrative Agent, such approved rate shall be applied as otherwise reasonably determined by the Administrative Agent and (ii) if the Eurocurrency Base Rate shall be less than zero, such rate shall be deemed zero for purposes of this Agreement.</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Eurocurrency Rate</w:t>
      </w:r>
      <w:r>
        <w:rPr>
          <w:rFonts w:ascii="Times New Roman" w:cs="Times New Roman" w:eastAsia="Times New Roman" w:hAnsi="Times New Roman"/>
          <w:sz w:val="20"/>
          <w:szCs w:val="20"/>
          <w:color w:val="FF0000"/>
          <w:strike w:val="1"/>
        </w:rPr>
        <w:t>” means, for any Interest Period with respect to any Eurocurrency Rate Loan, a rate per annum determined by the Administrative Agent equal to (a) the Eurocurrency Base Rate for such Eurocurrency Rate Loan for such Interest Period multiplied by (b) the Statutory Reserve Rate.</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Eurocurrency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8000"/>
        </w:rPr>
        <w:t>Loan</w:t>
      </w:r>
      <w:r>
        <w:rPr>
          <w:rFonts w:ascii="Times New Roman" w:cs="Times New Roman" w:eastAsia="Times New Roman" w:hAnsi="Times New Roman"/>
          <w:sz w:val="20"/>
          <w:szCs w:val="20"/>
          <w:color w:val="008000"/>
        </w:rPr>
        <w:t>” means a Loan that bears interest at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 rate based on clause (a) of the definition of “Eurocurrency Base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 xml:space="preserve">Rate.” </w:t>
      </w:r>
      <w:r>
        <w:rPr>
          <w:rFonts w:ascii="Times New Roman" w:cs="Times New Roman" w:eastAsia="Times New Roman" w:hAnsi="Times New Roman"/>
          <w:sz w:val="20"/>
          <w:szCs w:val="20"/>
          <w:color w:val="008000"/>
          <w:strike w:val="1"/>
        </w:rPr>
        <w:t>All Loans denominated in an Alternative Currency (other than Sterling) must be Eurocurrency Rate Loans, except as provided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in </w:t>
      </w:r>
      <w:r>
        <w:rPr>
          <w:rFonts w:ascii="Times New Roman" w:cs="Times New Roman" w:eastAsia="Times New Roman" w:hAnsi="Times New Roman"/>
          <w:sz w:val="20"/>
          <w:szCs w:val="20"/>
          <w:u w:val="single" w:color="auto"/>
          <w:color w:val="008000"/>
          <w:strike w:val="1"/>
        </w:rPr>
        <w:t>Section 2.04(a)</w:t>
      </w:r>
      <w:r>
        <w:rPr>
          <w:rFonts w:ascii="Times New Roman" w:cs="Times New Roman" w:eastAsia="Times New Roman" w:hAnsi="Times New Roman"/>
          <w:sz w:val="20"/>
          <w:szCs w:val="20"/>
          <w:color w:val="008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-392430</wp:posOffset>
            </wp:positionV>
            <wp:extent cx="22167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(i) each Subsidiary that is a captive insurance company, (ii) each Securitization Subsidiary, and (iii) each other Subsidiary (other than any Loan Party) having assets with a net book value of less than $2,000,000,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3" w:right="339" w:bottom="1440" w:gutter="0" w:footer="0" w:header="0"/>
        </w:sectPr>
      </w:pPr>
    </w:p>
    <w:bookmarkStart w:id="42" w:name="page43"/>
    <w:bookmarkEnd w:id="42"/>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Loan Party, any Swap Obligation if, and to the extent that, all or a portion of the Guaranty of such Loan Party of, or the grant under a Loan Document by such Loan Party of a security interest to secure, such Swap Obligation (or any guarantee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4.08</w:t>
      </w:r>
      <w:r>
        <w:rPr>
          <w:rFonts w:ascii="Times New Roman" w:cs="Times New Roman" w:eastAsia="Times New Roman" w:hAnsi="Times New Roman"/>
          <w:sz w:val="20"/>
          <w:szCs w:val="20"/>
          <w:color w:val="auto"/>
        </w:rPr>
        <w:t xml:space="preserve">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Hedging Agreement, such exclusion shall apply to only the portion of such Swap Obligation that is attributable to Hedging Agreements for which such Guaranty or security interest is or becomes illegal.</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or taxing authority subdivision thereof or therein)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19"/>
          <w:szCs w:val="19"/>
          <w:u w:val="single" w:color="auto"/>
          <w:color w:val="auto"/>
        </w:rPr>
        <w:t>Section 11.14</w:t>
      </w:r>
      <w:r>
        <w:rPr>
          <w:rFonts w:ascii="Times New Roman" w:cs="Times New Roman" w:eastAsia="Times New Roman" w:hAnsi="Times New Roman"/>
          <w:sz w:val="19"/>
          <w:szCs w:val="19"/>
          <w:color w:val="auto"/>
        </w:rPr>
        <w:t xml:space="preserve">) or (ii) such Lender changes its Lending Office, except in each case to the extent that, pursuant to </w:t>
      </w:r>
      <w:r>
        <w:rPr>
          <w:rFonts w:ascii="Times New Roman" w:cs="Times New Roman" w:eastAsia="Times New Roman" w:hAnsi="Times New Roman"/>
          <w:sz w:val="19"/>
          <w:szCs w:val="19"/>
          <w:u w:val="single" w:color="auto"/>
          <w:color w:val="auto"/>
        </w:rPr>
        <w:t>Section 3.01(a)(ii)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3.01(a)(iii)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3.01(c)</w:t>
      </w:r>
      <w:r>
        <w:rPr>
          <w:rFonts w:ascii="Times New Roman" w:cs="Times New Roman" w:eastAsia="Times New Roman" w:hAnsi="Times New Roman"/>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9"/>
          <w:szCs w:val="19"/>
          <w:u w:val="single" w:color="auto"/>
          <w:color w:val="auto"/>
        </w:rPr>
        <w:t>Section 3.01(e)</w:t>
      </w:r>
      <w:r>
        <w:rPr>
          <w:rFonts w:ascii="Times New Roman" w:cs="Times New Roman" w:eastAsia="Times New Roman" w:hAnsi="Times New Roman"/>
          <w:sz w:val="19"/>
          <w:szCs w:val="19"/>
          <w:color w:val="auto"/>
        </w:rPr>
        <w:t xml:space="preserve"> and (d) any U.S. federal withholding Taxes imposed pursuant to FATCA.</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xml:space="preserve">” means the chief financial officer, the chief executive </w:t>
      </w:r>
      <w:r>
        <w:rPr>
          <w:rFonts w:ascii="Times New Roman" w:cs="Times New Roman" w:eastAsia="Times New Roman" w:hAnsi="Times New Roman"/>
          <w:sz w:val="20"/>
          <w:szCs w:val="20"/>
          <w:u w:val="single" w:color="auto"/>
          <w:color w:val="0000FF"/>
        </w:rPr>
        <w:t>officer, the chief accounting</w:t>
      </w:r>
      <w:r>
        <w:rPr>
          <w:rFonts w:ascii="Times New Roman" w:cs="Times New Roman" w:eastAsia="Times New Roman" w:hAnsi="Times New Roman"/>
          <w:sz w:val="20"/>
          <w:szCs w:val="20"/>
          <w:color w:val="auto"/>
        </w:rPr>
        <w:t xml:space="preserve"> officer, the president, any senior vice president, the treasurer or any assistant treasurer of the Company.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means the Credit Agreement dated as of September 25, 2015 among the Company, various Subsidiaries of the Company, various financial institutions and Bank of America, N.A., as administrative agent, swing line lender and letter of credit issuer.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those letters of credit listed on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 842</w:t>
      </w:r>
      <w:r>
        <w:rPr>
          <w:rFonts w:ascii="Times New Roman" w:cs="Times New Roman" w:eastAsia="Times New Roman" w:hAnsi="Times New Roman"/>
          <w:sz w:val="20"/>
          <w:szCs w:val="20"/>
          <w:color w:val="auto"/>
        </w:rPr>
        <w:t>” means the Accounting Standards Codification of the Financial Accounting Standards Board, Accounting Standards Update 2016-02, Leases.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xml:space="preserve">” means Sections 1471 through 1474 of the Internal Revenue Code, as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(or any amended or successor version that is substantively comparable and not materially more onerous to comply with) and any current or future regulations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official interpretations thereof and any agreement entered into pursuant to Section 1471(b)(1) of the Internal Revenue Code.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equal to the weighted average of the rates on overnight federal funds transactions with members of the Federal Reserve System, as published by the </w:t>
      </w:r>
      <w:r>
        <w:rPr>
          <w:rFonts w:ascii="Times New Roman" w:cs="Times New Roman" w:eastAsia="Times New Roman" w:hAnsi="Times New Roman"/>
          <w:sz w:val="20"/>
          <w:szCs w:val="20"/>
          <w:color w:val="FF0000"/>
          <w:strike w:val="1"/>
        </w:rPr>
        <w:t>Federal Reserve Bank of New York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FRB</w:t>
      </w:r>
      <w:r>
        <w:rPr>
          <w:rFonts w:ascii="Times New Roman" w:cs="Times New Roman" w:eastAsia="Times New Roman" w:hAnsi="Times New Roman"/>
          <w:sz w:val="20"/>
          <w:szCs w:val="20"/>
          <w:color w:val="auto"/>
        </w:rPr>
        <w:t xml:space="preserve"> on the Business Day next succeeding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such day is not a Business Day, the Federal Funds Rate for such day shall be such rate on such transactions on the </w:t>
      </w:r>
      <w:r>
        <w:rPr>
          <w:rFonts w:ascii="Times New Roman" w:cs="Times New Roman" w:eastAsia="Times New Roman" w:hAnsi="Times New Roman"/>
          <w:sz w:val="20"/>
          <w:szCs w:val="20"/>
          <w:color w:val="FF0000"/>
          <w:strike w:val="1"/>
        </w:rPr>
        <w:t>immediately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next</w:t>
      </w:r>
      <w:r>
        <w:rPr>
          <w:rFonts w:ascii="Times New Roman" w:cs="Times New Roman" w:eastAsia="Times New Roman" w:hAnsi="Times New Roman"/>
          <w:sz w:val="20"/>
          <w:szCs w:val="20"/>
          <w:color w:val="auto"/>
        </w:rPr>
        <w:t xml:space="preserve"> preceding Business Day as so published on the next succeeding Business Day</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and (b) if no such rate is so published on such next succeeding Business Day, the Federal Funds Rate for such day shall be the average rate (rounded upward, if necessary, to a whole multiple of 1/100 of 1%) charged to BMO on such day on such transactions as determined by the Administrative Agent. </w:t>
      </w:r>
      <w:r>
        <w:rPr>
          <w:rFonts w:ascii="Times New Roman" w:cs="Times New Roman" w:eastAsia="Times New Roman" w:hAnsi="Times New Roman"/>
          <w:sz w:val="20"/>
          <w:szCs w:val="20"/>
          <w:u w:val="single" w:color="auto"/>
          <w:color w:val="0000FF"/>
        </w:rPr>
        <w:t xml:space="preserve">For the avoidance of doubt, if the Federal Funds </w:t>
      </w:r>
      <w:r>
        <w:rPr>
          <w:rFonts w:ascii="Times New Roman" w:cs="Times New Roman" w:eastAsia="Times New Roman" w:hAnsi="Times New Roman"/>
          <w:sz w:val="20"/>
          <w:szCs w:val="20"/>
          <w:u w:val="single" w:color="auto"/>
          <w:color w:val="008000"/>
        </w:rPr>
        <w:t>Rate shall be less than zero, such rate shall be deemed to be zero for</w:t>
      </w:r>
      <w:r>
        <w:rPr>
          <w:rFonts w:ascii="Times New Roman" w:cs="Times New Roman" w:eastAsia="Times New Roman" w:hAnsi="Times New Roman"/>
          <w:sz w:val="20"/>
          <w:szCs w:val="20"/>
          <w:u w:val="single" w:color="auto"/>
          <w:color w:val="0000FF"/>
        </w:rPr>
        <w:t xml:space="preserve"> purposes of this Agreement.</w:t>
      </w:r>
    </w:p>
    <w:p>
      <w:pPr>
        <w:spacing w:after="0" w:line="18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mandate letter, dated May 9, 2019 and accepted and agreed to on May 15, 2019, among the Company, the Administrative Agent and BMO Capital Markets Corp.</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First Amendment Effective Date</w:t>
      </w:r>
      <w:r>
        <w:rPr>
          <w:rFonts w:ascii="Times New Roman" w:cs="Times New Roman" w:eastAsia="Times New Roman" w:hAnsi="Times New Roman"/>
          <w:sz w:val="20"/>
          <w:szCs w:val="20"/>
          <w:color w:val="FF0000"/>
          <w:strike w:val="1"/>
        </w:rPr>
        <w:t>” means December 21, 2021.</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 fiscal quarter of a Fiscal Year.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the Company and its Subsidiaries, which period shall be the twelve-month period ending on July 31 of each year or, at the Company’s election, an alternative year-end date (so long as such election is consistent with the Company’s filings with the SEC).</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xml:space="preserve">” means the benchmark rate floor, if any, provided in this Agreement initially (as of the execution of this Agreement, the modification, amendment or renewal of this Agreement or otherwise) with respect to the </w:t>
      </w:r>
      <w:r>
        <w:rPr>
          <w:rFonts w:ascii="Times New Roman" w:cs="Times New Roman" w:eastAsia="Times New Roman" w:hAnsi="Times New Roman"/>
          <w:sz w:val="20"/>
          <w:szCs w:val="20"/>
          <w:u w:val="single" w:color="auto"/>
          <w:color w:val="0000FF"/>
        </w:rPr>
        <w:t>Base Rate, the</w:t>
      </w:r>
      <w:r>
        <w:rPr>
          <w:rFonts w:ascii="Times New Roman" w:cs="Times New Roman" w:eastAsia="Times New Roman" w:hAnsi="Times New Roman"/>
          <w:sz w:val="20"/>
          <w:szCs w:val="20"/>
          <w:color w:val="auto"/>
        </w:rPr>
        <w:t xml:space="preserve"> Relevant Rate </w:t>
      </w:r>
      <w:r>
        <w:rPr>
          <w:rFonts w:ascii="Times New Roman" w:cs="Times New Roman" w:eastAsia="Times New Roman" w:hAnsi="Times New Roman"/>
          <w:sz w:val="20"/>
          <w:szCs w:val="20"/>
          <w:color w:val="0000FF"/>
        </w:rPr>
        <w:t>or the Central Bank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Rate, as applicable</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As of the First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For the avoidance of doubt, as of the Second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Amendment Effective Date,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Floor is zero</w:t>
      </w:r>
      <w:r>
        <w:rPr>
          <w:rFonts w:ascii="Times New Roman" w:cs="Times New Roman" w:eastAsia="Times New Roman" w:hAnsi="Times New Roman"/>
          <w:sz w:val="20"/>
          <w:szCs w:val="20"/>
          <w:u w:val="single" w:color="auto"/>
          <w:color w:val="0000FF"/>
        </w:rPr>
        <w:t>initial Floor for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each of the Base Rate, the Relevant Rate and the Central Bank Rate shall be 0.00%</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6083935</wp:posOffset>
            </wp:positionH>
            <wp:positionV relativeFrom="paragraph">
              <wp:posOffset>-337185</wp:posOffset>
            </wp:positionV>
            <wp:extent cx="10528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 For purposes of this definition, (i) the United States, each State thereof and the District of Columbia shall be deemed to constitute a single jurisdiction and (ii) “Lender” shall include the L/C Issuer.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Loan Parties</w:t>
      </w:r>
      <w:r>
        <w:rPr>
          <w:rFonts w:ascii="Times New Roman" w:cs="Times New Roman" w:eastAsia="Times New Roman" w:hAnsi="Times New Roman"/>
          <w:sz w:val="20"/>
          <w:szCs w:val="20"/>
          <w:color w:val="auto"/>
        </w:rPr>
        <w:t>” means, collectively, the Foreign Subsidiaries of the Company that are Designated Borrowers.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 (or any successor thereto).</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the L/C Issuer, such Defaulting Lender’s Pro Rata Share of the Outstanding Amount of all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of Swing Line Loans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83" w:lineRule="auto"/>
        <w:rPr>
          <w:sz w:val="20"/>
          <w:szCs w:val="20"/>
          <w:color w:val="auto"/>
        </w:rPr>
      </w:pPr>
      <w:r>
        <w:rPr>
          <w:rFonts w:ascii="Times New Roman" w:cs="Times New Roman" w:eastAsia="Times New Roman" w:hAnsi="Times New Roman"/>
          <w:sz w:val="20"/>
          <w:szCs w:val="20"/>
          <w:color w:val="auto"/>
        </w:rPr>
        <w:t>than Swing Line Loans as to which such Defaulting Lender’s participation obligation has been reallocated to other Lenders in accordance with the terms hereof.</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financial statements of Foreign Subsidiaries (except to the extent included in the consolidated financial statements of the Company), “GAAP” shall mean the generally accepted accounting principles in the relevant foreign jurisdiction which are set forth from time to time in the opinions and pronouncements of the applicable accounting standards board (or similar agency) of such foreign jurisdiction which are applicable to the circumstances as of the date of determination.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 any nation or government, any state or other political subdivision thereof, any central bank (or similar monetary or regulatory authority) thereof and any entity exercising executive, legislative, judicial, regulatory or administrative functions of or pertaining to government (including any supra-national bodies such as the European Union or the European Central Bank) and (b) the National Association of Insurance Commissioners.</w:t>
      </w:r>
    </w:p>
    <w:p>
      <w:pPr>
        <w:spacing w:after="0" w:line="18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xml:space="preserve">” means (a) with respect to all Obligations, each Domestic Subsidiary of the Company that is not an Excluded Subsidiary and is identified as a “Guarantor” on the signature pages hereto and each other Person that joins as a Guarantor pursuant to </w:t>
      </w:r>
      <w:r>
        <w:rPr>
          <w:rFonts w:ascii="Times New Roman" w:cs="Times New Roman" w:eastAsia="Times New Roman" w:hAnsi="Times New Roman"/>
          <w:sz w:val="19"/>
          <w:szCs w:val="19"/>
          <w:u w:val="single" w:color="auto"/>
          <w:color w:val="auto"/>
        </w:rPr>
        <w:t>Section 7.16</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jc w:val="both"/>
        <w:ind w:firstLine="8"/>
        <w:spacing w:after="0" w:line="250" w:lineRule="auto"/>
        <w:tabs>
          <w:tab w:leader="none" w:pos="2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for purposes of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with respect to (i) the Obligations owing by the Designated Borrowers that are Foreign Subsidiaries, (ii) Obligations under any Hedging Agreement between any Loan Party or any Subsidiary and any Hedge Bank, (iii) Obligations under any Treasury Management Agreement between any Loan Party or any Subsidiary and any Treasury Management Bank and (iv) any Swap Obligation of a Specified Loan Party (determined before giving effect to </w:t>
      </w:r>
      <w:r>
        <w:rPr>
          <w:rFonts w:ascii="Times New Roman" w:cs="Times New Roman" w:eastAsia="Times New Roman" w:hAnsi="Times New Roman"/>
          <w:sz w:val="20"/>
          <w:szCs w:val="20"/>
          <w:u w:val="single" w:color="auto"/>
          <w:color w:val="auto"/>
        </w:rPr>
        <w:t>Sections 4.01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4.08</w:t>
      </w:r>
      <w:r>
        <w:rPr>
          <w:rFonts w:ascii="Times New Roman" w:cs="Times New Roman" w:eastAsia="Times New Roman" w:hAnsi="Times New Roman"/>
          <w:sz w:val="20"/>
          <w:szCs w:val="20"/>
          <w:color w:val="auto"/>
        </w:rPr>
        <w:t>) under the Guaranty, each Domestic Borrower, in each case, together with their successors and permitted assigns. For the avoidance of doubt, in no event shall a Foreign Subsidiary be a Guarantor.</w:t>
      </w:r>
    </w:p>
    <w:p>
      <w:pPr>
        <w:spacing w:after="0" w:line="18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the Guaranty made by the Guarantors in favor of the Administrative Agent and the other holders of the Obligations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Substances</w:t>
      </w:r>
      <w:r>
        <w:rPr>
          <w:rFonts w:ascii="Times New Roman" w:cs="Times New Roman" w:eastAsia="Times New Roman" w:hAnsi="Times New Roman"/>
          <w:sz w:val="20"/>
          <w:szCs w:val="20"/>
          <w:color w:val="auto"/>
        </w:rPr>
        <w:t>” means any hazardous waste, as defined by 42 U.S.C. §6903(5), any hazardous substance as defined by 42 U.S.C. §9601(14), any pollutant or contaminant as defined by 42 U.S.C. §9601(33) or any toxic substance, oil or hazardous material or other chemical or substance regulated by any Environmental Law, excluding household hazardous waste.</w:t>
      </w:r>
    </w:p>
    <w:p>
      <w:pPr>
        <w:spacing w:after="0" w:line="16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w:t>
      </w:r>
      <w:r>
        <w:rPr>
          <w:rFonts w:ascii="Times New Roman" w:cs="Times New Roman" w:eastAsia="Times New Roman" w:hAnsi="Times New Roman"/>
          <w:sz w:val="20"/>
          <w:szCs w:val="20"/>
          <w:color w:val="auto"/>
        </w:rPr>
        <w:t>” means (a) any interest rate, currency or commodity swap agreement, cap agreement or collar agreement, and any other agreement or arrangement designed to protect against fluctuations in interest rates, currency exchange rates or commodity prices,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3" w:right="339" w:bottom="1440" w:gutter="0" w:footer="0" w:header="0"/>
        </w:sectPr>
      </w:pPr>
    </w:p>
    <w:bookmarkStart w:id="45" w:name="page46"/>
    <w:bookmarkEnd w:id="45"/>
    <w:p>
      <w:pPr>
        <w:jc w:val="both"/>
        <w:spacing w:after="0" w:line="283" w:lineRule="auto"/>
        <w:rPr>
          <w:sz w:val="20"/>
          <w:szCs w:val="20"/>
          <w:color w:val="auto"/>
        </w:rPr>
      </w:pPr>
      <w:r>
        <w:rPr>
          <w:rFonts w:ascii="Times New Roman" w:cs="Times New Roman" w:eastAsia="Times New Roman" w:hAnsi="Times New Roman"/>
          <w:sz w:val="20"/>
          <w:szCs w:val="20"/>
          <w:color w:val="auto"/>
        </w:rPr>
        <w:t>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any Person that (i) at the time it enters into a Hedging Agreement, is a Lender or the Administrative Agent or an Affiliate of a Lender or the Administrative Agent, (ii) in the case of any Hedging Agreement in effect on or prior to the Closing Date, is, as of the Closing Date or within 30 days thereafter, a Lender or the Administrative Agent or an Affiliate of a Lender or the Administrative Agent and a party to a Hedging Agreement or (iii) within 30 days after the time it enters into the applicable Hedging Agreement, becomes a Lender, the Administrative Agent or an Affiliate of a Lender or the Administrative Agent, in each case, in its capacity as a party to such Hedging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the case of a Hedging Agreement with a Person who is no longer a Lender (or Affiliate of a Lender), such Person shall be considered a Hedge Bank only through the stated termination date (without extension or renewal) of such Hedging Agreement.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means, with respect to any Person, all liabilities of such Person under Hedging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means international accounting standards within the meaning of IAS Regulation 1606/2002 to the extent applicable to the relevant financial statements delivered under or referred to herein.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Impacted EURIBO Rate Interest Period</w:t>
      </w:r>
      <w:r>
        <w:rPr>
          <w:rFonts w:ascii="Times New Roman" w:cs="Times New Roman" w:eastAsia="Times New Roman" w:hAnsi="Times New Roman"/>
          <w:sz w:val="20"/>
          <w:szCs w:val="20"/>
          <w:color w:val="FF0000"/>
          <w:strike w:val="1"/>
        </w:rPr>
        <w:t>” has the meaning assigned to such term in the definition of “EURIBO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Impacted LIBO Rate Interest Period</w:t>
      </w:r>
      <w:r>
        <w:rPr>
          <w:rFonts w:ascii="Times New Roman" w:cs="Times New Roman" w:eastAsia="Times New Roman" w:hAnsi="Times New Roman"/>
          <w:sz w:val="20"/>
          <w:szCs w:val="20"/>
          <w:color w:val="FF0000"/>
          <w:strike w:val="1"/>
        </w:rPr>
        <w:t>” has the meaning assigned to such term in the definition of “LIBO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Impacted TIBO Rate Interest Period</w:t>
      </w:r>
      <w:r>
        <w:rPr>
          <w:rFonts w:ascii="Times New Roman" w:cs="Times New Roman" w:eastAsia="Times New Roman" w:hAnsi="Times New Roman"/>
          <w:sz w:val="20"/>
          <w:szCs w:val="20"/>
          <w:color w:val="FF0000"/>
          <w:strike w:val="1"/>
        </w:rPr>
        <w:t>” has the meaning assigned to such term in the definition of “TIBO Rate.”</w:t>
      </w:r>
    </w:p>
    <w:p>
      <w:pPr>
        <w:spacing w:after="0" w:line="21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clause (a), Other Taxes, other than Excluded Taxes.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Auditor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Interest Period for a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 exceeds three months, the respective dates that fall every three months after the beginning of such Interest Period shall also be Interest Payment Dates; (b) as to any Base Rate Loan (including a Swing Line Loan), the last Business Day of each March, June, September and December and the Maturity Date; and (c) as to any RFR Loan, each date that is on the numerically corresponding day in each calendar month that is one month after the Borrowing of such RFR Loan and the Maturity Date (or, if there is no such numerically corresponding day in such month, then the last day of such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3" w:right="339" w:bottom="1440" w:gutter="0" w:footer="0" w:header="0"/>
        </w:sectPr>
      </w:pPr>
    </w:p>
    <w:bookmarkStart w:id="46" w:name="page47"/>
    <w:bookmarkEnd w:id="46"/>
    <w:p>
      <w:pPr>
        <w:spacing w:after="0" w:line="21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as to each </w:t>
      </w:r>
      <w:r>
        <w:rPr>
          <w:rFonts w:ascii="Times New Roman" w:cs="Times New Roman" w:eastAsia="Times New Roman" w:hAnsi="Times New Roman"/>
          <w:sz w:val="19"/>
          <w:szCs w:val="19"/>
          <w:color w:val="EE2724"/>
          <w:strike w:val="1"/>
        </w:rPr>
        <w:t>Eurocurrency 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auto"/>
        </w:rPr>
        <w:t xml:space="preserve"> Loan, the period commencing on the date such </w:t>
      </w:r>
      <w:r>
        <w:rPr>
          <w:rFonts w:ascii="Times New Roman" w:cs="Times New Roman" w:eastAsia="Times New Roman" w:hAnsi="Times New Roman"/>
          <w:sz w:val="19"/>
          <w:szCs w:val="19"/>
          <w:color w:val="EE2724"/>
          <w:strike w:val="1"/>
        </w:rPr>
        <w:t>Eurocurrency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Rate</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Loan is disbursed or converted to or continued as a</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EE2724"/>
          <w:strike w:val="1"/>
        </w:rPr>
        <w:t>Eurocurrency Rate</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Loan and ending on the</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FF0000"/>
          <w:strike w:val="1"/>
        </w:rPr>
        <w:t>date</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FF0000"/>
          <w:strike w:val="1"/>
        </w:rPr>
        <w:t>seven days or one, two</w:t>
      </w:r>
      <w:r>
        <w:rPr>
          <w:rFonts w:ascii="Times New Roman" w:cs="Times New Roman" w:eastAsia="Times New Roman" w:hAnsi="Times New Roman"/>
          <w:sz w:val="19"/>
          <w:szCs w:val="19"/>
          <w:u w:val="single" w:color="auto"/>
          <w:color w:val="0000FF"/>
        </w:rPr>
        <w:t>numerically corresponding day in the calendar month that is one</w:t>
      </w:r>
      <w:r>
        <w:rPr>
          <w:rFonts w:ascii="Times New Roman" w:cs="Times New Roman" w:eastAsia="Times New Roman" w:hAnsi="Times New Roman"/>
          <w:sz w:val="19"/>
          <w:szCs w:val="19"/>
          <w:color w:val="000000"/>
        </w:rPr>
        <w:t>, three or six months thereafter (or such other period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as all Lenders may agree) (in each case, subject to availability) as selected by the applicable Borrower in its Loan Notice;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w:t>
      </w:r>
    </w:p>
    <w:p>
      <w:pPr>
        <w:spacing w:after="0" w:line="156" w:lineRule="exact"/>
        <w:rPr>
          <w:sz w:val="20"/>
          <w:szCs w:val="20"/>
          <w:color w:val="auto"/>
        </w:rPr>
      </w:pPr>
    </w:p>
    <w:p>
      <w:pPr>
        <w:jc w:val="both"/>
        <w:ind w:left="660" w:firstLine="644"/>
        <w:spacing w:after="0" w:line="268" w:lineRule="auto"/>
        <w:tabs>
          <w:tab w:leader="none" w:pos="183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161"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86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81"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 and</w:t>
      </w:r>
    </w:p>
    <w:p>
      <w:pPr>
        <w:spacing w:after="0" w:line="229" w:lineRule="exact"/>
        <w:rPr>
          <w:rFonts w:ascii="Times New Roman" w:cs="Times New Roman" w:eastAsia="Times New Roman" w:hAnsi="Times New Roman"/>
          <w:sz w:val="20"/>
          <w:szCs w:val="20"/>
          <w:color w:val="auto"/>
        </w:rPr>
      </w:pPr>
    </w:p>
    <w:p>
      <w:pPr>
        <w:ind w:left="1640" w:hanging="336"/>
        <w:spacing w:after="0"/>
        <w:tabs>
          <w:tab w:leader="none" w:pos="1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tenor that has been removed from this definition pursuant to Section 3.07(e) shall be available.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 Revenue Code</w:t>
      </w:r>
      <w:r>
        <w:rPr>
          <w:rFonts w:ascii="Times New Roman" w:cs="Times New Roman" w:eastAsia="Times New Roman" w:hAnsi="Times New Roman"/>
          <w:sz w:val="20"/>
          <w:szCs w:val="20"/>
          <w:color w:val="auto"/>
        </w:rPr>
        <w:t>” means the Internal Revenue Code of 1986.</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means, as to any Person, any acquisition or investment by such Person, whether by means of (a) the purchase or other acquisition of Capital Stock of another Person, (b) a loan, advance or capital contribution to, incurrence of Suretyship Liability in respect of, or assumption of debt of, or purchase or other acquisition of any other debt or equity participation or interest in, another Person, including any partnership or joint venture interest in such other Person, or (c) an Acquisition. For purposes of covenant compliance, the amount of any Investment shall be the amount actually invested, without adjustment for subsequent increases or decreases in the value of such Investment.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ISDA Definitions</w:t>
      </w:r>
      <w:r>
        <w:rPr>
          <w:rFonts w:ascii="Times New Roman" w:cs="Times New Roman" w:eastAsia="Times New Roman" w:hAnsi="Times New Roman"/>
          <w:sz w:val="20"/>
          <w:szCs w:val="20"/>
          <w:color w:val="FF0000"/>
          <w:strike w:val="1"/>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applicable Borrower (or any Subsidiary) or in favor of the L/C Issuer and relating to any such Letter of Credit.</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7.16</w:t>
      </w:r>
      <w:r>
        <w:rPr>
          <w:rFonts w:ascii="Times New Roman" w:cs="Times New Roman" w:eastAsia="Times New Roman" w:hAnsi="Times New Roman"/>
          <w:sz w:val="20"/>
          <w:szCs w:val="20"/>
          <w:color w:val="auto"/>
        </w:rPr>
        <w:t xml:space="preserve"> executed and delivered by a Domestic Subsidiary in accordance with the provisions of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47" w:name="page48"/>
    <w:bookmarkEnd w:id="47"/>
    <w:p>
      <w:pPr>
        <w:jc w:val="both"/>
        <w:ind w:firstLine="648"/>
        <w:spacing w:after="0" w:line="253" w:lineRule="auto"/>
        <w:rPr>
          <w:sz w:val="20"/>
          <w:szCs w:val="20"/>
          <w:color w:val="auto"/>
        </w:rPr>
      </w:pPr>
      <w:r>
        <w:rPr>
          <w:rFonts w:ascii="Times New Roman" w:cs="Times New Roman" w:eastAsia="Times New Roman" w:hAnsi="Times New Roman"/>
          <w:sz w:val="20"/>
          <w:szCs w:val="20"/>
          <w:color w:val="008000"/>
          <w:strike w:val="1"/>
        </w:rPr>
        <w:t>“</w:t>
      </w:r>
      <w:r>
        <w:rPr>
          <w:rFonts w:ascii="Times New Roman" w:cs="Times New Roman" w:eastAsia="Times New Roman" w:hAnsi="Times New Roman"/>
          <w:sz w:val="20"/>
          <w:szCs w:val="20"/>
          <w:u w:val="single" w:color="auto"/>
          <w:color w:val="008000"/>
          <w:strike w:val="1"/>
        </w:rPr>
        <w:t>Laws</w:t>
      </w:r>
      <w:r>
        <w:rPr>
          <w:rFonts w:ascii="Times New Roman" w:cs="Times New Roman" w:eastAsia="Times New Roman" w:hAnsi="Times New Roman"/>
          <w:sz w:val="20"/>
          <w:szCs w:val="20"/>
          <w:color w:val="008000"/>
          <w:strike w:val="1"/>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an agreement where a Governmental Authority is an account obligor), in each case whether or not having the force of Law.</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Lender, such Lender’s funding of its participation in any L/C Borrowing in accordance with its Pro Rata Share. All L/C Advances shall be denominated in Dollars.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Borrowing of Revolving Loans. All L/C Borrowings shall be denominated in Dollars.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each of BMO and Bank of America, in each case through itself or through one of its designated Affiliates or branch offices, in its capacity as an issuer of Letters of Credit hereunder, or any successor issuer of Letters of Credit hereunder. The term “L/C Issuer” when used with respect to a Letter of Credit or the L/C Obligations relating to a Letter of Credit shall refer to the L/C Issuer that issued such Letter of Credit.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undrawn amount of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008000"/>
        </w:rPr>
        <w:t>“</w:t>
      </w:r>
      <w:r>
        <w:rPr>
          <w:rFonts w:ascii="Times New Roman" w:cs="Times New Roman" w:eastAsia="Times New Roman" w:hAnsi="Times New Roman"/>
          <w:sz w:val="20"/>
          <w:szCs w:val="20"/>
          <w:u w:val="single" w:color="auto"/>
          <w:color w:val="008000"/>
        </w:rPr>
        <w:t>Laws” means, collectively, all international, foreign, federal, state and local statutes, treaties, rules, guidelines, regulations,</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u w:val="single" w:color="auto"/>
          <w:color w:val="008000"/>
        </w:rPr>
        <w:t>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an agreement where a Governmental Authority is an account obligor), in each case whether or not having the force of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11.25(a)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each of the Persons identified as a “Lender” on the signature pages hereto, each other Person that becomes a “Lender” in accordance with this Agreement and their successors and assigns and, unless the context requires otherwise, includes the Swing Line Lender and any foreign branch or Affiliate of a Lender as is referenced in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branch or Affiliate of such Lender described as such in such Lender’s Administrative Questionnaire, or such other office or offices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3"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20"/>
          <w:szCs w:val="20"/>
          <w:color w:val="auto"/>
        </w:rPr>
        <w:t>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hereunder providing for the payment of cash upon the honoring of a presentation thereunder and shall include the Existing Letters of Credit. A Letter of Credit may be a commercial letter of credit or a standby letter of credit.</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 with such modifications as the Company and the L/C Issuer may reasonably approve.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days prior to the Maturity Date then in effect (or, if such day is not a Business Day, the immediately preceding Business Day).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an amount equal to the lesser of (a) the Aggregate Revolving Commitments and (b) $25,000,000.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Letter of Credit Sublimit is part of, and not in addition to, the Aggregate Revolving Commitments.</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LIBO Interpolated Rate</w:t>
      </w:r>
      <w:r>
        <w:rPr>
          <w:rFonts w:ascii="Times New Roman" w:cs="Times New Roman" w:eastAsia="Times New Roman" w:hAnsi="Times New Roman"/>
          <w:sz w:val="20"/>
          <w:szCs w:val="20"/>
          <w:color w:val="FF0000"/>
          <w:strike w:val="1"/>
        </w:rPr>
        <w:t>” means, at any time, with respect to any Eurocurrency Borrowing denominated in Dollars and for any Interest Period, the rate per annum (rounded to the same number of decimal places as the LIBOR Screen Rate) determined by the Administrative Agent (which determination shall be conclusive and binding absent demonstrable error) to be equal to the rate that results from interpolating on a linear basis between: (a) the LIBOR Screen Rate for the longest period (for which the LIBOR Screen Rate is available for Dollars) that is shorter than the Impacted LIBO Rate Interest Period; and (b) the LIBOR Screen Rate for the shortest period (for which the LIBOR Screen Rate is available for Dollars) that exceeds the Impacted LIBO Rate Interest Period, in each case, at such time; provided that if any LIBO Interpolated Rate shall be less than zero, such rate shall be deemed to be zero for the purposes of this Agreement.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LIBOR</w:t>
      </w:r>
      <w:r>
        <w:rPr>
          <w:rFonts w:ascii="Times New Roman" w:cs="Times New Roman" w:eastAsia="Times New Roman" w:hAnsi="Times New Roman"/>
          <w:sz w:val="20"/>
          <w:szCs w:val="20"/>
          <w:color w:val="FF0000"/>
          <w:strike w:val="1"/>
        </w:rPr>
        <w:t xml:space="preserve">” has the meaning specified in </w:t>
      </w:r>
      <w:r>
        <w:rPr>
          <w:rFonts w:ascii="Times New Roman" w:cs="Times New Roman" w:eastAsia="Times New Roman" w:hAnsi="Times New Roman"/>
          <w:sz w:val="20"/>
          <w:szCs w:val="20"/>
          <w:u w:val="single" w:color="auto"/>
          <w:color w:val="FF0000"/>
          <w:strike w:val="1"/>
        </w:rPr>
        <w:t>Section 1.12</w:t>
      </w:r>
      <w:r>
        <w:rPr>
          <w:rFonts w:ascii="Times New Roman" w:cs="Times New Roman" w:eastAsia="Times New Roman" w:hAnsi="Times New Roman"/>
          <w:sz w:val="20"/>
          <w:szCs w:val="20"/>
          <w:color w:val="FF0000"/>
          <w:strike w:val="1"/>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LIBO Rate</w:t>
      </w:r>
      <w:r>
        <w:rPr>
          <w:rFonts w:ascii="Times New Roman" w:cs="Times New Roman" w:eastAsia="Times New Roman" w:hAnsi="Times New Roman"/>
          <w:sz w:val="20"/>
          <w:szCs w:val="20"/>
          <w:color w:val="FF0000"/>
          <w:strike w:val="1"/>
        </w:rPr>
        <w:t>” means, with respect to any Eurocurrency Borrowing denominated in Dollars and for any Interest Period, the LIBOR Screen Rate at approximately 11:00 a.m., London time, two (2) Business Days prior to the commencement of such Interest Period; provided that if the LIBOR Screen Rate shall not be available at such time for such Interest Period (an “</w:t>
      </w:r>
      <w:r>
        <w:rPr>
          <w:rFonts w:ascii="Times New Roman" w:cs="Times New Roman" w:eastAsia="Times New Roman" w:hAnsi="Times New Roman"/>
          <w:sz w:val="20"/>
          <w:szCs w:val="20"/>
          <w:u w:val="single" w:color="auto"/>
          <w:color w:val="FF0000"/>
          <w:strike w:val="1"/>
        </w:rPr>
        <w:t>Impacted LIBO Rate Interest Period</w:t>
      </w:r>
      <w:r>
        <w:rPr>
          <w:rFonts w:ascii="Times New Roman" w:cs="Times New Roman" w:eastAsia="Times New Roman" w:hAnsi="Times New Roman"/>
          <w:sz w:val="20"/>
          <w:szCs w:val="20"/>
          <w:color w:val="FF0000"/>
          <w:strike w:val="1"/>
        </w:rPr>
        <w:t>”) with respect to Dollars then the LIBO Rate shall be the LIBO Interpolated Rate.</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LIBOR Screen Rate</w:t>
      </w:r>
      <w:r>
        <w:rPr>
          <w:rFonts w:ascii="Times New Roman" w:cs="Times New Roman" w:eastAsia="Times New Roman" w:hAnsi="Times New Roman"/>
          <w:sz w:val="20"/>
          <w:szCs w:val="20"/>
          <w:color w:val="FF0000"/>
          <w:strike w:val="1"/>
        </w:rPr>
        <w:t xml:space="preserve">” means, for any day and time, with respect to any Eurocurrency Borrowing denominated in Dollars and for any Interest Period, LIBOR as administered by ICE Benchmark Administration (or any other Person that takes over the administration of such rate) for Dollars for a period </w:t>
      </w:r>
      <w:r>
        <w:rPr>
          <w:rFonts w:ascii="Times New Roman" w:cs="Times New Roman" w:eastAsia="Times New Roman" w:hAnsi="Times New Roman"/>
          <w:sz w:val="20"/>
          <w:szCs w:val="20"/>
          <w:color w:val="008000"/>
          <w:strike w:val="1"/>
        </w:rPr>
        <w:t>equal in length to such Interest Period as displayed on</w:t>
      </w:r>
      <w:r>
        <w:rPr>
          <w:rFonts w:ascii="Times New Roman" w:cs="Times New Roman" w:eastAsia="Times New Roman" w:hAnsi="Times New Roman"/>
          <w:sz w:val="20"/>
          <w:szCs w:val="20"/>
          <w:color w:val="FF0000"/>
          <w:strike w:val="1"/>
        </w:rPr>
        <w:t xml:space="preserve"> such day and time on pages LIBOR01 or LIBOR02 of the Reuters screen that displays such rate </w:t>
      </w:r>
      <w:r>
        <w:rPr>
          <w:rFonts w:ascii="Times New Roman" w:cs="Times New Roman" w:eastAsia="Times New Roman" w:hAnsi="Times New Roman"/>
          <w:sz w:val="20"/>
          <w:szCs w:val="20"/>
          <w:color w:val="008000"/>
          <w:strike w:val="1"/>
        </w:rPr>
        <w:t>(or, in the event such rate does not appear on</w:t>
      </w:r>
      <w:r>
        <w:rPr>
          <w:rFonts w:ascii="Times New Roman" w:cs="Times New Roman" w:eastAsia="Times New Roman" w:hAnsi="Times New Roman"/>
          <w:sz w:val="20"/>
          <w:szCs w:val="20"/>
          <w:color w:val="FF0000"/>
          <w:strike w:val="1"/>
        </w:rPr>
        <w:t xml:space="preserve"> a Reuters page or screen</w:t>
      </w:r>
      <w:r>
        <w:rPr>
          <w:rFonts w:ascii="Times New Roman" w:cs="Times New Roman" w:eastAsia="Times New Roman" w:hAnsi="Times New Roman"/>
          <w:sz w:val="20"/>
          <w:szCs w:val="20"/>
          <w:color w:val="008000"/>
          <w:strike w:val="1"/>
        </w:rPr>
        <w:t>, on any successor or substitute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page on such screen that displays such rate, or on the appropriate page of such other information service that publishes such rate </w:t>
      </w:r>
      <w:r>
        <w:rPr>
          <w:rFonts w:ascii="Times New Roman" w:cs="Times New Roman" w:eastAsia="Times New Roman" w:hAnsi="Times New Roman"/>
          <w:sz w:val="20"/>
          <w:szCs w:val="20"/>
          <w:color w:val="FF0000"/>
          <w:strike w:val="1"/>
        </w:rPr>
        <w:t>from time to</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time as s</w:t>
      </w:r>
      <w:r>
        <w:rPr>
          <w:rFonts w:ascii="Times New Roman" w:cs="Times New Roman" w:eastAsia="Times New Roman" w:hAnsi="Times New Roman"/>
          <w:sz w:val="20"/>
          <w:szCs w:val="20"/>
          <w:color w:val="008000"/>
          <w:strike w:val="1"/>
        </w:rPr>
        <w:t>elected by the Administrative Agent in its reasonable discretion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if the LIBOR Screen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008000"/>
          <w:strike w:val="1"/>
        </w:rPr>
        <w:t>Rate as so determined would be less than</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FF0000"/>
          <w:strike w:val="1"/>
        </w:rPr>
        <w:t>zero</w:t>
      </w:r>
      <w:r>
        <w:rPr>
          <w:rFonts w:ascii="Times New Roman" w:cs="Times New Roman" w:eastAsia="Times New Roman" w:hAnsi="Times New Roman"/>
          <w:sz w:val="20"/>
          <w:szCs w:val="20"/>
          <w:color w:val="008000"/>
          <w:strike w:val="1"/>
        </w:rPr>
        <w:t>, such rate shall be deemed to be</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FF0000"/>
          <w:strike w:val="1"/>
        </w:rPr>
        <w:t>zero</w:t>
      </w:r>
      <w:r>
        <w:rPr>
          <w:rFonts w:ascii="Times New Roman" w:cs="Times New Roman" w:eastAsia="Times New Roman" w:hAnsi="Times New Roman"/>
          <w:sz w:val="20"/>
          <w:szCs w:val="20"/>
          <w:color w:val="008000"/>
        </w:rPr>
        <w:t xml:space="preserve">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-62230</wp:posOffset>
            </wp:positionV>
            <wp:extent cx="18110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11020" cy="8255"/>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for security purposes, deposit arrangement,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(but excluding the interest of a lessor under an operating lease)).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a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Revolving Loan or a Swing Line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each Note, each Issuer Document, each Designated Borrower </w:t>
      </w:r>
      <w:r>
        <w:rPr>
          <w:rFonts w:ascii="Times New Roman" w:cs="Times New Roman" w:eastAsia="Times New Roman" w:hAnsi="Times New Roman"/>
          <w:sz w:val="20"/>
          <w:szCs w:val="20"/>
          <w:color w:val="FF0000"/>
          <w:strike w:val="1"/>
        </w:rPr>
        <w:t>Request and Assumption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Joinder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Agreement, each Joinder Agreement, any agreement entered into by a Loan Party creating or perfecting rights in Cash Collateral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pursuant to the provisions of </w:t>
      </w:r>
      <w:r>
        <w:rPr>
          <w:rFonts w:ascii="Times New Roman" w:cs="Times New Roman" w:eastAsia="Times New Roman" w:hAnsi="Times New Roman"/>
          <w:sz w:val="20"/>
          <w:szCs w:val="20"/>
          <w:u w:val="single" w:color="auto"/>
          <w:color w:val="000000"/>
        </w:rPr>
        <w:t>Section 2.16</w:t>
      </w:r>
      <w:r>
        <w:rPr>
          <w:rFonts w:ascii="Times New Roman" w:cs="Times New Roman" w:eastAsia="Times New Roman" w:hAnsi="Times New Roman"/>
          <w:sz w:val="20"/>
          <w:szCs w:val="20"/>
          <w:color w:val="000000"/>
        </w:rPr>
        <w:t xml:space="preserve"> and the Fee Letter.</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xml:space="preserve">” means a notice of (a) a Borrowing of Revolving Loans, (b) a conversion of Loans from one Type to the other, or (c) a continuation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or RFR Loans, in each case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2.02</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each Borrower and each Guarantor.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w:t>
      </w:r>
      <w:r>
        <w:rPr>
          <w:rFonts w:ascii="Times New Roman" w:cs="Times New Roman" w:eastAsia="Times New Roman" w:hAnsi="Times New Roman"/>
          <w:sz w:val="20"/>
          <w:szCs w:val="20"/>
          <w:color w:val="auto"/>
        </w:rPr>
        <w:t>” means the Grand Duchy of Luxembourg.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Companies Register</w:t>
      </w:r>
      <w:r>
        <w:rPr>
          <w:rFonts w:ascii="Times New Roman" w:cs="Times New Roman" w:eastAsia="Times New Roman" w:hAnsi="Times New Roman"/>
          <w:sz w:val="20"/>
          <w:szCs w:val="20"/>
          <w:color w:val="auto"/>
        </w:rPr>
        <w:t>” means the Luxembourg Register of Commerce and Companies.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Insolvency Event</w:t>
      </w:r>
      <w:r>
        <w:rPr>
          <w:rFonts w:ascii="Times New Roman" w:cs="Times New Roman" w:eastAsia="Times New Roman" w:hAnsi="Times New Roman"/>
          <w:sz w:val="20"/>
          <w:szCs w:val="20"/>
          <w:color w:val="auto"/>
        </w:rPr>
        <w:t>” means, in relation to a Luxembourg Loan Party or any of its assets, any corporate action, legal proceedings or other procedure or step in relation to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insolvency, liquidation, composition with creditors (</w:t>
      </w:r>
      <w:r>
        <w:rPr>
          <w:rFonts w:ascii="Times New Roman" w:cs="Times New Roman" w:eastAsia="Times New Roman" w:hAnsi="Times New Roman"/>
          <w:sz w:val="20"/>
          <w:szCs w:val="20"/>
          <w:i w:val="1"/>
          <w:iCs w:val="1"/>
          <w:color w:val="auto"/>
        </w:rPr>
        <w:t>concordat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préventif de faillite</w:t>
      </w:r>
      <w:r>
        <w:rPr>
          <w:rFonts w:ascii="Times New Roman" w:cs="Times New Roman" w:eastAsia="Times New Roman" w:hAnsi="Times New Roman"/>
          <w:sz w:val="20"/>
          <w:szCs w:val="20"/>
          <w:color w:val="auto"/>
        </w:rPr>
        <w:t>), moratorium or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controlled management (</w:t>
      </w:r>
      <w:r>
        <w:rPr>
          <w:rFonts w:ascii="Times New Roman" w:cs="Times New Roman" w:eastAsia="Times New Roman" w:hAnsi="Times New Roman"/>
          <w:sz w:val="20"/>
          <w:szCs w:val="20"/>
          <w:i w:val="1"/>
          <w:iCs w:val="1"/>
          <w:color w:val="auto"/>
        </w:rPr>
        <w:t>gestion contrôlée</w:t>
      </w:r>
      <w:r>
        <w:rPr>
          <w:rFonts w:ascii="Times New Roman" w:cs="Times New Roman" w:eastAsia="Times New Roman" w:hAnsi="Times New Roman"/>
          <w:sz w:val="20"/>
          <w:szCs w:val="20"/>
          <w:color w:val="auto"/>
        </w:rPr>
        <w:t>), fraudulent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conveyance (</w:t>
      </w:r>
      <w:r>
        <w:rPr>
          <w:rFonts w:ascii="Times New Roman" w:cs="Times New Roman" w:eastAsia="Times New Roman" w:hAnsi="Times New Roman"/>
          <w:sz w:val="20"/>
          <w:szCs w:val="20"/>
          <w:i w:val="1"/>
          <w:iCs w:val="1"/>
          <w:color w:val="auto"/>
        </w:rPr>
        <w:t>action paulienne</w:t>
      </w:r>
      <w:r>
        <w:rPr>
          <w:rFonts w:ascii="Times New Roman" w:cs="Times New Roman" w:eastAsia="Times New Roman" w:hAnsi="Times New Roman"/>
          <w:sz w:val="20"/>
          <w:szCs w:val="20"/>
          <w:color w:val="auto"/>
        </w:rPr>
        <w:t>) within the meaning of Article 448 of the Luxembourg Code of Commerce, general settlement with creditors, reorganisation or similar laws affecting the rights of creditors generally.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Loan Party</w:t>
      </w:r>
      <w:r>
        <w:rPr>
          <w:rFonts w:ascii="Times New Roman" w:cs="Times New Roman" w:eastAsia="Times New Roman" w:hAnsi="Times New Roman"/>
          <w:sz w:val="20"/>
          <w:szCs w:val="20"/>
          <w:color w:val="auto"/>
        </w:rPr>
        <w:t>” means a Loan Party that is organized under the laws of Luxembourg.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means any “margin stock” as defined in Regulation U of the FRB.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has the meaning specified in the definition of “Hedging Agreement.”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business, assets, liabilities (actual or contingent), operations or financial condition of the Company and its Subsidiaries taken as a whole or (b) a material adverse effect upon the legality, validity, binding effect or enforceability against the Company or any other Loan Party of any Loan Document to which it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3" w:right="339" w:bottom="1440" w:gutter="0" w:footer="0" w:header="0"/>
        </w:sectPr>
      </w:pPr>
    </w:p>
    <w:bookmarkStart w:id="50" w:name="page51"/>
    <w:bookmarkEnd w:id="50"/>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color w:val="FF0000"/>
          <w:strike w:val="1"/>
        </w:rPr>
        <w:t>August 1</w:t>
      </w:r>
      <w:r>
        <w:rPr>
          <w:rFonts w:ascii="Times New Roman" w:cs="Times New Roman" w:eastAsia="Times New Roman" w:hAnsi="Times New Roman"/>
          <w:sz w:val="20"/>
          <w:szCs w:val="20"/>
          <w:u w:val="single" w:color="auto"/>
          <w:color w:val="0000FF"/>
        </w:rPr>
        <w:t>November 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2024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2027</w:t>
      </w:r>
      <w:r>
        <w:rPr>
          <w:rFonts w:ascii="Times New Roman" w:cs="Times New Roman" w:eastAsia="Times New Roman" w:hAnsi="Times New Roman"/>
          <w:sz w:val="20"/>
          <w:szCs w:val="20"/>
          <w:color w:val="auto"/>
        </w:rPr>
        <w:t xml:space="preserve">, subject to extension in accordance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such date is not a Business Day, the Maturity Date shall be the immediately preceding Business Day.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11.09</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Minimum Collateral Amount</w:t>
      </w:r>
      <w:r>
        <w:rPr>
          <w:rFonts w:ascii="Times New Roman" w:cs="Times New Roman" w:eastAsia="Times New Roman" w:hAnsi="Times New Roman"/>
          <w:sz w:val="19"/>
          <w:szCs w:val="19"/>
          <w:color w:val="auto"/>
        </w:rPr>
        <w:t xml:space="preserve">” means, at any time, (a) with respect to Cash Collateral consisting of cash or deposit account balances provided to reduce or eliminate Fronting Exposure during the existence of a Defaulting Lender, an amount equal to 100% of the Fronting Exposure (or 103% of the Fronting Exposure in the case of a Letter of Credit denominated in an Alternative Currency)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19"/>
          <w:szCs w:val="19"/>
          <w:u w:val="single" w:color="auto"/>
          <w:color w:val="auto"/>
        </w:rPr>
        <w:t>Section 2.03(a)(ii)(B)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2.15(a)(i)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(a)(iii)</w:t>
      </w:r>
      <w:r>
        <w:rPr>
          <w:rFonts w:ascii="Times New Roman" w:cs="Times New Roman" w:eastAsia="Times New Roman" w:hAnsi="Times New Roman"/>
          <w:sz w:val="19"/>
          <w:szCs w:val="19"/>
          <w:color w:val="auto"/>
        </w:rPr>
        <w:t>, an amount equal to the 100% of the Outstanding Amount of all L/C Obligations (or 103% of the Outstanding Amount in the case of L/C Obligations denominated in an Alternative Currency), and (c) otherwise, an amount determined by the Administrative Agent and the L/C Issuer in their sole discretion.</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Pension Plan</w:t>
      </w:r>
      <w:r>
        <w:rPr>
          <w:rFonts w:ascii="Times New Roman" w:cs="Times New Roman" w:eastAsia="Times New Roman" w:hAnsi="Times New Roman"/>
          <w:sz w:val="20"/>
          <w:szCs w:val="20"/>
          <w:color w:val="auto"/>
        </w:rPr>
        <w:t>” means a multiemployer plan, as such term is defined in Section 4001(a)(3) of ERISA, and to which the Company or any member of the Controlled Group may have any liability.</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means any Lender that does not approve any consent, waiver or amendment that (a) requires the approval of all Lenders or all directly affected Lenders in accordance with the terms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(b) has been approved by the Required Lenders.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“Non-Quoted Currency</w:t>
      </w:r>
      <w:r>
        <w:rPr>
          <w:rFonts w:ascii="Times New Roman" w:cs="Times New Roman" w:eastAsia="Times New Roman" w:hAnsi="Times New Roman"/>
          <w:sz w:val="20"/>
          <w:szCs w:val="20"/>
          <w:color w:val="auto"/>
        </w:rPr>
        <w:t>” means any currency other than a Quoted Currency.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 Purchase Agreement</w:t>
      </w:r>
      <w:r>
        <w:rPr>
          <w:rFonts w:ascii="Times New Roman" w:cs="Times New Roman" w:eastAsia="Times New Roman" w:hAnsi="Times New Roman"/>
          <w:sz w:val="20"/>
          <w:szCs w:val="20"/>
          <w:color w:val="auto"/>
        </w:rPr>
        <w:t xml:space="preserve">” means (a) the Note Purchase Agreement dated as of May 13, 2010 among the Company, Worldwide, Tricor and the purchasers of notes issued pursuant thereto and any supplement thereto from time to time and (b) any other note purchase agreement entered into after the Closing Date pursuant to which one or more investors purchase unsecured notes issued by the Company and/or one or more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note purchase agreement shall not be on terms materially less favorable to the Company and its Subsidiaries than the Note Purchase Agreement identified in clause (a) above.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NYFRB Rate</w:t>
      </w:r>
      <w:r>
        <w:rPr>
          <w:rFonts w:ascii="Times New Roman" w:cs="Times New Roman" w:eastAsia="Times New Roman" w:hAnsi="Times New Roman"/>
          <w:sz w:val="20"/>
          <w:szCs w:val="20"/>
          <w:color w:val="FF0000"/>
          <w:strike w:val="1"/>
        </w:rPr>
        <w:t xml:space="preserve">” means, for any day, the greater of (a) the Federal Funds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if both such rates are not so published for any day that is a Business Day, the term “NYFRB Rate” means the rate quoted for such day for a federal funds transaction at 11:00 a.m., New York City time, on such day received by the Administrative Agent from a federal funds broker of recognized standing selected by it; provided, further, that if any of the aforesaid rates </w:t>
      </w:r>
      <w:r>
        <w:rPr>
          <w:rFonts w:ascii="Times New Roman" w:cs="Times New Roman" w:eastAsia="Times New Roman" w:hAnsi="Times New Roman"/>
          <w:sz w:val="20"/>
          <w:szCs w:val="20"/>
          <w:color w:val="008000"/>
          <w:strike w:val="1"/>
        </w:rPr>
        <w:t>as so determined would be less than</w:t>
      </w:r>
      <w:r>
        <w:rPr>
          <w:rFonts w:ascii="Times New Roman" w:cs="Times New Roman" w:eastAsia="Times New Roman" w:hAnsi="Times New Roman"/>
          <w:sz w:val="20"/>
          <w:szCs w:val="20"/>
          <w:color w:val="FF0000"/>
          <w:strike w:val="1"/>
        </w:rPr>
        <w:t xml:space="preserve"> zero</w:t>
      </w:r>
      <w:r>
        <w:rPr>
          <w:rFonts w:ascii="Times New Roman" w:cs="Times New Roman" w:eastAsia="Times New Roman" w:hAnsi="Times New Roman"/>
          <w:sz w:val="20"/>
          <w:szCs w:val="20"/>
          <w:color w:val="008000"/>
          <w:strike w:val="1"/>
        </w:rPr>
        <w:t>, such rate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shall be deemed to be </w:t>
      </w:r>
      <w:r>
        <w:rPr>
          <w:rFonts w:ascii="Times New Roman" w:cs="Times New Roman" w:eastAsia="Times New Roman" w:hAnsi="Times New Roman"/>
          <w:sz w:val="20"/>
          <w:szCs w:val="20"/>
          <w:color w:val="FF0000"/>
          <w:strike w:val="1"/>
        </w:rPr>
        <w:t>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NYFRB’s Website</w:t>
      </w:r>
      <w:r>
        <w:rPr>
          <w:rFonts w:ascii="Times New Roman" w:cs="Times New Roman" w:eastAsia="Times New Roman" w:hAnsi="Times New Roman"/>
          <w:sz w:val="20"/>
          <w:szCs w:val="20"/>
          <w:color w:val="FF0000"/>
          <w:strike w:val="1"/>
        </w:rPr>
        <w:t>” means the website of the Federal Reserve Bank of New York at http://www.newyorkfed.org, or any successor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source.</w:t>
      </w:r>
    </w:p>
    <w:p>
      <w:pPr>
        <w:spacing w:after="0" w:line="20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all advances to, and debts, liabilities, obligations, covenants and duties of, any Loan Party arising under any Loan Document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any Hedging Agreement between any Loan Party or any Subsidiary and any Hedge Bank and (b) all obligations under any Treasury Management Agreement between any Loan Party or any Subsidiary and Treasury Management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“Obligations” of a Loan Party shall exclude any Excluded Swap Obligations with respect to such Loan Party.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Other Benchmark Rate Election</w:t>
      </w:r>
      <w:r>
        <w:rPr>
          <w:rFonts w:ascii="Times New Roman" w:cs="Times New Roman" w:eastAsia="Times New Roman" w:hAnsi="Times New Roman"/>
          <w:sz w:val="20"/>
          <w:szCs w:val="20"/>
          <w:color w:val="FF0000"/>
          <w:strike w:val="1"/>
        </w:rPr>
        <w:t>” means, if the then-current Benchmark is the LIBO Rate or a SOFR-based rate, as applicable, the occurrence of:</w:t>
      </w:r>
    </w:p>
    <w:p>
      <w:pPr>
        <w:spacing w:after="0" w:line="173" w:lineRule="exact"/>
        <w:rPr>
          <w:sz w:val="20"/>
          <w:szCs w:val="20"/>
          <w:color w:val="auto"/>
        </w:rPr>
      </w:pPr>
    </w:p>
    <w:p>
      <w:pPr>
        <w:jc w:val="both"/>
        <w:ind w:firstLine="656"/>
        <w:spacing w:after="0" w:line="253" w:lineRule="auto"/>
        <w:tabs>
          <w:tab w:leader="none" w:pos="1284" w:val="left"/>
        </w:tabs>
        <w:numPr>
          <w:ilvl w:val="0"/>
          <w:numId w:val="2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a notification by the Administrative Agent to (or the request by the Company to the Administrative Agent to notify) each of the other parties hereto that at least five currently outstanding Dollar-denominated syndicated credit facilities at such time in the United States contain (as a result of amendment or as originally executed), in lieu of a LIBOR-based rate or a SOFR-based rate, as applicable, a term benchmark rate that is not a SOFR-based rate as a benchmark rate (and such </w:t>
      </w:r>
      <w:r>
        <w:rPr>
          <w:rFonts w:ascii="Times New Roman" w:cs="Times New Roman" w:eastAsia="Times New Roman" w:hAnsi="Times New Roman"/>
          <w:sz w:val="20"/>
          <w:szCs w:val="20"/>
          <w:color w:val="008000"/>
          <w:strike w:val="1"/>
        </w:rPr>
        <w:t>syndicated credit facilities</w:t>
      </w:r>
      <w:r>
        <w:rPr>
          <w:rFonts w:ascii="Times New Roman" w:cs="Times New Roman" w:eastAsia="Times New Roman" w:hAnsi="Times New Roman"/>
          <w:sz w:val="20"/>
          <w:szCs w:val="20"/>
          <w:color w:val="FF0000"/>
          <w:strike w:val="1"/>
        </w:rPr>
        <w:t xml:space="preserve"> are identified in such notice and are publicly available for review), and</w:t>
      </w:r>
    </w:p>
    <w:p>
      <w:pPr>
        <w:spacing w:after="0" w:line="191" w:lineRule="exact"/>
        <w:rPr>
          <w:rFonts w:ascii="Times New Roman" w:cs="Times New Roman" w:eastAsia="Times New Roman" w:hAnsi="Times New Roman"/>
          <w:sz w:val="20"/>
          <w:szCs w:val="20"/>
          <w:color w:val="FF0000"/>
          <w:strike w:val="1"/>
        </w:rPr>
      </w:pPr>
    </w:p>
    <w:p>
      <w:pPr>
        <w:ind w:firstLine="656"/>
        <w:spacing w:after="0" w:line="269" w:lineRule="auto"/>
        <w:tabs>
          <w:tab w:leader="none" w:pos="1284" w:val="left"/>
        </w:tabs>
        <w:numPr>
          <w:ilvl w:val="0"/>
          <w:numId w:val="2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the joint election by the Administrative Agent and the Company to trigger a fallback from the LIBO Rate or SOFR-based rate and the provision, as applicable, by the Administrative Agent of written notice of such election to the Company and the Lenders.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xml:space="preserve">” means, with respect to any Recipient, Taxes imposed as a result of a present or former connection between such Recipient and the jurisdiction imposing such Taxes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w:t>
      </w:r>
      <w:r>
        <w:rPr>
          <w:rFonts w:ascii="Times New Roman" w:cs="Times New Roman" w:eastAsia="Times New Roman" w:hAnsi="Times New Roman"/>
          <w:sz w:val="20"/>
          <w:szCs w:val="20"/>
          <w:u w:val="single" w:color="auto"/>
          <w:color w:val="0000FF"/>
        </w:rPr>
        <w:t>, Letter of Credit</w:t>
      </w:r>
      <w:r>
        <w:rPr>
          <w:rFonts w:ascii="Times New Roman" w:cs="Times New Roman" w:eastAsia="Times New Roman" w:hAnsi="Times New Roman"/>
          <w:sz w:val="20"/>
          <w:szCs w:val="20"/>
          <w:color w:val="auto"/>
        </w:rPr>
        <w:t xml:space="preserve"> or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-231775</wp:posOffset>
            </wp:positionV>
            <wp:extent cx="482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3" w:right="339" w:bottom="1440" w:gutter="0" w:footer="0" w:header="0"/>
        </w:sectPr>
      </w:pPr>
    </w:p>
    <w:bookmarkStart w:id="52" w:name="page53"/>
    <w:bookmarkEnd w:id="52"/>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(i)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and (ii) Excluded Taxes.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any Revolving Loans on any date, the Dollar Equivalent amount of the aggregate outstanding principal amount thereof after giving effect to any borrowings and prepayments or repayments of any Revolving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Overnight Bank Funding Rate</w:t>
      </w:r>
      <w:r>
        <w:rPr>
          <w:rFonts w:ascii="Times New Roman" w:cs="Times New Roman" w:eastAsia="Times New Roman" w:hAnsi="Times New Roman"/>
          <w:sz w:val="20"/>
          <w:szCs w:val="20"/>
          <w:color w:val="FF0000"/>
          <w:strike w:val="1"/>
        </w:rPr>
        <w:t>” means, for any day, the rate comprised of both overnight federal funds and overnight eurodollar borrowings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xml:space="preserve">” means, for any day, (a) with respect to any amount denominated in Dollars, the </w:t>
      </w:r>
      <w:r>
        <w:rPr>
          <w:rFonts w:ascii="Times New Roman" w:cs="Times New Roman" w:eastAsia="Times New Roman" w:hAnsi="Times New Roman"/>
          <w:sz w:val="20"/>
          <w:szCs w:val="20"/>
          <w:color w:val="FF0000"/>
          <w:strike w:val="1"/>
        </w:rPr>
        <w:t>greater of (i) the</w:t>
      </w:r>
      <w:r>
        <w:rPr>
          <w:rFonts w:ascii="Times New Roman" w:cs="Times New Roman" w:eastAsia="Times New Roman" w:hAnsi="Times New Roman"/>
          <w:sz w:val="20"/>
          <w:szCs w:val="20"/>
          <w:color w:val="auto"/>
        </w:rPr>
        <w:t xml:space="preserve"> Federal Funds Rate </w:t>
      </w:r>
      <w:r>
        <w:rPr>
          <w:rFonts w:ascii="Times New Roman" w:cs="Times New Roman" w:eastAsia="Times New Roman" w:hAnsi="Times New Roman"/>
          <w:sz w:val="20"/>
          <w:szCs w:val="20"/>
          <w:color w:val="FF0000"/>
        </w:rPr>
        <w:t>and (ii) an overnight rate determined by the Administrative Agent, the L/C Issuer, or the Swing Line Lender, as the case may be,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accordance with banking industry rules on interbank compensation</w:t>
      </w:r>
      <w:r>
        <w:rPr>
          <w:rFonts w:ascii="Times New Roman" w:cs="Times New Roman" w:eastAsia="Times New Roman" w:hAnsi="Times New Roman"/>
          <w:sz w:val="20"/>
          <w:szCs w:val="20"/>
          <w:color w:val="000000"/>
        </w:rPr>
        <w:t>, and (b) with respect to any amount denominated in an Alternative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Currency, the rate of interest per annum at which overnight deposits in the applicable Alternative Currency, in an amount approximately equal to the amount with respect to which such rate is being determined, would be offered for such day by a branch or Affiliate of BMO in the applicable offshore interbank market for such currency to major banks in such interbank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-687070</wp:posOffset>
            </wp:positionV>
            <wp:extent cx="6901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01815" cy="8255"/>
                    </a:xfrm>
                    <a:prstGeom prst="rect">
                      <a:avLst/>
                    </a:prstGeom>
                    <a:noFill/>
                  </pic:spPr>
                </pic:pic>
              </a:graphicData>
            </a:graphic>
          </wp:anchor>
        </w:drawing>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each state so described in any EMU Legislation.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11.25(a)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and any entity succeeding to any or all of its functions under ERISA.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 “pension plan”, as such term is defined in Section 3(2) of ERISA, which is subject to Title IV of ERISA (other than a Multiemployer Pension Plan), and to which the Company or any member of the Controlled Group may have any liability, including any liability by reason of having been a substantial employer within the meaning of Section 4063 of ERISA at any time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preceding five years, or by reason of being deemed to be a contributing sponsor under Section 4069 of ERISA.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19"/>
          <w:szCs w:val="19"/>
          <w:color w:val="auto"/>
        </w:rPr>
        <w:t>” means any Acquisition by the Company or a Subsidiary which satisfies each of the following requirements:</w:t>
      </w:r>
    </w:p>
    <w:p>
      <w:pPr>
        <w:spacing w:after="0" w:line="33" w:lineRule="exact"/>
        <w:rPr>
          <w:sz w:val="20"/>
          <w:szCs w:val="20"/>
          <w:color w:val="auto"/>
        </w:rPr>
      </w:pPr>
    </w:p>
    <w:p>
      <w:pPr>
        <w:jc w:val="both"/>
        <w:ind w:firstLine="8"/>
        <w:spacing w:after="0" w:line="248" w:lineRule="auto"/>
        <w:tabs>
          <w:tab w:leader="none" w:pos="29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has occurred and is continuing at the time of, or immediately after giving effect to, such Acquisition; (b) the Person to be acquired is in, or the assets to be acquired are for use in, the same or a similar line of business as the Company and its Subsidiaries or a reasonable extension thereof; (c) upon giving effect to such Acquisition on a pro forma basis, the Loan Parties would be in compliance with the financial covenants set forth in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as of the most recent 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(and if the aggregate consideration (including cash and non-cash consideration, any assumption of Debt, any acquired Debt, deferred purchase price and any earn out payments) paid by the Company or any Subsidiary for any such Acquisition exceeds $100,000,000, the Company shall have delivered to the Administrative Agent a certificate demonstrating such compliance); (d) the representations and warranties made by the Loan Parties in each Loan Document shall be true and correct in all material respects at and as if made as of the date of such Acquisition (after giving effect thereto) except to the extent such representations and warranties expressly relate to an earlier date in which case they shall be true and correct in all material respects as of such earlier date; and (e) if such transaction involves the purchase of an interest in a partnership between the Company (or a Subsidiary) as a general partner and entities unaffiliated with the Company or such Subsidiary as the other partners, such transaction shall be effected by having such equity interest acquired by a corporate holding company directly or indirectly wholly-owned by the Company newly formed for the sole purpose of effecting such transaction.</w:t>
      </w:r>
    </w:p>
    <w:p>
      <w:pPr>
        <w:spacing w:after="0" w:line="20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at any time, Liens in respect of property of the Company or any of its Subsidiaries permitted to exist at such time pursuant to the terms of </w:t>
      </w:r>
      <w:r>
        <w:rPr>
          <w:rFonts w:ascii="Times New Roman" w:cs="Times New Roman" w:eastAsia="Times New Roman" w:hAnsi="Times New Roman"/>
          <w:sz w:val="20"/>
          <w:szCs w:val="20"/>
          <w:u w:val="single" w:color="auto"/>
          <w:color w:val="auto"/>
        </w:rPr>
        <w:t>Section 7.08</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Securitization</w:t>
      </w:r>
      <w:r>
        <w:rPr>
          <w:rFonts w:ascii="Times New Roman" w:cs="Times New Roman" w:eastAsia="Times New Roman" w:hAnsi="Times New Roman"/>
          <w:sz w:val="20"/>
          <w:szCs w:val="20"/>
          <w:color w:val="auto"/>
        </w:rPr>
        <w:t>” means any program providing for (a) the direct or indirect sale, contribution and/or transfer to a Securitization Subsidiary, in one or more related and substantially concurrent transactions, of accounts receivable, general intangibles, chattel paper or other financial assets (including rights in respect of Capital Leases) and related rights of the Company or any Subsidiary in transactions intended to constitute (and opined by outside legal counsel reasonably satisfactory to the Administrative Agent in connection therewith to constitute) true sales or true contributions to such Securitization Subsidiary and (b) the provision of financing secured by the assets so sold, contributed and/or transferred, whether in the form of secured loans or the acquisition of undivided interests in such assets.</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w:t>
      </w:r>
      <w:r>
        <w:rPr>
          <w:rFonts w:ascii="Times New Roman" w:cs="Times New Roman" w:eastAsia="Times New Roman" w:hAnsi="Times New Roman"/>
          <w:sz w:val="20"/>
          <w:szCs w:val="20"/>
          <w:color w:val="auto"/>
        </w:rPr>
        <w:t>” means the U.S. Department of Labor regulation located at 29 C.F.R. Section 2510.3-101, or any successor regulation thereto, as in effect at the time of reference, as modified by Section 3(42) of ERISA.</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Assets</w:t>
      </w:r>
      <w:r>
        <w:rPr>
          <w:rFonts w:ascii="Times New Roman" w:cs="Times New Roman" w:eastAsia="Times New Roman" w:hAnsi="Times New Roman"/>
          <w:sz w:val="20"/>
          <w:szCs w:val="20"/>
          <w:color w:val="auto"/>
        </w:rPr>
        <w:t>” means “plan assets” as defined in the Plan Asset Regulation.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has the meaning specified in Section 7.01.</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means, as to each Lender at any time, a fraction (expressed as a percentage, carried out to the ninth decimal place), the numerator of which is the amount of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13" w:right="33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Commitment of such Lender at such time and the denominator of which is the amount of the Aggregate Revolving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commitment of each Lender to make Revolving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 The Pro Rata Shares shall be subject to adjustment as provided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at any time, each Loan Party (other than a Foreign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Quoted Currency</w:t>
      </w:r>
      <w:r>
        <w:rPr>
          <w:rFonts w:ascii="Times New Roman" w:cs="Times New Roman" w:eastAsia="Times New Roman" w:hAnsi="Times New Roman"/>
          <w:sz w:val="20"/>
          <w:szCs w:val="20"/>
          <w:color w:val="auto"/>
        </w:rPr>
        <w:t>” means Dollars, Euros, Sterling and Japanese Yen and each other currency for which there is a published reference rate, in each case as long as there is a published reference rate acceptable to the Administrative Agent with respect thereto.</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means two (2) Business Days prior to the commencement of such Interest Period (or such other day as is generally treated as the rate fixing day by market practice in such interbank market, as determined by the Administrative Agent; provided that to the extent such market practice is not administratively feasible for the Administrative Agent, such other day as otherwise reasonably determined by the Administrative Agent).</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the L/C Issuer or any other recipient of any payment to be made by or on account of any obligation of any Loan Party hereunder.</w:t>
      </w:r>
    </w:p>
    <w:p>
      <w:pPr>
        <w:spacing w:after="0" w:line="115" w:lineRule="exact"/>
        <w:rPr>
          <w:sz w:val="20"/>
          <w:szCs w:val="20"/>
          <w:color w:val="auto"/>
        </w:rPr>
      </w:pPr>
    </w:p>
    <w:p>
      <w:pPr>
        <w:jc w:val="both"/>
        <w:ind w:firstLine="648"/>
        <w:spacing w:after="0" w:line="24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current Benchmark means (1) if such Benchmark is the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w:t>
      </w:r>
      <w:r>
        <w:rPr>
          <w:rFonts w:ascii="Times New Roman" w:cs="Times New Roman" w:eastAsia="Times New Roman" w:hAnsi="Times New Roman"/>
          <w:sz w:val="20"/>
          <w:szCs w:val="20"/>
          <w:color w:val="FF0000"/>
          <w:strike w:val="1"/>
        </w:rPr>
        <w:t>11:00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5:00</w:t>
      </w:r>
      <w:r>
        <w:rPr>
          <w:rFonts w:ascii="Times New Roman" w:cs="Times New Roman" w:eastAsia="Times New Roman" w:hAnsi="Times New Roman"/>
          <w:sz w:val="20"/>
          <w:szCs w:val="20"/>
          <w:color w:val="auto"/>
        </w:rPr>
        <w:t xml:space="preserve"> a.m. </w:t>
      </w:r>
      <w:r>
        <w:rPr>
          <w:rFonts w:ascii="Times New Roman" w:cs="Times New Roman" w:eastAsia="Times New Roman" w:hAnsi="Times New Roman"/>
          <w:sz w:val="20"/>
          <w:szCs w:val="20"/>
          <w:color w:val="FF0000"/>
          <w:strike w:val="1"/>
        </w:rPr>
        <w:t>(London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 Chicago</w:t>
      </w:r>
      <w:r>
        <w:rPr>
          <w:rFonts w:ascii="Times New Roman" w:cs="Times New Roman" w:eastAsia="Times New Roman" w:hAnsi="Times New Roman"/>
          <w:sz w:val="20"/>
          <w:szCs w:val="20"/>
          <w:color w:val="auto"/>
        </w:rPr>
        <w:t xml:space="preserve"> time</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on the day that is two </w:t>
      </w:r>
      <w:r>
        <w:rPr>
          <w:rFonts w:ascii="Times New Roman" w:cs="Times New Roman" w:eastAsia="Times New Roman" w:hAnsi="Times New Roman"/>
          <w:sz w:val="20"/>
          <w:szCs w:val="20"/>
          <w:color w:val="FF0000"/>
          <w:strike w:val="1"/>
        </w:rPr>
        <w:t>London banking days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U.S. Government Securities Business Days</w:t>
      </w:r>
      <w:r>
        <w:rPr>
          <w:rFonts w:ascii="Times New Roman" w:cs="Times New Roman" w:eastAsia="Times New Roman" w:hAnsi="Times New Roman"/>
          <w:sz w:val="20"/>
          <w:szCs w:val="20"/>
          <w:color w:val="auto"/>
        </w:rPr>
        <w:t xml:space="preserve"> preceding the date of such setting, (2) if such Benchmark is the EURIBO Rate, 11:00 a.m. (Brussels time) two TARGET2 Days preceding the date of such setting, (3) if such Benchmark is TIBO Rate, 11:00 a.m. Japan time two Business Days preceding the date of such setting, (4) if the RFR for such Benchmark is SONIA, then four </w:t>
      </w:r>
      <w:r>
        <w:rPr>
          <w:rFonts w:ascii="Times New Roman" w:cs="Times New Roman" w:eastAsia="Times New Roman" w:hAnsi="Times New Roman"/>
          <w:sz w:val="20"/>
          <w:szCs w:val="20"/>
          <w:u w:val="single" w:color="auto"/>
          <w:color w:val="0000FF"/>
        </w:rPr>
        <w:t>RFR</w:t>
      </w:r>
      <w:r>
        <w:rPr>
          <w:rFonts w:ascii="Times New Roman" w:cs="Times New Roman" w:eastAsia="Times New Roman" w:hAnsi="Times New Roman"/>
          <w:sz w:val="20"/>
          <w:szCs w:val="20"/>
          <w:color w:val="auto"/>
        </w:rPr>
        <w:t xml:space="preserve"> Business Days prior to such setting and (5) if such Benchmark is none of the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 the EURIBO Rate, the TIBO Rate or SONIA, the time determined by the Administrative Agent in its reasonable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good faith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-832485</wp:posOffset>
            </wp:positionV>
            <wp:extent cx="40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(i) with respect to a Benchmark Replacement in respect of Loans denominated in Dollars, the FRB and/or the NYFRB, or a committee officially endorsed or convened by the FRB and/or the NYFRB or, in each case, any successor thereto, (ii) with respect to a Benchmark Replacement in respect of Loans denominated in Sterling, the Bank of England,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3" w:right="339" w:bottom="1440" w:gutter="0" w:footer="0" w:header="0"/>
        </w:sectPr>
      </w:pPr>
    </w:p>
    <w:bookmarkStart w:id="55" w:name="page56"/>
    <w:bookmarkEnd w:id="55"/>
    <w:p>
      <w:pPr>
        <w:jc w:val="both"/>
        <w:spacing w:after="0" w:line="250" w:lineRule="auto"/>
        <w:rPr>
          <w:sz w:val="20"/>
          <w:szCs w:val="20"/>
          <w:color w:val="auto"/>
        </w:rPr>
      </w:pPr>
      <w:r>
        <w:rPr>
          <w:rFonts w:ascii="Times New Roman" w:cs="Times New Roman" w:eastAsia="Times New Roman" w:hAnsi="Times New Roman"/>
          <w:sz w:val="20"/>
          <w:szCs w:val="20"/>
          <w:color w:val="auto"/>
        </w:rPr>
        <w:t>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Japanese Yen, the Bank of Japan, or a committee officially endorsed or convened by the Bank of Japan or, in each case, any successor thereto and (v) with respect 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0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xml:space="preserve">” means (i) with respect to any </w:t>
      </w:r>
      <w:r>
        <w:rPr>
          <w:rFonts w:ascii="Times New Roman" w:cs="Times New Roman" w:eastAsia="Times New Roman" w:hAnsi="Times New Roman"/>
          <w:sz w:val="20"/>
          <w:szCs w:val="20"/>
          <w:color w:val="EE2724"/>
          <w:strike w:val="1"/>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Borrowing denominated in Dollars, the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 (ii) with respect to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EE2724"/>
          <w:strike w:val="1"/>
        </w:rPr>
        <w:t>Eurocurrency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Borrowing denominated in euro,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Adjusted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EURIBO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Rate, (iii) with respect to any </w:t>
      </w:r>
      <w:r>
        <w:rPr>
          <w:rFonts w:ascii="Times New Roman" w:cs="Times New Roman" w:eastAsia="Times New Roman" w:hAnsi="Times New Roman"/>
          <w:sz w:val="20"/>
          <w:szCs w:val="20"/>
          <w:color w:val="EE2724"/>
          <w:strike w:val="1"/>
        </w:rPr>
        <w:t>Eurocurrency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Borrowing denominated in Japanese Yen, the </w:t>
      </w:r>
      <w:r>
        <w:rPr>
          <w:rFonts w:ascii="Times New Roman" w:cs="Times New Roman" w:eastAsia="Times New Roman" w:hAnsi="Times New Roman"/>
          <w:sz w:val="20"/>
          <w:szCs w:val="20"/>
          <w:u w:val="single" w:color="auto"/>
          <w:color w:val="0000FF"/>
        </w:rPr>
        <w:t>Adjusted</w:t>
      </w:r>
      <w:r>
        <w:rPr>
          <w:rFonts w:ascii="Times New Roman" w:cs="Times New Roman" w:eastAsia="Times New Roman" w:hAnsi="Times New Roman"/>
          <w:sz w:val="20"/>
          <w:szCs w:val="20"/>
          <w:color w:val="000000"/>
        </w:rPr>
        <w:t xml:space="preserve"> TIBO Rate </w:t>
      </w:r>
      <w:r>
        <w:rPr>
          <w:rFonts w:ascii="Times New Roman" w:cs="Times New Roman" w:eastAsia="Times New Roman" w:hAnsi="Times New Roman"/>
          <w:sz w:val="20"/>
          <w:szCs w:val="20"/>
          <w:color w:val="FF0000"/>
        </w:rPr>
        <w:t>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xml:space="preserve">(iv) with respect to any </w:t>
      </w:r>
      <w:r>
        <w:rPr>
          <w:rFonts w:ascii="Times New Roman" w:cs="Times New Roman" w:eastAsia="Times New Roman" w:hAnsi="Times New Roman"/>
          <w:sz w:val="20"/>
          <w:szCs w:val="20"/>
          <w:color w:val="FF0000"/>
          <w:strike w:val="1"/>
        </w:rPr>
        <w:t>Borrowing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 Borrowing denominated in Canadian Dollars, the CDOR Rate, (v) with respect to any Term</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 xml:space="preserve">Benchmark Borrowing </w:t>
      </w:r>
      <w:r>
        <w:rPr>
          <w:rFonts w:ascii="Times New Roman" w:cs="Times New Roman" w:eastAsia="Times New Roman" w:hAnsi="Times New Roman"/>
          <w:sz w:val="20"/>
          <w:szCs w:val="20"/>
          <w:u w:val="single" w:color="auto"/>
          <w:color w:val="008000"/>
        </w:rPr>
        <w:t>denominated in Australian Dollars, the</w:t>
      </w:r>
      <w:r>
        <w:rPr>
          <w:rFonts w:ascii="Times New Roman" w:cs="Times New Roman" w:eastAsia="Times New Roman" w:hAnsi="Times New Roman"/>
          <w:sz w:val="20"/>
          <w:szCs w:val="20"/>
          <w:u w:val="single" w:color="auto"/>
          <w:color w:val="0000FF"/>
        </w:rPr>
        <w:t xml:space="preserve"> BBSY Rate, (vi) in the case of any other Term Benchmark Borrowing </w:t>
      </w:r>
      <w:r>
        <w:rPr>
          <w:rFonts w:ascii="Times New Roman" w:cs="Times New Roman" w:eastAsia="Times New Roman" w:hAnsi="Times New Roman"/>
          <w:sz w:val="20"/>
          <w:szCs w:val="20"/>
          <w:u w:val="single" w:color="auto"/>
          <w:color w:val="008000"/>
        </w:rPr>
        <w:t>denominated in an Alternative Currency (other than those specified above), the rate designated with respect to such Alternative Currency at the time such Alternative Currency is approved by the Administrative Agent and the Lenders pursuant to Section 1.07</w:t>
      </w:r>
      <w:r>
        <w:rPr>
          <w:rFonts w:ascii="Times New Roman" w:cs="Times New Roman" w:eastAsia="Times New Roman" w:hAnsi="Times New Roman"/>
          <w:sz w:val="20"/>
          <w:szCs w:val="20"/>
          <w:u w:val="single" w:color="auto"/>
          <w:color w:val="0000FF"/>
        </w:rPr>
        <w:t>, or (vii) with respect to</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any RFR Loan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denominated in Sterling, Daily Simple SONIA,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-838200</wp:posOffset>
            </wp:positionV>
            <wp:extent cx="175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5895" cy="8255"/>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Screen Rate</w:t>
      </w:r>
      <w:r>
        <w:rPr>
          <w:rFonts w:ascii="Times New Roman" w:cs="Times New Roman" w:eastAsia="Times New Roman" w:hAnsi="Times New Roman"/>
          <w:sz w:val="19"/>
          <w:szCs w:val="19"/>
          <w:color w:val="auto"/>
        </w:rPr>
        <w:t xml:space="preserve">” means (i) with respect to any </w:t>
      </w:r>
      <w:r>
        <w:rPr>
          <w:rFonts w:ascii="Times New Roman" w:cs="Times New Roman" w:eastAsia="Times New Roman" w:hAnsi="Times New Roman"/>
          <w:sz w:val="19"/>
          <w:szCs w:val="19"/>
          <w:color w:val="EE2724"/>
          <w:strike w:val="1"/>
        </w:rPr>
        <w:t>Eurocurrency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auto"/>
        </w:rPr>
        <w:t xml:space="preserve"> Borrowing denominated in Dollars, the </w:t>
      </w:r>
      <w:r>
        <w:rPr>
          <w:rFonts w:ascii="Times New Roman" w:cs="Times New Roman" w:eastAsia="Times New Roman" w:hAnsi="Times New Roman"/>
          <w:sz w:val="19"/>
          <w:szCs w:val="19"/>
          <w:color w:val="FF0000"/>
          <w:strike w:val="1"/>
        </w:rPr>
        <w:t>LIBOR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Screen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Term SOFR Reference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Rate, (ii) with respect to any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EE2724"/>
          <w:strike w:val="1"/>
        </w:rPr>
        <w:t>Eurocurrency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Borrowing denominated in euro, the EURIBOR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Screen Rate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000000"/>
        </w:rPr>
        <w:t xml:space="preserve"> (iii) with respect to any </w:t>
      </w:r>
      <w:r>
        <w:rPr>
          <w:rFonts w:ascii="Times New Roman" w:cs="Times New Roman" w:eastAsia="Times New Roman" w:hAnsi="Times New Roman"/>
          <w:sz w:val="19"/>
          <w:szCs w:val="19"/>
          <w:color w:val="EE2724"/>
          <w:strike w:val="1"/>
        </w:rPr>
        <w:t>Eurocurrency</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000000"/>
        </w:rPr>
        <w:t xml:space="preserve"> Borrowing denominated in Japanese Yen, the TIBOR Screen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-79375</wp:posOffset>
            </wp:positionV>
            <wp:extent cx="2444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ind w:firstLine="8"/>
        <w:spacing w:after="0" w:line="267" w:lineRule="auto"/>
        <w:tabs>
          <w:tab w:leader="none" w:pos="347" w:val="left"/>
        </w:tabs>
        <w:numPr>
          <w:ilvl w:val="0"/>
          <w:numId w:val="2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with respect to any Term Benchmark Borrowing denominated in Canadian Dollars, the CDOR Screen Rate and (v) with respect to any Term Benchmark Borrowing denominated in Australian Dollars, the BBSY Screen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as applicable.</w:t>
      </w:r>
    </w:p>
    <w:p>
      <w:pPr>
        <w:spacing w:after="0" w:line="161" w:lineRule="exact"/>
        <w:rPr>
          <w:sz w:val="20"/>
          <w:szCs w:val="20"/>
          <w:color w:val="auto"/>
        </w:rPr>
      </w:pPr>
    </w:p>
    <w:p>
      <w:pPr>
        <w:jc w:val="both"/>
        <w:ind w:right="2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Request for Credit Extension</w:t>
      </w:r>
      <w:r>
        <w:rPr>
          <w:rFonts w:ascii="Times New Roman" w:cs="Times New Roman" w:eastAsia="Times New Roman" w:hAnsi="Times New Roman"/>
          <w:sz w:val="19"/>
          <w:szCs w:val="19"/>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holding in the aggregate more than fifty percent (50%) of (a) the </w:t>
      </w:r>
      <w:r>
        <w:rPr>
          <w:rFonts w:ascii="Times New Roman" w:cs="Times New Roman" w:eastAsia="Times New Roman" w:hAnsi="Times New Roman"/>
          <w:sz w:val="20"/>
          <w:szCs w:val="20"/>
          <w:u w:val="single" w:color="auto"/>
          <w:color w:val="0000FF"/>
        </w:rPr>
        <w:t>Aggregate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Revolving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Commitments or (b) if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Aggregate Revolving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Commitments have been terminated, the outstanding Loans, L/C Obligations,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Swing Line Loans and participations therein. The Commitments of, and the outstanding Loans held or deemed held by, any Defaulting Lender shall be disregarded for purposes of making a determination of Required Lenders;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3" w:right="339" w:bottom="1440" w:gutter="0" w:footer="0" w:header="0"/>
        </w:sectPr>
      </w:pPr>
    </w:p>
    <w:bookmarkStart w:id="56" w:name="page57"/>
    <w:bookmarkEnd w:id="56"/>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any Executive Officer, and, solely for purposes of the delivery of incumbency certificates, the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of the applicable Loan Party so designated by any of the foregoing officers in a notice to the Administrative Agent or any other officer or employee of the applicable Loan Party designated as such in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With respect to a Luxembourg Loan Party a “Responsible Officer” means a person who is authorized to represent that Loan Party.</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any Loan, each of the following: (i) each date of a Borrowing of a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denominated in an Alternative Currency, (ii) each date of a continuation of 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Loan denominated in an Alternative Currency pursuant to </w:t>
      </w:r>
      <w:r>
        <w:rPr>
          <w:rFonts w:ascii="Times New Roman" w:cs="Times New Roman" w:eastAsia="Times New Roman" w:hAnsi="Times New Roman"/>
          <w:sz w:val="20"/>
          <w:szCs w:val="20"/>
          <w:u w:val="single" w:color="auto"/>
          <w:color w:val="000000"/>
        </w:rPr>
        <w:t>Section 2.02</w:t>
      </w:r>
      <w:r>
        <w:rPr>
          <w:rFonts w:ascii="Times New Roman" w:cs="Times New Roman" w:eastAsia="Times New Roman" w:hAnsi="Times New Roman"/>
          <w:sz w:val="20"/>
          <w:szCs w:val="20"/>
          <w:color w:val="000000"/>
        </w:rPr>
        <w:t>, and (iii) such additional dates as the Administrative Agent shall reasonably determine or the Required Lenders shall reasonably require; and (b) with respect to any Letter of Credit, each of the following: (i) each date of an issuance of a Letter of Credit denominated in an Alternative Currency, (ii) each date of an amendment of any such Letter of Credit having the effect of increasing the amount thereof (solely with respect to the increased amount), (iii) each date of any payment by the L/C Issuer of any Letter of Credit denominated in an Alternative Currency, (iv) in the case of the Existing Letters of Credit, the Closing Date and (v) such additional dates as the Administrative Agent or the L/C Issuer shall reasonably determine or the Required Lenders shall reasonably require.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as to each Lender, its obligation to (a) make Revolving Loans to the Borrowers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w:t>
      </w:r>
      <w:r>
        <w:rPr>
          <w:rFonts w:ascii="Times New Roman" w:cs="Times New Roman" w:eastAsia="Times New Roman" w:hAnsi="Times New Roman"/>
          <w:sz w:val="20"/>
          <w:szCs w:val="20"/>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in any documentation executed by such Lender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or in the Assignment and Assumption pursuant to which such Lender becomes a party hereto, as applicable, as such amount may be adjusted from time to time in accordance with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w:t>
      </w:r>
      <w:r>
        <w:rPr>
          <w:rFonts w:ascii="Times New Roman" w:cs="Times New Roman" w:eastAsia="Times New Roman" w:hAnsi="Times New Roman"/>
          <w:sz w:val="20"/>
          <w:szCs w:val="20"/>
          <w:color w:val="auto"/>
        </w:rPr>
        <w:t>” means, for any RFR Loan denominated in Sterling, SONIA.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RFR Administrator</w:t>
      </w:r>
      <w:r>
        <w:rPr>
          <w:rFonts w:ascii="Times New Roman" w:cs="Times New Roman" w:eastAsia="Times New Roman" w:hAnsi="Times New Roman"/>
          <w:sz w:val="20"/>
          <w:szCs w:val="20"/>
          <w:color w:val="FF0000"/>
          <w:strike w:val="1"/>
        </w:rPr>
        <w:t>” means the SONIA Administrator.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Business Day</w:t>
      </w:r>
      <w:r>
        <w:rPr>
          <w:rFonts w:ascii="Times New Roman" w:cs="Times New Roman" w:eastAsia="Times New Roman" w:hAnsi="Times New Roman"/>
          <w:sz w:val="20"/>
          <w:szCs w:val="20"/>
          <w:color w:val="auto"/>
        </w:rPr>
        <w:t>” means, for any Loan denominated in Sterling, any day except for (i) a Saturday, (ii) a Sunday or (iii) a day on which banks are closed for general business in London.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has the meaning specified in the definition of “Daily Simple SONIA”.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Daily Simple SONIA.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3"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The McGraw-Hill Companies, Inc. and any successor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in good faith by the Administrative Agent or the L/C Issuer, as the case may be, to be customary in the place of disbursement or payment for the settlement of international banking transactions in the relevant Alternative Currency.</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xml:space="preserve">” means any sanction administered or enforced by the United States Government, including OFAC, the United Nations Security Council, the European Union, </w:t>
      </w:r>
      <w:r>
        <w:rPr>
          <w:rFonts w:ascii="Times New Roman" w:cs="Times New Roman" w:eastAsia="Times New Roman" w:hAnsi="Times New Roman"/>
          <w:sz w:val="20"/>
          <w:szCs w:val="20"/>
          <w:color w:val="FF0000"/>
          <w:strike w:val="1"/>
        </w:rPr>
        <w: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His</w:t>
      </w:r>
      <w:r>
        <w:rPr>
          <w:rFonts w:ascii="Times New Roman" w:cs="Times New Roman" w:eastAsia="Times New Roman" w:hAnsi="Times New Roman"/>
          <w:sz w:val="20"/>
          <w:szCs w:val="20"/>
          <w:color w:val="auto"/>
        </w:rPr>
        <w:t xml:space="preserve"> Majesty’s Treasury (“HMT”) or other relevant sanctions authority.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 or any Governmental Authority succeeding to any of its principal functions.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“Second Amendment Effective Date” means November 14, 2022.</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Obligations</w:t>
      </w:r>
      <w:r>
        <w:rPr>
          <w:rFonts w:ascii="Times New Roman" w:cs="Times New Roman" w:eastAsia="Times New Roman" w:hAnsi="Times New Roman"/>
          <w:sz w:val="20"/>
          <w:szCs w:val="20"/>
          <w:color w:val="auto"/>
        </w:rPr>
        <w:t>” means the aggregate investment or claim (as opposed to the value of the underlying assets subject to the applicable Permitted Securitization) held at any time by all purchasers, assignees or transferees of (or of interests in), or holders of obligations that are supported or secured by, accounts receivable, general intangibles, chattel paper or other financial assets (including rights in respect of Capital Leases) and related rights of the Company or any Subsidiary in connection with Permitted Securitizations.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Subsidiary</w:t>
      </w:r>
      <w:r>
        <w:rPr>
          <w:rFonts w:ascii="Times New Roman" w:cs="Times New Roman" w:eastAsia="Times New Roman" w:hAnsi="Times New Roman"/>
          <w:sz w:val="20"/>
          <w:szCs w:val="20"/>
          <w:color w:val="auto"/>
        </w:rPr>
        <w:t>” means a special purpose, bankruptcy remote, directly or indirectly wholly-owned Subsidiary of the Company that is formed for the sole and exclusive purpose of engaging in activities in connection with the purchase, contribution, transfer, sale and financing of assets and related rights in connection with and pursuant to one or more Permitted Securitizations.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w:t>
      </w:r>
      <w:r>
        <w:rPr>
          <w:rFonts w:ascii="Times New Roman" w:cs="Times New Roman" w:eastAsia="Times New Roman" w:hAnsi="Times New Roman"/>
          <w:sz w:val="20"/>
          <w:szCs w:val="20"/>
          <w:color w:val="auto"/>
        </w:rPr>
        <w:t>” means any note issued pursuant to a Note Purchase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means, at any time, (a) any Subsidiary having (i) assets (after intercompany eliminations) with a value not less than 2.5% of the total value of the consolidated assets of the Company and its Subsidiaries, taken as a whole, or (ii) revenues (after elimination of intercompany revenues) not less than 2.5% of the consolidated revenues of the Company and its Subsidiaries, taken as a whole, in each case for, or as of the end of, the most recently ended Computation Period, as the case may be, and (b) any Subsidiary that is a Loan Party.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w:t>
      </w:r>
      <w:r>
        <w:rPr>
          <w:rFonts w:ascii="Times New Roman" w:cs="Times New Roman" w:eastAsia="Times New Roman" w:hAnsi="Times New Roman"/>
          <w:sz w:val="20"/>
          <w:szCs w:val="20"/>
          <w:color w:val="FF0000"/>
          <w:strike w:val="1"/>
        </w:rPr>
        <w:t>, with respect to any Business Day,</w:t>
      </w:r>
      <w:r>
        <w:rPr>
          <w:rFonts w:ascii="Times New Roman" w:cs="Times New Roman" w:eastAsia="Times New Roman" w:hAnsi="Times New Roman"/>
          <w:sz w:val="20"/>
          <w:szCs w:val="20"/>
          <w:color w:val="auto"/>
        </w:rPr>
        <w:t xml:space="preserve"> a rate </w:t>
      </w:r>
      <w:r>
        <w:rPr>
          <w:rFonts w:ascii="Times New Roman" w:cs="Times New Roman" w:eastAsia="Times New Roman" w:hAnsi="Times New Roman"/>
          <w:sz w:val="20"/>
          <w:szCs w:val="20"/>
          <w:color w:val="FF0000"/>
          <w:strike w:val="1"/>
        </w:rPr>
        <w:t>per annum</w:t>
      </w:r>
      <w:r>
        <w:rPr>
          <w:rFonts w:ascii="Times New Roman" w:cs="Times New Roman" w:eastAsia="Times New Roman" w:hAnsi="Times New Roman"/>
          <w:sz w:val="20"/>
          <w:szCs w:val="20"/>
          <w:color w:val="auto"/>
        </w:rPr>
        <w:t xml:space="preserve"> equal to the secured overnight financing rate </w:t>
      </w:r>
      <w:r>
        <w:rPr>
          <w:rFonts w:ascii="Times New Roman" w:cs="Times New Roman" w:eastAsia="Times New Roman" w:hAnsi="Times New Roman"/>
          <w:sz w:val="20"/>
          <w:szCs w:val="20"/>
          <w:color w:val="FF0000"/>
          <w:strike w:val="1"/>
        </w:rPr>
        <w:t>for such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Day published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as administered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by the SOFR Administrator</w:t>
      </w:r>
      <w:r>
        <w:rPr>
          <w:rFonts w:ascii="Times New Roman" w:cs="Times New Roman" w:eastAsia="Times New Roman" w:hAnsi="Times New Roman"/>
          <w:sz w:val="20"/>
          <w:szCs w:val="20"/>
          <w:color w:val="FF0000"/>
        </w:rPr>
        <w:t xml:space="preserve"> on the SOFR Administrator’s Website on the immediately succeeding Business </w:t>
      </w:r>
      <w:r>
        <w:rPr>
          <w:rFonts w:ascii="Times New Roman" w:cs="Times New Roman" w:eastAsia="Times New Roman" w:hAnsi="Times New Roman"/>
          <w:sz w:val="20"/>
          <w:szCs w:val="20"/>
          <w:color w:val="FF0000"/>
          <w:strike w:val="1"/>
        </w:rPr>
        <w:t>Day</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-247015</wp:posOffset>
            </wp:positionV>
            <wp:extent cx="41001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00195" cy="8255"/>
                    </a:xfrm>
                    <a:prstGeom prst="rect">
                      <a:avLst/>
                    </a:prstGeom>
                    <a:noFill/>
                  </pic:spPr>
                </pic:pic>
              </a:graphicData>
            </a:graphic>
          </wp:anchor>
        </w:drawing>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xml:space="preserve">” means the NYFRB’s </w:t>
      </w:r>
      <w:r>
        <w:rPr>
          <w:rFonts w:ascii="Times New Roman" w:cs="Times New Roman" w:eastAsia="Times New Roman" w:hAnsi="Times New Roman"/>
          <w:sz w:val="20"/>
          <w:szCs w:val="20"/>
          <w:color w:val="FF0000"/>
          <w:strike w:val="1"/>
        </w:rPr>
        <w:t>Website</w:t>
      </w:r>
      <w:r>
        <w:rPr>
          <w:rFonts w:ascii="Times New Roman" w:cs="Times New Roman" w:eastAsia="Times New Roman" w:hAnsi="Times New Roman"/>
          <w:sz w:val="20"/>
          <w:szCs w:val="20"/>
          <w:u w:val="single" w:color="auto"/>
          <w:color w:val="0000FF"/>
        </w:rPr>
        <w:t>website</w:t>
      </w:r>
      <w:r>
        <w:rPr>
          <w:rFonts w:ascii="Times New Roman" w:cs="Times New Roman" w:eastAsia="Times New Roman" w:hAnsi="Times New Roman"/>
          <w:sz w:val="20"/>
          <w:szCs w:val="20"/>
          <w:color w:val="auto"/>
        </w:rPr>
        <w:t>, currently at http://www.newyorkfed.org, or any successor source for the secured overnight financing rate identified as such by the SOFR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3" w:right="339" w:bottom="1440" w:gutter="0" w:footer="0" w:header="0"/>
        </w:sectPr>
      </w:pPr>
    </w:p>
    <w:bookmarkStart w:id="58" w:name="page59"/>
    <w:bookmarkEnd w:id="58"/>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 Average).</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4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Cash</w:t>
      </w:r>
      <w:r>
        <w:rPr>
          <w:rFonts w:ascii="Times New Roman" w:cs="Times New Roman" w:eastAsia="Times New Roman" w:hAnsi="Times New Roman"/>
          <w:sz w:val="19"/>
          <w:szCs w:val="19"/>
          <w:color w:val="auto"/>
        </w:rPr>
        <w:t xml:space="preserve">” means the aggregate amount of unrestricted cash and Cash Equivalents of the Company and its Domestic Subsidiaries (other than Excluded Subsidiaries) not exceeding the greater of (a) $75,000,000 and (b) 25% of Consolidated EBITDA as of the last day of the Fiscal Quarter most recently ended for which financial statements have been delivered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7.01(b)</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Loan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4.08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Spot Rate</w:t>
      </w:r>
      <w:r>
        <w:rPr>
          <w:rFonts w:ascii="Times New Roman" w:cs="Times New Roman" w:eastAsia="Times New Roman" w:hAnsi="Times New Roman"/>
          <w:sz w:val="19"/>
          <w:szCs w:val="19"/>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L/C Issuer may use such spot rate quoted on the date as of which the foreign exchange computation is made in the case of any Letter of Credit denominated in an Alternative Currency.</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xml:space="preserv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FRB to which the Administrative Agent is subject with respect to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Adjusted LIBO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Adjusted EURIBO Rate or the Adjusted TIBO Rate, as applicable, for eurocurrency funding (currently referred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as “Eurocurrency liabilities” in Regulation D of the FRB) or any other reserve ratio or analogous requirement of any central banking or financial regulatory authority imposed in respect of the maintenance of the Commitments or the funding of the Loans. Such reserve percentage shall include those imposed pursuant to Regulation D of the FRB. </w:t>
      </w:r>
      <w:r>
        <w:rPr>
          <w:rFonts w:ascii="Times New Roman" w:cs="Times New Roman" w:eastAsia="Times New Roman" w:hAnsi="Times New Roman"/>
          <w:sz w:val="20"/>
          <w:szCs w:val="20"/>
          <w:color w:val="FF0000"/>
          <w:strike w:val="1"/>
        </w:rPr>
        <w:t>Eurocurrency Rate Loans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 Loans for which</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the associated Benchmark is adjusted by reference to the Statutory Reserve Rate (per the related definition of such 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shall be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deemed to constitute eurocurrency funding and to be subject to such reserve requirements without benefit of or credit for proration, exemptions or offsets that may be available from time to time to any Lender under Regulation D of the FRB or any comparable regulation. The Statutory Reserve Rate shall be adjusted automatically on and as of the effective date of any change in any reserve percentage, and the Administrative Agent shall notify the Company promptly of any such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13"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the United Kingdom.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means any Debt of the Company or any Subsidiary that (a) is subordinated to the Obligations in a manner approved in writing by the Required Lenders and (b) has (i) no amortization prior to the date that is at least 91 days after the Maturity Date,</w:t>
      </w:r>
    </w:p>
    <w:p>
      <w:pPr>
        <w:spacing w:after="0" w:line="1" w:lineRule="exact"/>
        <w:rPr>
          <w:sz w:val="20"/>
          <w:szCs w:val="20"/>
          <w:color w:val="auto"/>
        </w:rPr>
      </w:pPr>
    </w:p>
    <w:p>
      <w:pPr>
        <w:ind w:right="20" w:firstLine="8"/>
        <w:spacing w:after="0" w:line="253" w:lineRule="auto"/>
        <w:tabs>
          <w:tab w:leader="none" w:pos="30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covenants and events of default (and related definitions) that are acceptable to the Required Lenders and (iii) no limitation on senior Debt (or any guaranty thereof) that is unacceptable to the Required Lenders.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Voting Stock is at the time beneficially owned, directly, or indirectly through one or more intermediaries, or both, by such Person. Unless otherwise specified, all references herein to a “Subsidiary” or to “Subsidiaries” shall refer to a Subsidiary or Subsidiaries of the Company.</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Suretyship Liability</w:t>
      </w:r>
      <w:r>
        <w:rPr>
          <w:rFonts w:ascii="Times New Roman" w:cs="Times New Roman" w:eastAsia="Times New Roman" w:hAnsi="Times New Roman"/>
          <w:sz w:val="20"/>
          <w:szCs w:val="20"/>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Suretyship Liability shall (subject to any limitation set forth therein) be deemed to be equal to the lesser of (i) the stated or determinable amount of the related primary obligation, or portion thereof, in respect of which such Suretyship Liability is incurred or, if not stated or determinable, the maximum reasonably anticipated liability in respect thereof, and (ii) the stated amount of such Suretyship Liability.</w:t>
      </w:r>
    </w:p>
    <w:p>
      <w:pPr>
        <w:spacing w:after="0" w:line="18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xml:space="preserve">”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BMO in its capacity as provider of Swing Line Loans, or any successor swing line lender hereunder.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Borrowing of Swing Line Loans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2.04</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3" w:right="339" w:bottom="1440" w:gutter="0" w:footer="0" w:header="0"/>
        </w:sectPr>
      </w:pPr>
    </w:p>
    <w:bookmarkStart w:id="60" w:name="page61"/>
    <w:bookmarkEnd w:id="60"/>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an amount equal to the lesser of (a) $40,000,000 and (b) the Aggregate Revolving Commitments. The Swing Line Sublimit is part of, and not in addition to, the Aggregate Revolving Commitments.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TARGET2</w:t>
      </w:r>
      <w:r>
        <w:rPr>
          <w:rFonts w:ascii="Times New Roman" w:cs="Times New Roman" w:eastAsia="Times New Roman" w:hAnsi="Times New Roman"/>
          <w:sz w:val="20"/>
          <w:szCs w:val="20"/>
          <w:color w:val="auto"/>
        </w:rPr>
        <w:t xml:space="preserve">” means the Trans-European Automated Real-time Gross Settlement Express Transfer (TARGET2) payment system (or, if such payment system ceases to be operative, such other payment system (if any) reasonably determined </w:t>
      </w:r>
      <w:r>
        <w:rPr>
          <w:rFonts w:ascii="Times New Roman" w:cs="Times New Roman" w:eastAsia="Times New Roman" w:hAnsi="Times New Roman"/>
          <w:sz w:val="20"/>
          <w:szCs w:val="20"/>
          <w:u w:val="single" w:color="auto"/>
          <w:color w:val="0000FF"/>
        </w:rPr>
        <w:t>(such determination to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consistent with such determination generally under other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8000"/>
        </w:rPr>
        <w:t>syndicated credit facilities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for which BMO acts as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by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Administrative Agent to be a suitable replacement) for the settlement of payments in euro.</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TARGET2 Day</w:t>
      </w:r>
      <w:r>
        <w:rPr>
          <w:rFonts w:ascii="Times New Roman" w:cs="Times New Roman" w:eastAsia="Times New Roman" w:hAnsi="Times New Roman"/>
          <w:sz w:val="20"/>
          <w:szCs w:val="20"/>
          <w:color w:val="auto"/>
        </w:rPr>
        <w:t>” means a day that TARGET2 is open for the settlement of payments in euro.</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Term ESTR</w:t>
      </w:r>
      <w:r>
        <w:rPr>
          <w:rFonts w:ascii="Times New Roman" w:cs="Times New Roman" w:eastAsia="Times New Roman" w:hAnsi="Times New Roman"/>
          <w:sz w:val="20"/>
          <w:szCs w:val="20"/>
          <w:color w:val="FF0000"/>
          <w:strike w:val="1"/>
        </w:rPr>
        <w:t>” means, for the applicable Corresponding Tenor as of the applicable Reference Time, the forward-looking term rate based on ESTR that has been selected or recommended by the Relevant Governmental Body.</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Term ESTR Notice</w:t>
      </w:r>
      <w:r>
        <w:rPr>
          <w:rFonts w:ascii="Times New Roman" w:cs="Times New Roman" w:eastAsia="Times New Roman" w:hAnsi="Times New Roman"/>
          <w:sz w:val="20"/>
          <w:szCs w:val="20"/>
          <w:color w:val="FF0000"/>
          <w:strike w:val="1"/>
        </w:rPr>
        <w:t>” means a notification by the Administrative Agent to the Lenders and the Company of the occurrence of a Term ESTR Transition Event.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Term ESTR Transition Event</w:t>
      </w:r>
      <w:r>
        <w:rPr>
          <w:rFonts w:ascii="Times New Roman" w:cs="Times New Roman" w:eastAsia="Times New Roman" w:hAnsi="Times New Roman"/>
          <w:sz w:val="20"/>
          <w:szCs w:val="20"/>
          <w:color w:val="FF0000"/>
          <w:strike w:val="1"/>
        </w:rPr>
        <w:t xml:space="preserve">” means the determination by the Administrative Agent in good faith and in consultation with the Company that (a) Term ESTR has been recommended for use by the Relevant Governmental Body, (b) the administration of Term ESTR is administratively feasible for the Administrative Agent and (c) a Benchmark Transition Event or an Early Opt-in Election, as applicable, has previously occurred resulting in a Benchmark Replacement in accordance with </w:t>
      </w:r>
      <w:r>
        <w:rPr>
          <w:rFonts w:ascii="Times New Roman" w:cs="Times New Roman" w:eastAsia="Times New Roman" w:hAnsi="Times New Roman"/>
          <w:sz w:val="20"/>
          <w:szCs w:val="20"/>
          <w:u w:val="single" w:color="auto"/>
          <w:color w:val="FF0000"/>
          <w:strike w:val="1"/>
        </w:rPr>
        <w:t>Section 3.07</w:t>
      </w:r>
      <w:r>
        <w:rPr>
          <w:rFonts w:ascii="Times New Roman" w:cs="Times New Roman" w:eastAsia="Times New Roman" w:hAnsi="Times New Roman"/>
          <w:sz w:val="20"/>
          <w:szCs w:val="20"/>
          <w:color w:val="FF0000"/>
          <w:strike w:val="1"/>
        </w:rPr>
        <w:t xml:space="preserve"> that is not Term ESTR.</w:t>
      </w:r>
    </w:p>
    <w:p>
      <w:pPr>
        <w:spacing w:after="0" w:line="154" w:lineRule="exact"/>
        <w:rPr>
          <w:sz w:val="20"/>
          <w:szCs w:val="20"/>
          <w:color w:val="auto"/>
        </w:rPr>
      </w:pPr>
    </w:p>
    <w:p>
      <w:pPr>
        <w:jc w:val="both"/>
        <w:ind w:firstLine="648"/>
        <w:spacing w:after="0" w:line="259" w:lineRule="exact"/>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Term SOFR</w:t>
      </w:r>
      <w:r>
        <w:rPr>
          <w:rFonts w:ascii="Times New Roman" w:cs="Times New Roman" w:eastAsia="Times New Roman" w:hAnsi="Times New Roman"/>
          <w:sz w:val="20"/>
          <w:szCs w:val="20"/>
          <w:color w:val="FF0000"/>
          <w:strike w:val="1"/>
        </w:rPr>
        <w:t>” means, for the applicable Corresponding Tenor as of the applicable Reference Time, the forward</w:t>
      </w:r>
      <w:r>
        <w:rPr>
          <w:rFonts w:ascii="MS PGothic" w:cs="MS PGothic" w:eastAsia="MS PGothic" w:hAnsi="MS PGothic"/>
          <w:sz w:val="20"/>
          <w:szCs w:val="20"/>
          <w:color w:val="FF0000"/>
          <w:strike w:val="1"/>
        </w:rPr>
        <w:t>‐</w:t>
      </w:r>
      <w:r>
        <w:rPr>
          <w:rFonts w:ascii="Times New Roman" w:cs="Times New Roman" w:eastAsia="Times New Roman" w:hAnsi="Times New Roman"/>
          <w:sz w:val="20"/>
          <w:szCs w:val="20"/>
          <w:color w:val="FF0000"/>
          <w:strike w:val="1"/>
        </w:rPr>
        <w:t>looking term rate based on SOFR that has been selected or recommended by the Relevant Governmental Body.</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Term SOFR Notice</w:t>
      </w:r>
      <w:r>
        <w:rPr>
          <w:rFonts w:ascii="Times New Roman" w:cs="Times New Roman" w:eastAsia="Times New Roman" w:hAnsi="Times New Roman"/>
          <w:sz w:val="20"/>
          <w:szCs w:val="20"/>
          <w:color w:val="FF0000"/>
          <w:strike w:val="1"/>
        </w:rPr>
        <w:t>” means a notification by the Administrative Agent to the Lenders and the Company of the occurrence of a Term SOFR Transition Event.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Term SOFR Transition Event</w:t>
      </w:r>
      <w:r>
        <w:rPr>
          <w:rFonts w:ascii="Times New Roman" w:cs="Times New Roman" w:eastAsia="Times New Roman" w:hAnsi="Times New Roman"/>
          <w:sz w:val="20"/>
          <w:szCs w:val="20"/>
          <w:color w:val="FF0000"/>
          <w:strike w:val="1"/>
        </w:rPr>
        <w:t>” means the determination by the Administrative Agent in good faith that (a) Term SOFR has been recommended for use by the Relevant Governmental Body, (b) the administration of Term SOFR is administratively feasible for the Administrative Agent and (c) a Benchmark Transition Event or an Early Opt-in Election, as applicable (and, for the avoidance of doubt, not in the case of an Other Benchmark Rate Election), has previously occurred resulting in a Benchmark Replacement in accordance with Section 3.07 that is not Term SOFR.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TIBO Interpolated Rate</w:t>
      </w:r>
      <w:r>
        <w:rPr>
          <w:rFonts w:ascii="Times New Roman" w:cs="Times New Roman" w:eastAsia="Times New Roman" w:hAnsi="Times New Roman"/>
          <w:sz w:val="20"/>
          <w:szCs w:val="20"/>
          <w:color w:val="FF0000"/>
          <w:strike w:val="1"/>
        </w:rPr>
        <w:t xml:space="preserve">” means, at any time, with respect to any Eurocurrency Borrowing </w:t>
      </w:r>
      <w:r>
        <w:rPr>
          <w:rFonts w:ascii="Times New Roman" w:cs="Times New Roman" w:eastAsia="Times New Roman" w:hAnsi="Times New Roman"/>
          <w:sz w:val="20"/>
          <w:szCs w:val="20"/>
          <w:u w:val="single" w:color="auto"/>
          <w:color w:val="0000FF"/>
          <w:strike w:val="1"/>
        </w:rPr>
        <w:t>"Term Benchmark",</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denominated in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Japanese Yen and </w:t>
      </w:r>
      <w:r>
        <w:rPr>
          <w:rFonts w:ascii="Times New Roman" w:cs="Times New Roman" w:eastAsia="Times New Roman" w:hAnsi="Times New Roman"/>
          <w:sz w:val="20"/>
          <w:szCs w:val="20"/>
          <w:color w:val="FF0000"/>
          <w:strike w:val="1"/>
        </w:rPr>
        <w:t>for any</w:t>
      </w:r>
      <w:r>
        <w:rPr>
          <w:rFonts w:ascii="Times New Roman" w:cs="Times New Roman" w:eastAsia="Times New Roman" w:hAnsi="Times New Roman"/>
          <w:sz w:val="20"/>
          <w:szCs w:val="20"/>
          <w:color w:val="008000"/>
          <w:strike w:val="1"/>
        </w:rPr>
        <w:t xml:space="preserve"> Interest Period, the rate per annum </w:t>
      </w:r>
      <w:r>
        <w:rPr>
          <w:rFonts w:ascii="Times New Roman" w:cs="Times New Roman" w:eastAsia="Times New Roman" w:hAnsi="Times New Roman"/>
          <w:sz w:val="20"/>
          <w:szCs w:val="20"/>
          <w:color w:val="FF0000"/>
          <w:strike w:val="1"/>
        </w:rPr>
        <w:t>(rounded to the same number of decimal places as the TIBOR Screen Rate)</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determined by the Administrative Agent (which determination shall be conclusive and binding absent manifest error) to be equal to the rate that results from interpolating on a linear basis between: (a) the TIBOR Screen Rate for the longest period for which the TIBOR Screen Rate is available that is shorter than the Impacted TIBO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13" w:right="339" w:bottom="1440" w:gutter="0" w:footer="0" w:header="0"/>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20"/>
          <w:szCs w:val="20"/>
          <w:color w:val="FF0000"/>
          <w:strike w:val="1"/>
        </w:rPr>
        <w:t xml:space="preserve">Rate Interest Period; and (b) the TIBOR Screen Rate for the shortest period for which the TIBOR Screen Rate is available that exceeds the Impacted TIBO Rate Interest Period, in each case, at such time; provided that, if any TIBO Interpolated </w:t>
      </w:r>
      <w:r>
        <w:rPr>
          <w:rFonts w:ascii="Times New Roman" w:cs="Times New Roman" w:eastAsia="Times New Roman" w:hAnsi="Times New Roman"/>
          <w:sz w:val="20"/>
          <w:szCs w:val="20"/>
          <w:color w:val="008000"/>
          <w:strike w:val="1"/>
        </w:rPr>
        <w:t>Rate shall be less than zero, such rate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shall be deemed to be zero for </w:t>
      </w:r>
      <w:r>
        <w:rPr>
          <w:rFonts w:ascii="Times New Roman" w:cs="Times New Roman" w:eastAsia="Times New Roman" w:hAnsi="Times New Roman"/>
          <w:sz w:val="20"/>
          <w:szCs w:val="20"/>
          <w:color w:val="FF0000"/>
          <w:strike w:val="1"/>
        </w:rPr>
        <w:t>the purposes of this Agreement.</w:t>
      </w:r>
      <w:r>
        <w:rPr>
          <w:rFonts w:ascii="Times New Roman" w:cs="Times New Roman" w:eastAsia="Times New Roman" w:hAnsi="Times New Roman"/>
          <w:sz w:val="20"/>
          <w:szCs w:val="20"/>
          <w:u w:val="single" w:color="auto"/>
          <w:color w:val="008000"/>
          <w:strike w:val="1"/>
        </w:rPr>
        <w:t>when used in reference to any Loan or Borrowing, means that such Loan, or</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u w:val="single" w:color="auto"/>
          <w:color w:val="008000"/>
          <w:strike w:val="1"/>
        </w:rPr>
        <w:t xml:space="preserve">the Loans comprising such Borrowing, bears interest at a rate determined by reference to the Adjusted </w:t>
      </w:r>
      <w:r>
        <w:rPr>
          <w:rFonts w:ascii="Times New Roman" w:cs="Times New Roman" w:eastAsia="Times New Roman" w:hAnsi="Times New Roman"/>
          <w:sz w:val="20"/>
          <w:szCs w:val="20"/>
          <w:u w:val="single" w:color="auto"/>
          <w:color w:val="0000FF"/>
          <w:strike w:val="1"/>
        </w:rPr>
        <w:t>Term SOFR Rate, the Adjusted</w:t>
      </w:r>
      <w:r>
        <w:rPr>
          <w:rFonts w:ascii="Times New Roman" w:cs="Times New Roman" w:eastAsia="Times New Roman" w:hAnsi="Times New Roman"/>
          <w:sz w:val="20"/>
          <w:szCs w:val="20"/>
          <w:u w:val="single" w:color="auto"/>
          <w:color w:val="008000"/>
          <w:strike w:val="1"/>
        </w:rPr>
        <w:t xml:space="preserve"> </w:t>
      </w:r>
      <w:r>
        <w:rPr>
          <w:rFonts w:ascii="Times New Roman" w:cs="Times New Roman" w:eastAsia="Times New Roman" w:hAnsi="Times New Roman"/>
          <w:sz w:val="20"/>
          <w:szCs w:val="20"/>
          <w:u w:val="single" w:color="auto"/>
          <w:color w:val="0000FF"/>
          <w:strike w:val="1"/>
        </w:rPr>
        <w:t>EURIBO Rate, the Adjusted TIBO Rate, the CDOR Rate, the BBSY Rate or other Relevant Rate (other than Daily Simple SONIA), as applicable.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 xml:space="preserve">“Term Benchmark Borrowing” means, as to any Borrowing, the Term Benchmark </w:t>
      </w:r>
      <w:r>
        <w:rPr>
          <w:rFonts w:ascii="Times New Roman" w:cs="Times New Roman" w:eastAsia="Times New Roman" w:hAnsi="Times New Roman"/>
          <w:sz w:val="20"/>
          <w:szCs w:val="20"/>
          <w:u w:val="single" w:color="auto"/>
          <w:color w:val="008000"/>
        </w:rPr>
        <w:t>Loans comprising such Borrowing.</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u w:val="single" w:color="auto"/>
          <w:color w:val="0000FF"/>
        </w:rPr>
        <w:t xml:space="preserve">“Term Benchmark </w:t>
      </w:r>
      <w:r>
        <w:rPr>
          <w:rFonts w:ascii="Times New Roman" w:cs="Times New Roman" w:eastAsia="Times New Roman" w:hAnsi="Times New Roman"/>
          <w:sz w:val="20"/>
          <w:szCs w:val="20"/>
          <w:u w:val="single" w:color="auto"/>
          <w:color w:val="008000"/>
        </w:rPr>
        <w:t>Loan” means a Loan that bears interest at</w:t>
      </w:r>
      <w:r>
        <w:rPr>
          <w:rFonts w:ascii="Times New Roman" w:cs="Times New Roman" w:eastAsia="Times New Roman" w:hAnsi="Times New Roman"/>
          <w:sz w:val="20"/>
          <w:szCs w:val="20"/>
          <w:u w:val="single" w:color="auto"/>
          <w:color w:val="0000FF"/>
        </w:rPr>
        <w:t xml:space="preserve"> the Term Benchmark. </w:t>
      </w:r>
      <w:r>
        <w:rPr>
          <w:rFonts w:ascii="Times New Roman" w:cs="Times New Roman" w:eastAsia="Times New Roman" w:hAnsi="Times New Roman"/>
          <w:sz w:val="20"/>
          <w:szCs w:val="20"/>
          <w:u w:val="single" w:color="auto"/>
          <w:color w:val="008000"/>
        </w:rPr>
        <w:t>All Loans denominated in an Alternative</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Currency (other than Sterling) must be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u w:val="single" w:color="auto"/>
          <w:color w:val="008000"/>
        </w:rPr>
        <w:t xml:space="preserve"> Loans, except as provided in Section 2.04(a).</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“Term SOFR Determination Day” has the meaning assigned to it under the definition of Term SOFR Reference Rate.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u w:val="single" w:color="auto"/>
          <w:color w:val="0000FF"/>
        </w:rPr>
        <w:t>“Term SOFR Rate”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u w:val="single" w:color="auto"/>
          <w:color w:val="0000FF"/>
        </w:rPr>
        <w:t xml:space="preserve">“Term SOFR Reference Rate” means, for any day and time (such day, the “Term SOFR Determination Day”), with respect to any Term Benchmark Borrowing denominated in Dollars and for any tenor comparable to the applicable </w:t>
      </w:r>
      <w:r>
        <w:rPr>
          <w:rFonts w:ascii="Times New Roman" w:cs="Times New Roman" w:eastAsia="Times New Roman" w:hAnsi="Times New Roman"/>
          <w:sz w:val="20"/>
          <w:szCs w:val="20"/>
          <w:u w:val="single" w:color="auto"/>
          <w:color w:val="008000"/>
        </w:rPr>
        <w:t>Interest Period, the rate per annum</w:t>
      </w:r>
      <w:r>
        <w:rPr>
          <w:rFonts w:ascii="Times New Roman" w:cs="Times New Roman" w:eastAsia="Times New Roman" w:hAnsi="Times New Roman"/>
          <w:sz w:val="20"/>
          <w:szCs w:val="20"/>
          <w:u w:val="single" w:color="auto"/>
          <w:color w:val="0000FF"/>
        </w:rPr>
        <w:t xml:space="preserve"> published by the CME Term Administrator and identified reasonably and in good faith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Business Day is not more than five (5) U.S. Government Securities Business Day Business Days prior to such Term SOFR Determination Day.</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TIBO Rate</w:t>
      </w:r>
      <w:r>
        <w:rPr>
          <w:rFonts w:ascii="Times New Roman" w:cs="Times New Roman" w:eastAsia="Times New Roman" w:hAnsi="Times New Roman"/>
          <w:sz w:val="20"/>
          <w:szCs w:val="20"/>
          <w:color w:val="auto"/>
        </w:rPr>
        <w:t xml:space="preserve">” means, with respect to any </w:t>
      </w:r>
      <w:r>
        <w:rPr>
          <w:rFonts w:ascii="Times New Roman" w:cs="Times New Roman" w:eastAsia="Times New Roman" w:hAnsi="Times New Roman"/>
          <w:sz w:val="20"/>
          <w:szCs w:val="20"/>
          <w:color w:val="EE2724"/>
          <w:strike w:val="1"/>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Borrowing denominated in Japanese Yen and for any Interest Period, the TIBOR Screen Rate </w:t>
      </w:r>
      <w:r>
        <w:rPr>
          <w:rFonts w:ascii="Times New Roman" w:cs="Times New Roman" w:eastAsia="Times New Roman" w:hAnsi="Times New Roman"/>
          <w:sz w:val="20"/>
          <w:szCs w:val="20"/>
          <w:color w:val="008000"/>
          <w:strike w:val="1"/>
        </w:rPr>
        <w:t>at approximately 11:00 a.m.,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Japan time,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two Business Days prior to the commencement of such Interest Period</w:t>
      </w:r>
      <w:r>
        <w:rPr>
          <w:rFonts w:ascii="Times New Roman" w:cs="Times New Roman" w:eastAsia="Times New Roman" w:hAnsi="Times New Roman"/>
          <w:sz w:val="20"/>
          <w:szCs w:val="20"/>
          <w:color w:val="FF0000"/>
          <w:strike w:val="1"/>
        </w:rPr>
        <w:t>; provided that, if the TIBOR Screen Rate shall not be available at such time for such Interest Period (an “</w:t>
      </w:r>
      <w:r>
        <w:rPr>
          <w:rFonts w:ascii="Times New Roman" w:cs="Times New Roman" w:eastAsia="Times New Roman" w:hAnsi="Times New Roman"/>
          <w:sz w:val="20"/>
          <w:szCs w:val="20"/>
          <w:u w:val="single" w:color="auto"/>
          <w:color w:val="FF0000"/>
          <w:strike w:val="1"/>
        </w:rPr>
        <w:t>Impacted TIBO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rPr>
        <w:t>Interest Period</w:t>
      </w:r>
      <w:r>
        <w:rPr>
          <w:rFonts w:ascii="Times New Roman" w:cs="Times New Roman" w:eastAsia="Times New Roman" w:hAnsi="Times New Roman"/>
          <w:sz w:val="20"/>
          <w:szCs w:val="20"/>
          <w:color w:val="FF0000"/>
        </w:rPr>
        <w:t>”) with respect to Japanese Yen then the TIBO Rate shall be the TIBO Interpolated Rate</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-389890</wp:posOffset>
            </wp:positionV>
            <wp:extent cx="400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0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5158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58105" cy="8255"/>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TIBOR Screen Rate</w:t>
      </w:r>
      <w:r>
        <w:rPr>
          <w:rFonts w:ascii="Times New Roman" w:cs="Times New Roman" w:eastAsia="Times New Roman" w:hAnsi="Times New Roman"/>
          <w:sz w:val="19"/>
          <w:szCs w:val="19"/>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20"/>
          <w:szCs w:val="20"/>
          <w:color w:val="auto"/>
        </w:rPr>
        <w:t>screen that displays such rate, or on the appropriate page of such other information service that publishes such rate as selected by the Administrative Agent from time to time in its reasonable discretion) as of 11:00 a.m. Japan time two Business Days prior to the commencement of such Interest Period. If the TIBOR Screen Rate shall be less than zero, the TIBOR Screen Rate shall be deemed to be zero for purposes of this Agreement.</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all Swing Line Loans and all L/C Obligations.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Agreement</w:t>
      </w:r>
      <w:r>
        <w:rPr>
          <w:rFonts w:ascii="Times New Roman" w:cs="Times New Roman" w:eastAsia="Times New Roman" w:hAnsi="Times New Roman"/>
          <w:sz w:val="20"/>
          <w:szCs w:val="20"/>
          <w:color w:val="auto"/>
        </w:rPr>
        <w:t>” means any agreement governing the provision of treasury or cash management services, including deposit accounts, funds transfer, automated clearinghouse, zero balance accounts, returned check concentration, controlled disbursement, lockbox, account reconciliation, reporting and trade finance services, overnight draft, credit cards, debit cards, p-cards (including purchasing cards and commercial cards), e-payables and other treasury management services.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Bank</w:t>
      </w:r>
      <w:r>
        <w:rPr>
          <w:rFonts w:ascii="Times New Roman" w:cs="Times New Roman" w:eastAsia="Times New Roman" w:hAnsi="Times New Roman"/>
          <w:sz w:val="20"/>
          <w:szCs w:val="20"/>
          <w:color w:val="auto"/>
        </w:rPr>
        <w:t>” means any Person that (a) at the time it enters into a Treasury Management Agreement, is a Lender or the Administrative Agent or an Affiliate of a Lender or the Administrative Agent, (b) in the case of any Treasury Management Agreement in effect on or prior to the Closing Date, is, as of the Closing Date or within 30 days thereafter, a Lender or the Administrative Agent or an Affiliate of a Lender or the Administrative Agent and a party to a Treasury Management Agreement or (c) within 30 days after the time it enters into the applicable Treasury Management Agreement, becomes a Lender, the Administrative Agent or an Affiliate of a Lender or the Administrative Agent, in each case, in its capacity as a party to such Treasury Management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Tricor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xml:space="preserve">” means, with respect to any Loan, its character as a Base Rate Loan, RFR Loan or a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w:t>
      </w:r>
    </w:p>
    <w:p>
      <w:pPr>
        <w:spacing w:after="0" w:line="2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means, with respect to any Letter of Credit, the Uniform Customs and Practice for Documentary Credits, International Chamber of Commerce (“</w:t>
      </w: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Publication No. 600 (or such later version thereof as may be in effect at the time of issuance).</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3" w:right="339" w:bottom="1440" w:gutter="0" w:footer="0" w:header="0"/>
        </w:sectPr>
      </w:pPr>
    </w:p>
    <w:bookmarkStart w:id="63" w:name="page64"/>
    <w:bookmarkEnd w:id="63"/>
    <w:p>
      <w:pPr>
        <w:jc w:val="both"/>
        <w:ind w:firstLine="648"/>
        <w:spacing w:after="0" w:line="261" w:lineRule="auto"/>
        <w:rPr>
          <w:sz w:val="20"/>
          <w:szCs w:val="20"/>
          <w:color w:val="auto"/>
        </w:rPr>
      </w:pPr>
      <w:r>
        <w:rPr>
          <w:rFonts w:ascii="Times New Roman" w:cs="Times New Roman" w:eastAsia="Times New Roman" w:hAnsi="Times New Roman"/>
          <w:sz w:val="20"/>
          <w:szCs w:val="20"/>
          <w:u w:val="single" w:color="auto"/>
          <w:color w:val="0000FF"/>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Internal Revenue Code.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3.01(e)(ii)(B)(3)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means, with respect to any Person, Capital Stock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means any Person 100% of whose Capital Stock is at the time owned by the Company directly or indirectly through other Persons 100% of whose Capital Stock is at the time owned, directly or indirectly, by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Worldwide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Other Interpretive Provisions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With reference to this Agreement and each other Loan Document, unless otherwise specified herein or in such other Loan Document:</w:t>
      </w:r>
    </w:p>
    <w:p>
      <w:pPr>
        <w:spacing w:after="0" w:line="227" w:lineRule="exact"/>
        <w:rPr>
          <w:sz w:val="20"/>
          <w:szCs w:val="20"/>
          <w:color w:val="auto"/>
        </w:rPr>
      </w:pPr>
    </w:p>
    <w:p>
      <w:pPr>
        <w:ind w:left="1060" w:hanging="404"/>
        <w:spacing w:after="0"/>
        <w:tabs>
          <w:tab w:leader="none" w:pos="10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of defined terms are equally applicable to the singular and plural forms of the defined terms.</w:t>
      </w:r>
    </w:p>
    <w:p>
      <w:pPr>
        <w:spacing w:after="0" w:line="229" w:lineRule="exact"/>
        <w:rPr>
          <w:rFonts w:ascii="Times New Roman" w:cs="Times New Roman" w:eastAsia="Times New Roman" w:hAnsi="Times New Roman"/>
          <w:sz w:val="20"/>
          <w:szCs w:val="20"/>
          <w:color w:val="auto"/>
        </w:rPr>
      </w:pPr>
    </w:p>
    <w:p>
      <w:pPr>
        <w:ind w:left="1300" w:hanging="644"/>
        <w:spacing w:after="0" w:line="283" w:lineRule="auto"/>
        <w:tabs>
          <w:tab w:leader="none" w:pos="110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words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hereto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refer to such Loan Document as a whole and not to any particular provision thereof.</w:t>
      </w:r>
    </w:p>
    <w:p>
      <w:pPr>
        <w:spacing w:after="0" w:line="14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Section, Exhibit and Schedule references are to the Loan Document in which such reference appears.</w:t>
      </w:r>
    </w:p>
    <w:p>
      <w:pPr>
        <w:spacing w:after="0" w:line="229"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is by way of example and not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3" w:right="339" w:bottom="1440" w:gutter="0" w:footer="0" w:header="0"/>
        </w:sectPr>
      </w:pPr>
    </w:p>
    <w:bookmarkStart w:id="64" w:name="page65"/>
    <w:bookmarkEnd w:id="64"/>
    <w:p>
      <w:pPr>
        <w:ind w:left="660" w:firstLine="644"/>
        <w:spacing w:after="0" w:line="283" w:lineRule="auto"/>
        <w:tabs>
          <w:tab w:leader="none" w:pos="177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includes any and all instruments, documents, agreements, certificates, notices, reports, financial statements and other writings, however evidenced, whether in physical or electronic form.</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6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05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92" w:lineRule="exact"/>
        <w:rPr>
          <w:rFonts w:ascii="Times New Roman" w:cs="Times New Roman" w:eastAsia="Times New Roman" w:hAnsi="Times New Roman"/>
          <w:sz w:val="20"/>
          <w:szCs w:val="20"/>
          <w:color w:val="auto"/>
        </w:rPr>
      </w:pPr>
    </w:p>
    <w:p>
      <w:pPr>
        <w:ind w:firstLine="656"/>
        <w:spacing w:after="0" w:line="283" w:lineRule="auto"/>
        <w:tabs>
          <w:tab w:leader="none" w:pos="10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u w:val="single" w:color="auto"/>
          <w:color w:val="auto"/>
        </w:rPr>
        <w:t>Accounting Terms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9" w:lineRule="auto"/>
        <w:tabs>
          <w:tab w:leader="none" w:pos="108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Notwithstanding anything to the contrary in this Agreement or any other Loan Document, for purposes of determining compliance with any covenant (including the computation of any financial covenant) contained in any Loan Document, Debt of the Loan Parties and their Subsidiaries shall be deemed to be carried at 100% of the outstanding principal amount thereof, and the effects of FASB ASC 825 on financial liabilities shall be disregarded.</w:t>
      </w:r>
    </w:p>
    <w:p>
      <w:pPr>
        <w:spacing w:after="0" w:line="164" w:lineRule="exact"/>
        <w:rPr>
          <w:rFonts w:ascii="Times New Roman" w:cs="Times New Roman" w:eastAsia="Times New Roman" w:hAnsi="Times New Roman"/>
          <w:sz w:val="19"/>
          <w:szCs w:val="19"/>
          <w:color w:val="auto"/>
        </w:rPr>
      </w:pPr>
    </w:p>
    <w:p>
      <w:pPr>
        <w:jc w:val="both"/>
        <w:ind w:firstLine="656"/>
        <w:spacing w:after="0" w:line="251" w:lineRule="auto"/>
        <w:tabs>
          <w:tab w:leader="none" w:pos="108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any change in GAAP would affect the computation of any financial ratio set forth in any Loan Document or the determination of compliance with any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operating leases shall continue to be treated in accordance with GAAP as in effect immediately prior to the Company’s adoption of FASB ASC 842;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for purposes of the financial statements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so long as the Compliance Certificate delivered by the Company in connection with such financial statements includes an explanation of the differences resulting from such treatment of leases in a manner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3" w:right="339" w:bottom="1440" w:gutter="0" w:footer="0" w:header="0"/>
        </w:sectPr>
      </w:pPr>
    </w:p>
    <w:bookmarkStart w:id="65" w:name="page66"/>
    <w:bookmarkEnd w:id="65"/>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u w:val="single" w:color="auto"/>
          <w:color w:val="auto"/>
        </w:rPr>
        <w:t>Rounding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u w:val="single" w:color="auto"/>
          <w:color w:val="auto"/>
        </w:rPr>
        <w:t>References to Agreements and Laws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Exchange Rates; Currency Equivalents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1" w:lineRule="auto"/>
        <w:tabs>
          <w:tab w:leader="none" w:pos="107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L/C Issuer, as applicable, shall determine in good faith the Spot Rates as of each Revaluation Date to be used for calculating Dollar Equivalent amounts of Credit Extensions and Outstanding Amounts denominated in Alternative Currencies (and, upon request, shall promptly notify the Company of such determination).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in good faith by the Administrative Agent or the L/C Issuer, as applicable.</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Wherever in this Agreement in connection with a Borrowing, conversion, continuation or prepayment of a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or an RFR Loan or the issuance, amendment or extension of a Letter of Credit, an amount, such as a required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minimum or multiple amount, is expressed in Dollars, but such Borrowing,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 RFR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does not warrant, nor accept responsibility, nor shall the Administrative Agent have any liability with respect to the administration, submission or any other matter related to the establishment of the rates in the definition of “</w:t>
      </w:r>
      <w:r>
        <w:rPr>
          <w:rFonts w:ascii="Times New Roman" w:cs="Times New Roman" w:eastAsia="Times New Roman" w:hAnsi="Times New Roman"/>
          <w:sz w:val="20"/>
          <w:szCs w:val="20"/>
          <w:color w:val="EE2724"/>
          <w:strike w:val="1"/>
        </w:rPr>
        <w:t>Eurocurrency Base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 or with respect to any comparable or successor rate thereto.</w:t>
      </w:r>
    </w:p>
    <w:p>
      <w:pPr>
        <w:spacing w:after="0" w:line="1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u w:val="single" w:color="auto"/>
          <w:color w:val="auto"/>
        </w:rPr>
        <w:t>Additional Alternative Currencies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8" w:lineRule="auto"/>
        <w:tabs>
          <w:tab w:leader="none" w:pos="106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request that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be made and/or Letters of Credit be issued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requested currency is a lawful currency (other than Dollars) that is readily available and freely transferable and convertible into Dollars and (ii) such requested currency shall only be a Quoted Currency to the extent that there is a published reference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13" w:right="339" w:bottom="1440" w:gutter="0" w:footer="0" w:header="0"/>
        </w:sectPr>
      </w:pPr>
    </w:p>
    <w:bookmarkStart w:id="66" w:name="page67"/>
    <w:bookmarkEnd w:id="66"/>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for such currency. In the case of any such request with respect to the making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81" w:lineRule="exact"/>
        <w:rPr>
          <w:sz w:val="20"/>
          <w:szCs w:val="20"/>
          <w:color w:val="auto"/>
        </w:rPr>
      </w:pPr>
    </w:p>
    <w:p>
      <w:pPr>
        <w:jc w:val="both"/>
        <w:ind w:firstLine="656"/>
        <w:spacing w:after="0" w:line="252" w:lineRule="auto"/>
        <w:tabs>
          <w:tab w:leader="none" w:pos="105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request shall be made to the Administrative Agent not later than 11:00 a.m., fifteen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the Administrative Agent shall promptly notify each Lender thereof; and in the case of any such request pertaining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to Letters of Credit, the Administrative Agent shall promptly notify the L/C Issuer thereof. Each Lender (in the case of any such request pertaining to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Loans) or the L/C Issuer (in the case of a request pertaining to Letters of Credit) shall notify the Administrative Agent, not later than 11:00 a.m., seven Business Days after receipt of such request whether it consents, in its sole discretion, to the making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Loans or the issuance of Letters of Credit, as the case may be, in such requested currency.</w:t>
      </w:r>
    </w:p>
    <w:p>
      <w:pPr>
        <w:spacing w:after="0" w:line="175" w:lineRule="exact"/>
        <w:rPr>
          <w:rFonts w:ascii="Times New Roman" w:cs="Times New Roman" w:eastAsia="Times New Roman" w:hAnsi="Times New Roman"/>
          <w:sz w:val="20"/>
          <w:szCs w:val="20"/>
          <w:color w:val="auto"/>
        </w:rPr>
      </w:pPr>
    </w:p>
    <w:p>
      <w:pPr>
        <w:jc w:val="both"/>
        <w:ind w:firstLine="656"/>
        <w:spacing w:after="0" w:line="264" w:lineRule="auto"/>
        <w:tabs>
          <w:tab w:leader="none" w:pos="1061"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failure by a Lender or the L/C Issuer, as the case may be, to respond to such request within the time period specified in the preceding sentence shall be deemed to be a refusal by such Lender or the L/C Issuer, as the case may be, to permit </w:t>
      </w:r>
      <w:r>
        <w:rPr>
          <w:rFonts w:ascii="Times New Roman" w:cs="Times New Roman" w:eastAsia="Times New Roman" w:hAnsi="Times New Roman"/>
          <w:sz w:val="19"/>
          <w:szCs w:val="19"/>
          <w:color w:val="EE2724"/>
          <w:strike w:val="1"/>
        </w:rPr>
        <w:t>Eurocurrency 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Benchmark</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Loans to be made or Letters of Credit to be issued in such requested currency. If the Administrative Agent and all the Lenders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consent to making </w:t>
      </w:r>
      <w:r>
        <w:rPr>
          <w:rFonts w:ascii="Times New Roman" w:cs="Times New Roman" w:eastAsia="Times New Roman" w:hAnsi="Times New Roman"/>
          <w:sz w:val="19"/>
          <w:szCs w:val="19"/>
          <w:color w:val="EE2724"/>
          <w:strike w:val="1"/>
        </w:rPr>
        <w:t>Eurocurrency Rate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000000"/>
        </w:rPr>
        <w:t xml:space="preserve"> Loans in such requested currency and the Administrative Agent and such Lenders reasonably determine that a </w:t>
      </w:r>
      <w:r>
        <w:rPr>
          <w:rFonts w:ascii="Times New Roman" w:cs="Times New Roman" w:eastAsia="Times New Roman" w:hAnsi="Times New Roman"/>
          <w:sz w:val="19"/>
          <w:szCs w:val="19"/>
          <w:color w:val="EE2724"/>
          <w:strike w:val="1"/>
        </w:rPr>
        <w:t>Eurocurrency Base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Relevant</w:t>
      </w:r>
      <w:r>
        <w:rPr>
          <w:rFonts w:ascii="Times New Roman" w:cs="Times New Roman" w:eastAsia="Times New Roman" w:hAnsi="Times New Roman"/>
          <w:sz w:val="19"/>
          <w:szCs w:val="19"/>
          <w:color w:val="000000"/>
        </w:rPr>
        <w:t xml:space="preserve"> Rate is available to be used for such requested currency, the Administrative Agent shall so notify the Company and (i) the Administrative Agent and such Lenders may amend the definition of </w:t>
      </w:r>
      <w:r>
        <w:rPr>
          <w:rFonts w:ascii="Times New Roman" w:cs="Times New Roman" w:eastAsia="Times New Roman" w:hAnsi="Times New Roman"/>
          <w:sz w:val="19"/>
          <w:szCs w:val="19"/>
          <w:color w:val="EE2724"/>
          <w:strike w:val="1"/>
        </w:rPr>
        <w:t>Eurocurrency Base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Relevant</w:t>
      </w:r>
      <w:r>
        <w:rPr>
          <w:rFonts w:ascii="Times New Roman" w:cs="Times New Roman" w:eastAsia="Times New Roman" w:hAnsi="Times New Roman"/>
          <w:sz w:val="19"/>
          <w:szCs w:val="19"/>
          <w:color w:val="000000"/>
        </w:rPr>
        <w:t xml:space="preserve"> Rate for any Non-Quoted Currency to the extent necessary to add the applicable </w:t>
      </w:r>
      <w:r>
        <w:rPr>
          <w:rFonts w:ascii="Times New Roman" w:cs="Times New Roman" w:eastAsia="Times New Roman" w:hAnsi="Times New Roman"/>
          <w:sz w:val="19"/>
          <w:szCs w:val="19"/>
          <w:color w:val="EE2724"/>
          <w:strike w:val="1"/>
        </w:rPr>
        <w:t>Eurocurrency Base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Relevant</w:t>
      </w:r>
      <w:r>
        <w:rPr>
          <w:rFonts w:ascii="Times New Roman" w:cs="Times New Roman" w:eastAsia="Times New Roman" w:hAnsi="Times New Roman"/>
          <w:sz w:val="19"/>
          <w:szCs w:val="19"/>
          <w:color w:val="000000"/>
        </w:rPr>
        <w:t xml:space="preserve"> Rate for such currency and (ii) to the extent the definition of </w:t>
      </w:r>
      <w:r>
        <w:rPr>
          <w:rFonts w:ascii="Times New Roman" w:cs="Times New Roman" w:eastAsia="Times New Roman" w:hAnsi="Times New Roman"/>
          <w:sz w:val="19"/>
          <w:szCs w:val="19"/>
          <w:color w:val="EE2724"/>
          <w:strike w:val="1"/>
        </w:rPr>
        <w:t>Eurocurrency Base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Relevant</w:t>
      </w:r>
      <w:r>
        <w:rPr>
          <w:rFonts w:ascii="Times New Roman" w:cs="Times New Roman" w:eastAsia="Times New Roman" w:hAnsi="Times New Roman"/>
          <w:sz w:val="19"/>
          <w:szCs w:val="19"/>
          <w:color w:val="000000"/>
        </w:rPr>
        <w:t xml:space="preserve"> Rate reflects the appropriate interest rate for such currency or has been amended to reflect the appropriate rate for such currency, such currency shall thereupon be deemed for all purposes to be a Quoted Currency or a Non-Quoted Currency, as applicable, for purposes of any Borrowings of </w:t>
      </w:r>
      <w:r>
        <w:rPr>
          <w:rFonts w:ascii="Times New Roman" w:cs="Times New Roman" w:eastAsia="Times New Roman" w:hAnsi="Times New Roman"/>
          <w:sz w:val="19"/>
          <w:szCs w:val="19"/>
          <w:color w:val="EE2724"/>
          <w:strike w:val="1"/>
        </w:rPr>
        <w:t>Eurocurrency Rate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000000"/>
        </w:rPr>
        <w:t xml:space="preserve"> Loans. If the Administrative Agent and the L/C Issuer consent to the issuance of Letters of Credit in such requested currency, the Administrative Agent shall so notify the Company and (A) the Administrative Agent and the L/C Issuer may amend the definition of </w:t>
      </w:r>
      <w:r>
        <w:rPr>
          <w:rFonts w:ascii="Times New Roman" w:cs="Times New Roman" w:eastAsia="Times New Roman" w:hAnsi="Times New Roman"/>
          <w:sz w:val="19"/>
          <w:szCs w:val="19"/>
          <w:color w:val="EE2724"/>
          <w:strike w:val="1"/>
        </w:rPr>
        <w:t>Eurocurrency Base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Relevant</w:t>
      </w:r>
      <w:r>
        <w:rPr>
          <w:rFonts w:ascii="Times New Roman" w:cs="Times New Roman" w:eastAsia="Times New Roman" w:hAnsi="Times New Roman"/>
          <w:sz w:val="19"/>
          <w:szCs w:val="19"/>
          <w:color w:val="000000"/>
        </w:rPr>
        <w:t xml:space="preserve"> Rate for any Non-Quoted Currency to the extent necessary to add the applicable </w:t>
      </w:r>
      <w:r>
        <w:rPr>
          <w:rFonts w:ascii="Times New Roman" w:cs="Times New Roman" w:eastAsia="Times New Roman" w:hAnsi="Times New Roman"/>
          <w:sz w:val="19"/>
          <w:szCs w:val="19"/>
          <w:color w:val="EE2724"/>
          <w:strike w:val="1"/>
        </w:rPr>
        <w:t>Eurocurrency Base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Relevant</w:t>
      </w:r>
      <w:r>
        <w:rPr>
          <w:rFonts w:ascii="Times New Roman" w:cs="Times New Roman" w:eastAsia="Times New Roman" w:hAnsi="Times New Roman"/>
          <w:sz w:val="19"/>
          <w:szCs w:val="19"/>
          <w:color w:val="000000"/>
        </w:rPr>
        <w:t xml:space="preserve"> Rate for such currency and (B) to the extent the definition of </w:t>
      </w:r>
      <w:r>
        <w:rPr>
          <w:rFonts w:ascii="Times New Roman" w:cs="Times New Roman" w:eastAsia="Times New Roman" w:hAnsi="Times New Roman"/>
          <w:sz w:val="19"/>
          <w:szCs w:val="19"/>
          <w:color w:val="EE2724"/>
          <w:strike w:val="1"/>
        </w:rPr>
        <w:t>Eurocurrency Base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Relevant</w:t>
      </w:r>
      <w:r>
        <w:rPr>
          <w:rFonts w:ascii="Times New Roman" w:cs="Times New Roman" w:eastAsia="Times New Roman" w:hAnsi="Times New Roman"/>
          <w:sz w:val="19"/>
          <w:szCs w:val="19"/>
          <w:color w:val="000000"/>
        </w:rPr>
        <w:t xml:space="preserve"> Rate reflects the appropriate interest rate for such currency or has been amended to reflect the appropriate rate for such currency, such currency shall thereupon be deemed for all purposes to be a Quoted Currency or a Non-Quoted Currency, as applicable, for purposes of any Letter of Credit issuances. If the Administrative Agent shall fail to obtain consent to any request for an additional currency under this </w:t>
      </w:r>
      <w:r>
        <w:rPr>
          <w:rFonts w:ascii="Times New Roman" w:cs="Times New Roman" w:eastAsia="Times New Roman" w:hAnsi="Times New Roman"/>
          <w:sz w:val="19"/>
          <w:szCs w:val="19"/>
          <w:u w:val="single" w:color="auto"/>
          <w:color w:val="000000"/>
        </w:rPr>
        <w:t>Section 1.07</w:t>
      </w:r>
      <w:r>
        <w:rPr>
          <w:rFonts w:ascii="Times New Roman" w:cs="Times New Roman" w:eastAsia="Times New Roman" w:hAnsi="Times New Roman"/>
          <w:sz w:val="19"/>
          <w:szCs w:val="19"/>
          <w:color w:val="000000"/>
        </w:rPr>
        <w:t>, the Administrative Agent shall promptly so notify the Company.</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u w:val="single" w:color="auto"/>
          <w:color w:val="auto"/>
        </w:rPr>
        <w:t>Change of Currency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3" w:lineRule="auto"/>
        <w:tabs>
          <w:tab w:leader="none" w:pos="111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13"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1" w:lineRule="exact"/>
        <w:rPr>
          <w:sz w:val="20"/>
          <w:szCs w:val="20"/>
          <w:color w:val="auto"/>
        </w:rPr>
      </w:pPr>
    </w:p>
    <w:p>
      <w:pPr>
        <w:jc w:val="both"/>
        <w:ind w:firstLine="656"/>
        <w:spacing w:after="0" w:line="253" w:lineRule="auto"/>
        <w:tabs>
          <w:tab w:leader="none" w:pos="107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reasonably specify, in consultation with the Borrowers, to be appropriate to reflect (i) the adoption of the Euro by any member state of the European Union and any relevant market conventions or practices relating to the Euro and (ii) any change in currency of another country and any relevant market conventions or practices relating to the change in currency; provided, in each case, the Administrative Agent shall have generally implemented such changes of construction (with respect to the applicable currency) in other credit facilities under similar circumstances.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u w:val="single" w:color="auto"/>
          <w:color w:val="auto"/>
        </w:rPr>
        <w:t>Times of Day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Central time (daylight or standard, as applicable).</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u w:val="single" w:color="auto"/>
          <w:color w:val="auto"/>
        </w:rPr>
        <w:t>Letter of Credit Amounts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9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Luxembourg Terms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Without prejudice to the generality of any provision of this Agreement, in this Agreement where it relates to a Luxembourg Loan Party, a reference to: (a) a winding-up, administration or dissolution includes, without limitation,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liquidation, composition with creditors (</w:t>
      </w:r>
      <w:r>
        <w:rPr>
          <w:rFonts w:ascii="Times New Roman" w:cs="Times New Roman" w:eastAsia="Times New Roman" w:hAnsi="Times New Roman"/>
          <w:sz w:val="20"/>
          <w:szCs w:val="20"/>
          <w:i w:val="1"/>
          <w:iCs w:val="1"/>
          <w:color w:val="auto"/>
        </w:rPr>
        <w:t>concordat préventif de faillite</w:t>
      </w:r>
      <w:r>
        <w:rPr>
          <w:rFonts w:ascii="Times New Roman" w:cs="Times New Roman" w:eastAsia="Times New Roman" w:hAnsi="Times New Roman"/>
          <w:sz w:val="20"/>
          <w:szCs w:val="20"/>
          <w:color w:val="auto"/>
        </w:rPr>
        <w:t>), a suspension of payments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procedure, controlled management (</w:t>
      </w:r>
      <w:r>
        <w:rPr>
          <w:rFonts w:ascii="Times New Roman" w:cs="Times New Roman" w:eastAsia="Times New Roman" w:hAnsi="Times New Roman"/>
          <w:sz w:val="20"/>
          <w:szCs w:val="20"/>
          <w:i w:val="1"/>
          <w:iCs w:val="1"/>
          <w:color w:val="auto"/>
        </w:rPr>
        <w:t>gestion controlée</w:t>
      </w:r>
      <w:r>
        <w:rPr>
          <w:rFonts w:ascii="Times New Roman" w:cs="Times New Roman" w:eastAsia="Times New Roman" w:hAnsi="Times New Roman"/>
          <w:sz w:val="20"/>
          <w:szCs w:val="20"/>
          <w:color w:val="auto"/>
        </w:rPr>
        <w:t xml:space="preserve">); (b) a receiver, administrative receiver, administrator, trustee, custodian, sequestrator, conservator or similar officer includes, without limitation, a </w:t>
      </w:r>
      <w:r>
        <w:rPr>
          <w:rFonts w:ascii="Times New Roman" w:cs="Times New Roman" w:eastAsia="Times New Roman" w:hAnsi="Times New Roman"/>
          <w:sz w:val="20"/>
          <w:szCs w:val="20"/>
          <w:i w:val="1"/>
          <w:iCs w:val="1"/>
          <w:color w:val="auto"/>
        </w:rPr>
        <w:t>juge délégué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commissaire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juge-commissaire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mandataire ad hoc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administrateur provisoire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liquidateur or curateur</w:t>
      </w:r>
      <w:r>
        <w:rPr>
          <w:rFonts w:ascii="Times New Roman" w:cs="Times New Roman" w:eastAsia="Times New Roman" w:hAnsi="Times New Roman"/>
          <w:sz w:val="20"/>
          <w:szCs w:val="20"/>
          <w:color w:val="auto"/>
        </w:rPr>
        <w:t>; (c) a lien or security interest includes any</w:t>
      </w:r>
      <w:r>
        <w:rPr>
          <w:rFonts w:ascii="Times New Roman" w:cs="Times New Roman" w:eastAsia="Times New Roman" w:hAnsi="Times New Roman"/>
          <w:sz w:val="20"/>
          <w:szCs w:val="20"/>
          <w:i w:val="1"/>
          <w:iCs w:val="1"/>
          <w:color w:val="auto"/>
        </w:rPr>
        <w:t xml:space="preserve"> hypothèque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nantissement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gage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privilège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sûreté réelle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droit de rétention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any type of security in rem (</w:t>
      </w:r>
      <w:r>
        <w:rPr>
          <w:rFonts w:ascii="Times New Roman" w:cs="Times New Roman" w:eastAsia="Times New Roman" w:hAnsi="Times New Roman"/>
          <w:sz w:val="20"/>
          <w:szCs w:val="20"/>
          <w:i w:val="1"/>
          <w:iCs w:val="1"/>
          <w:color w:val="auto"/>
        </w:rPr>
        <w:t>sûreté réelle</w:t>
      </w:r>
      <w:r>
        <w:rPr>
          <w:rFonts w:ascii="Times New Roman" w:cs="Times New Roman" w:eastAsia="Times New Roman" w:hAnsi="Times New Roman"/>
          <w:sz w:val="20"/>
          <w:szCs w:val="20"/>
          <w:color w:val="auto"/>
        </w:rPr>
        <w:t>) and any transfer of title by way of security; (d) a person being unable to pay its debts includes that person being a state of cessation de paiements; (e) creditors process means an executory attachment (</w:t>
      </w:r>
      <w:r>
        <w:rPr>
          <w:rFonts w:ascii="Times New Roman" w:cs="Times New Roman" w:eastAsia="Times New Roman" w:hAnsi="Times New Roman"/>
          <w:sz w:val="20"/>
          <w:szCs w:val="20"/>
          <w:i w:val="1"/>
          <w:iCs w:val="1"/>
          <w:color w:val="auto"/>
        </w:rPr>
        <w:t>saisie exécutoire</w:t>
      </w:r>
      <w:r>
        <w:rPr>
          <w:rFonts w:ascii="Times New Roman" w:cs="Times New Roman" w:eastAsia="Times New Roman" w:hAnsi="Times New Roman"/>
          <w:sz w:val="20"/>
          <w:szCs w:val="20"/>
          <w:color w:val="auto"/>
        </w:rPr>
        <w:t>) or conservatory attachment (</w:t>
      </w:r>
      <w:r>
        <w:rPr>
          <w:rFonts w:ascii="Times New Roman" w:cs="Times New Roman" w:eastAsia="Times New Roman" w:hAnsi="Times New Roman"/>
          <w:sz w:val="20"/>
          <w:szCs w:val="20"/>
          <w:i w:val="1"/>
          <w:iCs w:val="1"/>
          <w:color w:val="auto"/>
        </w:rPr>
        <w:t>saisie conservatoire</w:t>
      </w:r>
      <w:r>
        <w:rPr>
          <w:rFonts w:ascii="Times New Roman" w:cs="Times New Roman" w:eastAsia="Times New Roman" w:hAnsi="Times New Roman"/>
          <w:sz w:val="20"/>
          <w:szCs w:val="20"/>
          <w:color w:val="auto"/>
        </w:rPr>
        <w:t>); (f) a guarantee includes any guarantee which is independent from the debt to which it relates and excludes any suretyship (</w:t>
      </w:r>
      <w:r>
        <w:rPr>
          <w:rFonts w:ascii="Times New Roman" w:cs="Times New Roman" w:eastAsia="Times New Roman" w:hAnsi="Times New Roman"/>
          <w:sz w:val="20"/>
          <w:szCs w:val="20"/>
          <w:i w:val="1"/>
          <w:iCs w:val="1"/>
          <w:color w:val="auto"/>
        </w:rPr>
        <w:t>cautionnement</w:t>
      </w:r>
      <w:r>
        <w:rPr>
          <w:rFonts w:ascii="Times New Roman" w:cs="Times New Roman" w:eastAsia="Times New Roman" w:hAnsi="Times New Roman"/>
          <w:sz w:val="20"/>
          <w:szCs w:val="20"/>
          <w:color w:val="auto"/>
        </w:rPr>
        <w:t>) within the meaning of Articles 2011 and seq. of the Luxembourg Civil Code; and (g) by-laws or constitutional documents includes its up-to-date (restated) articles of association (</w:t>
      </w:r>
      <w:r>
        <w:rPr>
          <w:rFonts w:ascii="Times New Roman" w:cs="Times New Roman" w:eastAsia="Times New Roman" w:hAnsi="Times New Roman"/>
          <w:sz w:val="20"/>
          <w:szCs w:val="20"/>
          <w:i w:val="1"/>
          <w:iCs w:val="1"/>
          <w:color w:val="auto"/>
        </w:rPr>
        <w:t>statuts coordonnés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 xml:space="preserve">Interest Rates; </w:t>
      </w:r>
      <w:r>
        <w:rPr>
          <w:rFonts w:ascii="Times New Roman" w:cs="Times New Roman" w:eastAsia="Times New Roman" w:hAnsi="Times New Roman"/>
          <w:sz w:val="19"/>
          <w:szCs w:val="19"/>
          <w:u w:val="single" w:color="auto"/>
          <w:color w:val="FF0000"/>
          <w:strike w:val="1"/>
        </w:rPr>
        <w:t>LIBOR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u w:val="single" w:color="auto"/>
          <w:color w:val="0000FF"/>
        </w:rPr>
        <w:t>Benchmark</w:t>
      </w:r>
      <w:r>
        <w:rPr>
          <w:rFonts w:ascii="Times New Roman" w:cs="Times New Roman" w:eastAsia="Times New Roman" w:hAnsi="Times New Roman"/>
          <w:sz w:val="19"/>
          <w:szCs w:val="19"/>
          <w:u w:val="single" w:color="auto"/>
          <w:color w:val="auto"/>
        </w:rPr>
        <w:t xml:space="preserve"> Notification.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13"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20"/>
          <w:szCs w:val="20"/>
          <w:color w:val="auto"/>
        </w:rPr>
        <w:t xml:space="preserve">The interest rate on a Loan denominated in an Agreed Currency may be derived from an interest rate benchmark that </w:t>
      </w:r>
      <w:r>
        <w:rPr>
          <w:rFonts w:ascii="Times New Roman" w:cs="Times New Roman" w:eastAsia="Times New Roman" w:hAnsi="Times New Roman"/>
          <w:sz w:val="20"/>
          <w:szCs w:val="20"/>
          <w:u w:val="single" w:color="auto"/>
          <w:color w:val="0000FF"/>
        </w:rPr>
        <w:t>may be</w:t>
      </w:r>
    </w:p>
    <w:p>
      <w:pPr>
        <w:spacing w:after="0" w:line="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u w:val="single" w:color="auto"/>
          <w:color w:val="0000FF"/>
        </w:rPr>
        <w:t>discontinued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is, or may in the future become, the subject of regulatory reform.</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Regulators have signaled the need to use alternative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Times New Roman" w:cs="Times New Roman" w:eastAsia="Times New Roman" w:hAnsi="Times New Roman"/>
          <w:sz w:val="19"/>
          <w:szCs w:val="19"/>
          <w:u w:val="single" w:color="auto"/>
          <w:color w:val="FF0000"/>
          <w:strike w:val="1"/>
        </w:rPr>
        <w:t>LIBOR</w:t>
      </w:r>
      <w:r>
        <w:rPr>
          <w:rFonts w:ascii="Times New Roman" w:cs="Times New Roman" w:eastAsia="Times New Roman" w:hAnsi="Times New Roman"/>
          <w:sz w:val="19"/>
          <w:szCs w:val="19"/>
          <w:color w:val="FF0000"/>
          <w:strike w:val="1"/>
        </w:rPr>
        <w:t>”) is intended to represent the rate at which contributing banks may obtain short-term borrowings from each other in the London interbank market. On March 5, 2021, the U.K. Financial Conduct Authority (“</w:t>
      </w:r>
      <w:r>
        <w:rPr>
          <w:rFonts w:ascii="Times New Roman" w:cs="Times New Roman" w:eastAsia="Times New Roman" w:hAnsi="Times New Roman"/>
          <w:sz w:val="19"/>
          <w:szCs w:val="19"/>
          <w:u w:val="single" w:color="auto"/>
          <w:color w:val="FF0000"/>
          <w:strike w:val="1"/>
        </w:rPr>
        <w:t>FCA</w:t>
      </w:r>
      <w:r>
        <w:rPr>
          <w:rFonts w:ascii="Times New Roman" w:cs="Times New Roman" w:eastAsia="Times New Roman" w:hAnsi="Times New Roman"/>
          <w:sz w:val="19"/>
          <w:szCs w:val="19"/>
          <w:color w:val="FF0000"/>
          <w:strike w:val="1"/>
        </w:rPr>
        <w:t>”) publicly announced that:</w:t>
      </w:r>
    </w:p>
    <w:p>
      <w:pPr>
        <w:jc w:val="both"/>
        <w:ind w:firstLine="8"/>
        <w:spacing w:after="0" w:line="247" w:lineRule="auto"/>
        <w:tabs>
          <w:tab w:leader="none" w:pos="271" w:val="left"/>
        </w:tabs>
        <w:numPr>
          <w:ilvl w:val="0"/>
          <w:numId w:val="40"/>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immediately after December 31, 2021, publication of all seven euro LIBOR settings, all seven Swiss Franc LIBOR settings, the spot next, 1-week, 2-month and 12-month Japanese Yen LIBOR settings, the overnight, 1-week, 2-month and 12-month Pound Sterling LIBOR settings, and the 1-week and 2-month Dollar LIBOR settings will permanently cease; immediately after June 30, 2023, publication of the overnight and 12-month Dollar LIBOR settings will permanently cease; immediately after December 31, 2021, the 1-month, 3-month and 6-month Japanese Yen LIBOR settings and the 1-month, 3-month and 6-month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w:t>
      </w:r>
      <w:r>
        <w:rPr>
          <w:rFonts w:ascii="Times New Roman" w:cs="Times New Roman" w:eastAsia="Times New Roman" w:hAnsi="Times New Roman"/>
          <w:sz w:val="20"/>
          <w:szCs w:val="20"/>
          <w:color w:val="000000"/>
          <w:strike w:val="1"/>
        </w:rPr>
        <w:t>Upon the occurrence of a Benchmark Transition Event,</w:t>
      </w:r>
      <w:r>
        <w:rPr>
          <w:rFonts w:ascii="Times New Roman" w:cs="Times New Roman" w:eastAsia="Times New Roman" w:hAnsi="Times New Roman"/>
          <w:sz w:val="20"/>
          <w:szCs w:val="20"/>
          <w:color w:val="FF0000"/>
          <w:strike w:val="1"/>
        </w:rPr>
        <w:t xml:space="preserve"> a Term SOFR Transition Event, a Term ESTR Transition Event, an Early Opt-in Election or an Other Benchmark Rate Election, </w:t>
      </w:r>
      <w:r>
        <w:rPr>
          <w:rFonts w:ascii="Times New Roman" w:cs="Times New Roman" w:eastAsia="Times New Roman" w:hAnsi="Times New Roman"/>
          <w:sz w:val="20"/>
          <w:szCs w:val="20"/>
          <w:u w:val="single" w:color="auto"/>
          <w:color w:val="FF0000"/>
          <w:strike w:val="1"/>
        </w:rPr>
        <w:t>Section 3.07(a)</w:t>
      </w:r>
      <w:r>
        <w:rPr>
          <w:rFonts w:ascii="Times New Roman" w:cs="Times New Roman" w:eastAsia="Times New Roman" w:hAnsi="Times New Roman"/>
          <w:sz w:val="20"/>
          <w:szCs w:val="20"/>
          <w:color w:val="FF0000"/>
          <w:strike w:val="1"/>
        </w:rPr>
        <w:t xml:space="preserve"> and </w:t>
      </w:r>
      <w:r>
        <w:rPr>
          <w:rFonts w:ascii="Times New Roman" w:cs="Times New Roman" w:eastAsia="Times New Roman" w:hAnsi="Times New Roman"/>
          <w:sz w:val="20"/>
          <w:szCs w:val="20"/>
          <w:u w:val="single" w:color="auto"/>
          <w:color w:val="000000"/>
          <w:strike w:val="1"/>
        </w:rPr>
        <w:t>Section 3.07(b)</w:t>
      </w:r>
      <w:r>
        <w:rPr>
          <w:rFonts w:ascii="Times New Roman" w:cs="Times New Roman" w:eastAsia="Times New Roman" w:hAnsi="Times New Roman"/>
          <w:sz w:val="20"/>
          <w:szCs w:val="20"/>
          <w:color w:val="FF0000"/>
          <w:strike w:val="1"/>
        </w:rPr>
        <w:t xml:space="preserve"> provide </w:t>
      </w:r>
      <w:r>
        <w:rPr>
          <w:rFonts w:ascii="Times New Roman" w:cs="Times New Roman" w:eastAsia="Times New Roman" w:hAnsi="Times New Roman"/>
          <w:sz w:val="20"/>
          <w:szCs w:val="20"/>
          <w:u w:val="single" w:color="auto"/>
          <w:color w:val="0000FF"/>
          <w:strike w:val="1"/>
        </w:rPr>
        <w:t>provides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a mechanism for determining an alternative rate of interest. The </w:t>
      </w:r>
      <w:r>
        <w:rPr>
          <w:rFonts w:ascii="Times New Roman" w:cs="Times New Roman" w:eastAsia="Times New Roman" w:hAnsi="Times New Roman"/>
          <w:sz w:val="20"/>
          <w:szCs w:val="20"/>
          <w:color w:val="FF0000"/>
          <w:strike w:val="1"/>
        </w:rPr>
        <w:t>Administrative Agent will promptly notify the Company, pursuant to</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FF0000"/>
          <w:strike w:val="1"/>
        </w:rPr>
        <w:t>Section</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FF0000"/>
          <w:strike w:val="1"/>
        </w:rPr>
        <w:t>3.07(d),</w:t>
      </w:r>
      <w:r>
        <w:rPr>
          <w:rFonts w:ascii="Times New Roman" w:cs="Times New Roman" w:eastAsia="Times New Roman" w:hAnsi="Times New Roman"/>
          <w:sz w:val="20"/>
          <w:szCs w:val="20"/>
          <w:color w:val="FF0000"/>
          <w:strike w:val="1"/>
        </w:rPr>
        <w:t xml:space="preserve"> of any change to the reference rate upon which the interest rate on Eurocurrency Rate Loans is based. However, the </w:t>
      </w:r>
      <w:r>
        <w:rPr>
          <w:rFonts w:ascii="Times New Roman" w:cs="Times New Roman" w:eastAsia="Times New Roman" w:hAnsi="Times New Roman"/>
          <w:sz w:val="20"/>
          <w:szCs w:val="20"/>
          <w:color w:val="000000"/>
          <w:strike w:val="1"/>
        </w:rPr>
        <w:t>Administrative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Agent does not warrant or accept any responsibility for, and shall not have any liability with respect to, the administration, submission </w:t>
      </w:r>
      <w:r>
        <w:rPr>
          <w:rFonts w:ascii="Times New Roman" w:cs="Times New Roman" w:eastAsia="Times New Roman" w:hAnsi="Times New Roman"/>
          <w:sz w:val="20"/>
          <w:szCs w:val="20"/>
          <w:u w:val="single" w:color="auto"/>
          <w:color w:val="0000FF"/>
          <w:strike w:val="1"/>
        </w:rPr>
        <w:t>,</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performance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or any other matter related to</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Daily Simple SONIA</w:t>
      </w:r>
      <w:r>
        <w:rPr>
          <w:rFonts w:ascii="Times New Roman" w:cs="Times New Roman" w:eastAsia="Times New Roman" w:hAnsi="Times New Roman"/>
          <w:sz w:val="20"/>
          <w:szCs w:val="20"/>
          <w:u w:val="single" w:color="auto"/>
          <w:color w:val="0000FF"/>
          <w:strike w:val="1"/>
        </w:rPr>
        <w:t>any interest rate used in this Agreement</w:t>
      </w:r>
      <w:r>
        <w:rPr>
          <w:rFonts w:ascii="Times New Roman" w:cs="Times New Roman" w:eastAsia="Times New Roman" w:hAnsi="Times New Roman"/>
          <w:sz w:val="20"/>
          <w:szCs w:val="20"/>
          <w:color w:val="000000"/>
          <w:strike w:val="1"/>
        </w:rPr>
        <w: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LIBOR or other rates in the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 xml:space="preserve">definition of “LIBO Rate” (or “EURIBO Rate” or “TIBO Rate”, as applicable) </w:t>
      </w:r>
      <w:r>
        <w:rPr>
          <w:rFonts w:ascii="Times New Roman" w:cs="Times New Roman" w:eastAsia="Times New Roman" w:hAnsi="Times New Roman"/>
          <w:sz w:val="20"/>
          <w:szCs w:val="20"/>
          <w:color w:val="000000"/>
          <w:strike w:val="1"/>
        </w:rPr>
        <w:t>or with respect to any alternative or successor rate thereto, or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replacement rate thereof </w:t>
      </w:r>
      <w:r>
        <w:rPr>
          <w:rFonts w:ascii="Times New Roman" w:cs="Times New Roman" w:eastAsia="Times New Roman" w:hAnsi="Times New Roman"/>
          <w:sz w:val="20"/>
          <w:szCs w:val="20"/>
          <w:color w:val="FF0000"/>
          <w:strike w:val="1"/>
        </w:rPr>
        <w:t>(including, without limitation, (i) any such alternative, successor or replacement rate implemented pursuant to</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FF0000"/>
          <w:strike w:val="1"/>
        </w:rPr>
        <w:t xml:space="preserve">Section 3.07(a)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u w:val="single" w:color="auto"/>
          <w:color w:val="FF0000"/>
          <w:strike w:val="1"/>
        </w:rPr>
        <w:t xml:space="preserve"> Section 3.07(b)</w:t>
      </w:r>
      <w:r>
        <w:rPr>
          <w:rFonts w:ascii="Times New Roman" w:cs="Times New Roman" w:eastAsia="Times New Roman" w:hAnsi="Times New Roman"/>
          <w:sz w:val="20"/>
          <w:szCs w:val="20"/>
          <w:color w:val="FF0000"/>
          <w:strike w:val="1"/>
        </w:rPr>
        <w:t>, whether upon the occurrence of a Benchmark Transition Event, a Term SOFR Transition Event, a Term</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 xml:space="preserve">ESTR Transition Event, an Early Opt-in Election or an Other Benchmark Rate Election, and (ii) the implementation of any Benchmark Replacement Conforming Changes pursuant to </w:t>
      </w:r>
      <w:r>
        <w:rPr>
          <w:rFonts w:ascii="Times New Roman" w:cs="Times New Roman" w:eastAsia="Times New Roman" w:hAnsi="Times New Roman"/>
          <w:sz w:val="20"/>
          <w:szCs w:val="20"/>
          <w:u w:val="single" w:color="auto"/>
          <w:color w:val="FF0000"/>
          <w:strike w:val="1"/>
        </w:rPr>
        <w:t>Section 3.07(c)</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0000"/>
          <w:strike w:val="1"/>
        </w:rPr>
        <w:t>, including without limitation, whether the composition or characteristics of</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any such alternative, successor or replacement reference rate will be similar to, or produce the same value or economic equivalence of, </w:t>
      </w:r>
      <w:r>
        <w:rPr>
          <w:rFonts w:ascii="Times New Roman" w:cs="Times New Roman" w:eastAsia="Times New Roman" w:hAnsi="Times New Roman"/>
          <w:sz w:val="20"/>
          <w:szCs w:val="20"/>
          <w:color w:val="FF0000"/>
          <w:strike w:val="1"/>
        </w:rPr>
        <w:t>Daily</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 xml:space="preserve">Simple SONIA, the LIBO Rate (or the EURIBO Rate or the TIBO Rate, as applicable) </w:t>
      </w:r>
      <w:r>
        <w:rPr>
          <w:rFonts w:ascii="Times New Roman" w:cs="Times New Roman" w:eastAsia="Times New Roman" w:hAnsi="Times New Roman"/>
          <w:sz w:val="20"/>
          <w:szCs w:val="20"/>
          <w:u w:val="single" w:color="auto"/>
          <w:color w:val="0000FF"/>
          <w:strike w:val="1"/>
        </w:rPr>
        <w:t>the existing interest rate being replaced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or have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same volume or liquidity as did </w:t>
      </w:r>
      <w:r>
        <w:rPr>
          <w:rFonts w:ascii="Times New Roman" w:cs="Times New Roman" w:eastAsia="Times New Roman" w:hAnsi="Times New Roman"/>
          <w:sz w:val="20"/>
          <w:szCs w:val="20"/>
          <w:color w:val="FF0000"/>
          <w:strike w:val="1"/>
        </w:rPr>
        <w:t>LIBOR (or the euro interbank offered rate or the Tokyo interbank offered rate, as applicable)</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any existing</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interest rate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prior to its discontinuance or unavailability. The Administrative Agent and its affiliates and/or other related entities may engage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 xml:space="preserve">in transactions unrelated to the Company and this Agreement that affect the calculation of any </w:t>
      </w:r>
      <w:r>
        <w:rPr>
          <w:rFonts w:ascii="Times New Roman" w:cs="Times New Roman" w:eastAsia="Times New Roman" w:hAnsi="Times New Roman"/>
          <w:sz w:val="20"/>
          <w:szCs w:val="20"/>
          <w:color w:val="FF0000"/>
          <w:strike w:val="1"/>
        </w:rPr>
        <w:t>Daily Simple SONIA,</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interest rate used in this</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Agreement or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any alternative, successor or alternative rate (including any Benchmark Replacement) and/or any relevant adjustments thereto,</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in each case, in a manner adverse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-2021840</wp:posOffset>
            </wp:positionV>
            <wp:extent cx="482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13"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the Company. The Administrative Agent may select information sources or services in its reasonable </w:t>
      </w:r>
      <w:r>
        <w:rPr>
          <w:rFonts w:ascii="Times New Roman" w:cs="Times New Roman" w:eastAsia="Times New Roman" w:hAnsi="Times New Roman"/>
          <w:sz w:val="20"/>
          <w:szCs w:val="20"/>
          <w:u w:val="single" w:color="auto"/>
          <w:color w:val="0000FF"/>
        </w:rPr>
        <w:t>good faith</w:t>
      </w:r>
      <w:r>
        <w:rPr>
          <w:rFonts w:ascii="Times New Roman" w:cs="Times New Roman" w:eastAsia="Times New Roman" w:hAnsi="Times New Roman"/>
          <w:sz w:val="20"/>
          <w:szCs w:val="20"/>
          <w:color w:val="auto"/>
        </w:rPr>
        <w:t xml:space="preserve"> discretion to ascertain </w:t>
      </w:r>
      <w:r>
        <w:rPr>
          <w:rFonts w:ascii="Times New Roman" w:cs="Times New Roman" w:eastAsia="Times New Roman" w:hAnsi="Times New Roman"/>
          <w:sz w:val="20"/>
          <w:szCs w:val="20"/>
          <w:color w:val="FF0000"/>
          <w:strike w:val="1"/>
        </w:rPr>
        <w:t>SONIA, Daily Simple SONIA or any Eurocurrency Rate</w:t>
      </w:r>
      <w:r>
        <w:rPr>
          <w:rFonts w:ascii="Times New Roman" w:cs="Times New Roman" w:eastAsia="Times New Roman" w:hAnsi="Times New Roman"/>
          <w:sz w:val="20"/>
          <w:szCs w:val="20"/>
          <w:u w:val="single" w:color="auto"/>
          <w:color w:val="0000FF"/>
        </w:rPr>
        <w:t>any interest rate used in this Agreement</w:t>
      </w:r>
      <w:r>
        <w:rPr>
          <w:rFonts w:ascii="Times New Roman" w:cs="Times New Roman" w:eastAsia="Times New Roman" w:hAnsi="Times New Roman"/>
          <w:sz w:val="20"/>
          <w:szCs w:val="20"/>
          <w:color w:val="000000"/>
        </w:rPr>
        <w:t>, any component thereof, or rates referenced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COMMITMENTS AND CREDIT EXTENSIONS</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19"/>
          <w:szCs w:val="19"/>
          <w:u w:val="single" w:color="auto"/>
          <w:color w:val="auto"/>
        </w:rPr>
        <w:t>Revolving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0" w:lineRule="auto"/>
        <w:tabs>
          <w:tab w:leader="none" w:pos="108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Subject to the terms and conditions set forth herein, each Lender severally agrees to make loans (each such loan, a “</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to the Borrowers in Dollars or in one or more Alternative Currencies from time to time on any Business Day during the Availability Period in an aggregate amount not to exceed at any time outstanding the amount of such Lender’s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Borrowing of Revolving Loans, (i) the Total Revolving Outstandings shall not exceed the Aggregate Revolving Commitments, and (ii) the aggregate Outstanding Amount of the Revolving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Swing Line Loans shall not exceed such Lender’s Revolving Commitment. Within the limits of each Lender’s Revolving Commitment,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Revolving Loans may be Base Rate Loans,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or RFR Loans, as further provided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Loans to Brady Finance Luxembourg and Brady SARL that are denominated in Dollars shall be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w:t>
      </w:r>
    </w:p>
    <w:p>
      <w:pPr>
        <w:spacing w:after="0" w:line="199" w:lineRule="exact"/>
        <w:rPr>
          <w:rFonts w:ascii="Times New Roman" w:cs="Times New Roman" w:eastAsia="Times New Roman" w:hAnsi="Times New Roman"/>
          <w:sz w:val="20"/>
          <w:szCs w:val="20"/>
          <w:color w:val="auto"/>
        </w:rPr>
      </w:pPr>
    </w:p>
    <w:p>
      <w:pPr>
        <w:jc w:val="both"/>
        <w:ind w:firstLine="656"/>
        <w:spacing w:after="0" w:line="251" w:lineRule="auto"/>
        <w:tabs>
          <w:tab w:leader="none" w:pos="111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 of Aggregate Revolving Commitments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After the Second Amendment Effective Date, the</w:t>
      </w:r>
      <w:r>
        <w:rPr>
          <w:rFonts w:ascii="Times New Roman" w:cs="Times New Roman" w:eastAsia="Times New Roman" w:hAnsi="Times New Roman"/>
          <w:sz w:val="20"/>
          <w:szCs w:val="20"/>
          <w:color w:val="auto"/>
        </w:rPr>
        <w:t xml:space="preserve"> Company may at any time and from time to time, upon prior written notice by the Company to the Administrative Agent, increase the Aggregate Revolving Commitments (but not the Letter of Credit Sublimit or Swing Line Sublimit) </w:t>
      </w:r>
      <w:r>
        <w:rPr>
          <w:rFonts w:ascii="Times New Roman" w:cs="Times New Roman" w:eastAsia="Times New Roman" w:hAnsi="Times New Roman"/>
          <w:sz w:val="20"/>
          <w:szCs w:val="20"/>
          <w:color w:val="FF0000"/>
          <w:strike w:val="1"/>
        </w:rPr>
        <w:t>by up to TWO HUNDRED MILLION DOLLARS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 xml:space="preserve">($200,000,000) </w:t>
      </w:r>
      <w:r>
        <w:rPr>
          <w:rFonts w:ascii="Times New Roman" w:cs="Times New Roman" w:eastAsia="Times New Roman" w:hAnsi="Times New Roman"/>
          <w:sz w:val="20"/>
          <w:szCs w:val="20"/>
          <w:u w:val="single" w:color="auto"/>
          <w:color w:val="0000FF"/>
          <w:strike w:val="1"/>
        </w:rPr>
        <w:t>in an aggregate amount not to exceed the sum of (x) an unlimited amount so long as, after giving effect thereto,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Consolidated Net Leverage Ratio determined on a pro forma basis (assuming no cash netting of the proceeds thereof and full funding of such increase in the Revolving Commitments) would not exceed 2.50 to 1.00 plus (y) $200,000,000,</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with additional Revolving Commitments</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 xml:space="preserve">from any existing Lender or new Revolving Commitments from any other Person selected by the Company that would qualify as an Eligible Assignee; </w:t>
      </w:r>
      <w:r>
        <w:rPr>
          <w:rFonts w:ascii="Times New Roman" w:cs="Times New Roman" w:eastAsia="Times New Roman" w:hAnsi="Times New Roman"/>
          <w:sz w:val="20"/>
          <w:szCs w:val="20"/>
          <w:u w:val="single" w:color="auto"/>
          <w:color w:val="000000"/>
          <w:strike w:val="1"/>
        </w:rPr>
        <w:t>provided</w:t>
      </w:r>
      <w:r>
        <w:rPr>
          <w:rFonts w:ascii="Times New Roman" w:cs="Times New Roman" w:eastAsia="Times New Roman" w:hAnsi="Times New Roman"/>
          <w:sz w:val="20"/>
          <w:szCs w:val="20"/>
          <w:color w:val="000000"/>
          <w:strike w:val="1"/>
        </w:rPr>
        <w:t xml:space="preserve"> that:</w:t>
      </w:r>
    </w:p>
    <w:p>
      <w:pPr>
        <w:spacing w:after="0" w:line="195" w:lineRule="exact"/>
        <w:rPr>
          <w:rFonts w:ascii="Times New Roman" w:cs="Times New Roman" w:eastAsia="Times New Roman" w:hAnsi="Times New Roman"/>
          <w:sz w:val="20"/>
          <w:szCs w:val="20"/>
          <w:color w:val="auto"/>
        </w:rPr>
      </w:pPr>
    </w:p>
    <w:p>
      <w:pPr>
        <w:ind w:left="660" w:firstLine="644"/>
        <w:spacing w:after="0" w:line="269" w:lineRule="auto"/>
        <w:tabs>
          <w:tab w:leader="none" w:pos="1845" w:val="left"/>
        </w:tabs>
        <w:numPr>
          <w:ilvl w:val="1"/>
          <w:numId w:val="41"/>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0000FF"/>
        </w:rPr>
        <w:t xml:space="preserve">the Company shall be deemed to have availed itself of amounts under clause (b)(x) above (to the extent compliant </w:t>
      </w:r>
      <w:r>
        <w:rPr>
          <w:rFonts w:ascii="Times New Roman" w:cs="Times New Roman" w:eastAsia="Times New Roman" w:hAnsi="Times New Roman"/>
          <w:sz w:val="20"/>
          <w:szCs w:val="20"/>
          <w:u w:val="single" w:color="auto"/>
          <w:color w:val="0000FF"/>
        </w:rPr>
        <w:t>therewith) prior to availing itself of amounts under clause (b)(y) above;</w:t>
      </w:r>
    </w:p>
    <w:p>
      <w:pPr>
        <w:spacing w:after="0" w:line="172" w:lineRule="exact"/>
        <w:rPr>
          <w:rFonts w:ascii="Times New Roman" w:cs="Times New Roman" w:eastAsia="Times New Roman" w:hAnsi="Times New Roman"/>
          <w:sz w:val="20"/>
          <w:szCs w:val="20"/>
          <w:color w:val="0000FF"/>
        </w:rPr>
      </w:pPr>
    </w:p>
    <w:p>
      <w:pPr>
        <w:ind w:left="1960" w:hanging="656"/>
        <w:spacing w:after="0"/>
        <w:tabs>
          <w:tab w:leader="none" w:pos="1960" w:val="left"/>
        </w:tabs>
        <w:numPr>
          <w:ilvl w:val="1"/>
          <w:numId w:val="41"/>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color w:val="FF0000"/>
          <w:strike w:val="1"/>
        </w:rPr>
        <w:t>(i)</w:t>
      </w:r>
      <w:r>
        <w:rPr>
          <w:rFonts w:ascii="Times New Roman" w:cs="Times New Roman" w:eastAsia="Times New Roman" w:hAnsi="Times New Roman"/>
          <w:sz w:val="19"/>
          <w:szCs w:val="19"/>
          <w:color w:val="000000"/>
        </w:rPr>
        <w:t>any such increase shall be in a minimum principal amount of $5,000,000 and in integral multiples of $5,000,000 in</w:t>
      </w:r>
    </w:p>
    <w:p>
      <w:pPr>
        <w:spacing w:after="0" w:line="33" w:lineRule="exact"/>
        <w:rPr>
          <w:rFonts w:ascii="Times New Roman" w:cs="Times New Roman" w:eastAsia="Times New Roman" w:hAnsi="Times New Roman"/>
          <w:sz w:val="19"/>
          <w:szCs w:val="19"/>
          <w:u w:val="single" w:color="auto"/>
          <w:color w:val="0000FF"/>
        </w:rPr>
      </w:pPr>
    </w:p>
    <w:p>
      <w:pPr>
        <w:ind w:left="660"/>
        <w:spacing w:after="0"/>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excess thereof;</w:t>
      </w:r>
    </w:p>
    <w:p>
      <w:pPr>
        <w:spacing w:after="0" w:line="207" w:lineRule="exact"/>
        <w:rPr>
          <w:rFonts w:ascii="Times New Roman" w:cs="Times New Roman" w:eastAsia="Times New Roman" w:hAnsi="Times New Roman"/>
          <w:sz w:val="19"/>
          <w:szCs w:val="19"/>
          <w:u w:val="single" w:color="auto"/>
          <w:color w:val="0000FF"/>
        </w:rPr>
      </w:pPr>
    </w:p>
    <w:p>
      <w:pPr>
        <w:ind w:left="1960" w:hanging="656"/>
        <w:spacing w:after="0"/>
        <w:tabs>
          <w:tab w:leader="none" w:pos="1960" w:val="left"/>
        </w:tabs>
        <w:numPr>
          <w:ilvl w:val="1"/>
          <w:numId w:val="4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FF0000"/>
          <w:strike w:val="1"/>
        </w:rPr>
        <w:t>(ii)</w:t>
      </w:r>
      <w:r>
        <w:rPr>
          <w:rFonts w:ascii="Times New Roman" w:cs="Times New Roman" w:eastAsia="Times New Roman" w:hAnsi="Times New Roman"/>
          <w:sz w:val="20"/>
          <w:szCs w:val="20"/>
          <w:color w:val="000000"/>
        </w:rPr>
        <w:t>no Default shall be continuing at the time of any such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-885190</wp:posOffset>
            </wp:positionV>
            <wp:extent cx="6304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4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3" w:right="339" w:bottom="1440" w:gutter="0" w:footer="0" w:header="0"/>
        </w:sectPr>
      </w:pPr>
    </w:p>
    <w:bookmarkStart w:id="70" w:name="page71"/>
    <w:bookmarkEnd w:id="70"/>
    <w:p>
      <w:pPr>
        <w:ind w:left="660" w:firstLine="644"/>
        <w:spacing w:after="0" w:line="283" w:lineRule="auto"/>
        <w:tabs>
          <w:tab w:leader="none" w:pos="1945" w:val="left"/>
        </w:tabs>
        <w:numPr>
          <w:ilvl w:val="0"/>
          <w:numId w:val="4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FF0000"/>
          <w:strike w:val="1"/>
        </w:rPr>
        <w:t>(iii)</w:t>
      </w:r>
      <w:r>
        <w:rPr>
          <w:rFonts w:ascii="Times New Roman" w:cs="Times New Roman" w:eastAsia="Times New Roman" w:hAnsi="Times New Roman"/>
          <w:sz w:val="20"/>
          <w:szCs w:val="20"/>
          <w:color w:val="000000"/>
        </w:rPr>
        <w:t>no existing Lender shall be under any obligation to increase its Revolving Commitment and any such decision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whether to increase its Revolving Commitment shall be in such Lender’s sole and absolute discretion;</w:t>
      </w:r>
    </w:p>
    <w:p>
      <w:pPr>
        <w:spacing w:after="0" w:line="146" w:lineRule="exact"/>
        <w:rPr>
          <w:rFonts w:ascii="Times New Roman" w:cs="Times New Roman" w:eastAsia="Times New Roman" w:hAnsi="Times New Roman"/>
          <w:sz w:val="20"/>
          <w:szCs w:val="20"/>
          <w:u w:val="single" w:color="auto"/>
          <w:color w:val="0000FF"/>
        </w:rPr>
      </w:pPr>
    </w:p>
    <w:p>
      <w:pPr>
        <w:ind w:left="660" w:firstLine="644"/>
        <w:spacing w:after="0" w:line="283" w:lineRule="auto"/>
        <w:tabs>
          <w:tab w:leader="none" w:pos="1944" w:val="left"/>
        </w:tabs>
        <w:numPr>
          <w:ilvl w:val="0"/>
          <w:numId w:val="4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FF0000"/>
          <w:strike w:val="1"/>
        </w:rPr>
        <w:t>(iv)</w:t>
      </w:r>
      <w:r>
        <w:rPr>
          <w:rFonts w:ascii="Times New Roman" w:cs="Times New Roman" w:eastAsia="Times New Roman" w:hAnsi="Times New Roman"/>
          <w:sz w:val="20"/>
          <w:szCs w:val="20"/>
          <w:color w:val="000000"/>
        </w:rPr>
        <w:t>any new Lender shall join this Agreement by executing such joinder documents reasonably required by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Administrative Agent;</w:t>
      </w:r>
    </w:p>
    <w:p>
      <w:pPr>
        <w:spacing w:after="0" w:line="146" w:lineRule="exact"/>
        <w:rPr>
          <w:rFonts w:ascii="Times New Roman" w:cs="Times New Roman" w:eastAsia="Times New Roman" w:hAnsi="Times New Roman"/>
          <w:sz w:val="20"/>
          <w:szCs w:val="20"/>
          <w:u w:val="single" w:color="auto"/>
          <w:color w:val="0000FF"/>
        </w:rPr>
      </w:pPr>
    </w:p>
    <w:p>
      <w:pPr>
        <w:jc w:val="both"/>
        <w:ind w:left="660" w:firstLine="644"/>
        <w:spacing w:after="0" w:line="258" w:lineRule="auto"/>
        <w:tabs>
          <w:tab w:leader="none" w:pos="1945" w:val="left"/>
        </w:tabs>
        <w:numPr>
          <w:ilvl w:val="0"/>
          <w:numId w:val="4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FF0000"/>
          <w:strike w:val="1"/>
        </w:rPr>
        <w:t>(v)</w:t>
      </w:r>
      <w:r>
        <w:rPr>
          <w:rFonts w:ascii="Times New Roman" w:cs="Times New Roman" w:eastAsia="Times New Roman" w:hAnsi="Times New Roman"/>
          <w:sz w:val="20"/>
          <w:szCs w:val="20"/>
          <w:color w:val="000000"/>
        </w:rPr>
        <w:t>the Administrative Agent shall have received all documents (including resolutions of the board of directors of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Parties and opinions of counsel to the Loan Parties) it may reasonably request relating to the corporate or other necessary authority for such increase, and any other matters relevant thereto, all in form and substance reasonably satisfactory to the Administrative Agent; and</w:t>
      </w:r>
    </w:p>
    <w:p>
      <w:pPr>
        <w:spacing w:after="0" w:line="185" w:lineRule="exact"/>
        <w:rPr>
          <w:rFonts w:ascii="Times New Roman" w:cs="Times New Roman" w:eastAsia="Times New Roman" w:hAnsi="Times New Roman"/>
          <w:sz w:val="20"/>
          <w:szCs w:val="20"/>
          <w:u w:val="single" w:color="auto"/>
          <w:color w:val="0000FF"/>
        </w:rPr>
      </w:pPr>
    </w:p>
    <w:p>
      <w:pPr>
        <w:jc w:val="both"/>
        <w:ind w:left="660" w:firstLine="644"/>
        <w:spacing w:after="0" w:line="253" w:lineRule="auto"/>
        <w:tabs>
          <w:tab w:leader="none" w:pos="1945" w:val="left"/>
        </w:tabs>
        <w:numPr>
          <w:ilvl w:val="0"/>
          <w:numId w:val="4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FF0000"/>
          <w:strike w:val="1"/>
        </w:rPr>
        <w:t>(vi)</w:t>
      </w:r>
      <w:r>
        <w:rPr>
          <w:rFonts w:ascii="Times New Roman" w:cs="Times New Roman" w:eastAsia="Times New Roman" w:hAnsi="Times New Roman"/>
          <w:sz w:val="20"/>
          <w:szCs w:val="20"/>
          <w:color w:val="000000"/>
        </w:rPr>
        <w:t>if any Loans are outstanding at the time of the increase in the Aggregate Revolving Commitments, the Borrowers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shall, if applicable due to a nonratable increase in the Commitments, prepay one or more existing Loans (such prepayment to be subject to </w:t>
      </w:r>
      <w:r>
        <w:rPr>
          <w:rFonts w:ascii="Times New Roman" w:cs="Times New Roman" w:eastAsia="Times New Roman" w:hAnsi="Times New Roman"/>
          <w:sz w:val="20"/>
          <w:szCs w:val="20"/>
          <w:u w:val="single" w:color="auto"/>
          <w:color w:val="000000"/>
        </w:rPr>
        <w:t>Section 3.05</w:t>
      </w:r>
      <w:r>
        <w:rPr>
          <w:rFonts w:ascii="Times New Roman" w:cs="Times New Roman" w:eastAsia="Times New Roman" w:hAnsi="Times New Roman"/>
          <w:sz w:val="20"/>
          <w:szCs w:val="20"/>
          <w:color w:val="000000"/>
        </w:rPr>
        <w:t>) in an amount necessary such that after giving effect to the increase in the Aggregate Revolving Commitments, each Lender will hold its Pro Rata Share (based on its Pro Rata Share of the increased Aggregate Revolving Commitments) of outstanding Loans.</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shall be deemed revised to include any increase in the Commitments under this Section and to include thereon any Person that becomes a Lender pursuant to this Section.</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u w:val="single" w:color="auto"/>
          <w:color w:val="auto"/>
        </w:rPr>
        <w:t>Borrowings, Conversions and Continuations of Loans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14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each conversion of Loans from one Type to the other, and each continuation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shall be made upon the applicable Borrower’s irrevocable notice to the Administrative Agent, which may be given by (A)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telephone or (B) a Loan Notice;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any telephonic notice must be confirmed immediately by delivery to the Administrative Agent of a Loan Notice. Each such notice must be received by the Administrative Agent not later than 10:00 a.m. (i) two Business Days prior to the requested date of any Borrowing of, conversion to or continuation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Loans denominated in Dollars or of any conversion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Loans denominated in Dollars to Base Rate Loans, (ii) four Business Days (or five Business Days in the case of a Special Notice Currency) prior to the requested date of any Borrowing of RFR Loans or any Borrowing or continuation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Loans denominated in Alternative Currencies and (iii) on the requested date of any Borrowing of Base Rate Loans. Each Borrowing of RFR Loans and each Borrowing, conversion to or continuation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shall be in a principal amount of $1,000,000 or a whole multiple of $1,000,000 in excess thereof. Except as provided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in </w:t>
      </w:r>
      <w:r>
        <w:rPr>
          <w:rFonts w:ascii="Times New Roman" w:cs="Times New Roman" w:eastAsia="Times New Roman" w:hAnsi="Times New Roman"/>
          <w:sz w:val="20"/>
          <w:szCs w:val="20"/>
          <w:u w:val="single" w:color="auto"/>
          <w:color w:val="000000"/>
        </w:rPr>
        <w:t>Sections 2.03(c)</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2.04(c)</w:t>
      </w:r>
      <w:r>
        <w:rPr>
          <w:rFonts w:ascii="Times New Roman" w:cs="Times New Roman" w:eastAsia="Times New Roman" w:hAnsi="Times New Roman"/>
          <w:sz w:val="20"/>
          <w:szCs w:val="20"/>
          <w:color w:val="000000"/>
        </w:rPr>
        <w:t xml:space="preserve">, each Borrowing of or conversion to Base Rate Loans shall be in a principal amount of $1,000,000 or a whole multiple of $500,000 in excess thereof. Each Loan Notice shall specify (i) whether such Borrower is requesting a Borrowing, a conversion of Loans from one Type to the other, or a continuation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the currency of the Loans to be borrowed. If the applicable Borrower fails to specify a currency in a Loan Notice requesting a Borrowing, then the Loans so requested shall be made in Dollars. If the applicable Borrower fails to specify a Type of a Loan in a Loan Notice or if such Borrower fails to give a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notice requesting a conversion or continuation, then the applicable Loans shall be made as, or converted to,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case of a failure to timely request a continuation of Loans denominated in an Alternative Currency, such Loans shall be continued as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with an Interest Period of one month or RFR Loans, as applicable, in their original currency. Any automatic conversion to Base Rate Loans shall be effective as of the last day of the Interest Period then in effect with respect to the applicable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If a Borrower requests a Borrowing of, conversion to, or continuation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Loans in any Loan Notice, but fails to specify an Interest Period, it will be deemed to have specified an</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Interest Period of one month. No Loan may be converted into or continued as a Loan denominated in a different currency, but instead must be repaid in the original currency of such Loan and reborrowed in the other currency.</w:t>
      </w:r>
    </w:p>
    <w:p>
      <w:pPr>
        <w:spacing w:after="0" w:line="195" w:lineRule="exact"/>
        <w:rPr>
          <w:sz w:val="20"/>
          <w:szCs w:val="20"/>
          <w:color w:val="auto"/>
        </w:rPr>
      </w:pPr>
    </w:p>
    <w:p>
      <w:pPr>
        <w:jc w:val="both"/>
        <w:ind w:firstLine="656"/>
        <w:spacing w:after="0" w:line="249" w:lineRule="auto"/>
        <w:tabs>
          <w:tab w:leader="none" w:pos="108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Loan Notice, the Administrative Agent shall promptly notify each Lender of the amount (and currency) of its Pro Rata Share of the applicable Loans, and if no timely notice of a conversion or continuation is provided by the applicable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denominated in an Alternative Currency, in each case on the Business Day specified in the applicable Loan Notice. Upon satisfaction of the applicable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the Administrative Agent shall make all funds so received available to the applicable Borrower in like funds as received by the Administrative Agent either by (i) crediting the account of such Borrower on the books of BMO with the amount of such funds or (ii) wire transfer of such funds, in each case in accordance with instructions provided to (and reasonably acceptable to) the Administrative Agent by such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on the date the Loan Notice with respect to a Borrowing of Revolving Loans denominated in Dollars is given by a Borrower, there are L/C Borrowings outstanding, then the proceeds of such Borrowing,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shall be made available to such Borrower as provided above. Each Lender, at its option, may make any Loan by causing any domestic or foreign branch or Affiliate of such Lender to make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applicable Borrower to repay such Loan in accordance with the terms of this Agreement.</w:t>
      </w:r>
    </w:p>
    <w:p>
      <w:pPr>
        <w:spacing w:after="0" w:line="196" w:lineRule="exact"/>
        <w:rPr>
          <w:rFonts w:ascii="Times New Roman" w:cs="Times New Roman" w:eastAsia="Times New Roman" w:hAnsi="Times New Roman"/>
          <w:sz w:val="20"/>
          <w:szCs w:val="20"/>
          <w:color w:val="auto"/>
        </w:rPr>
      </w:pPr>
    </w:p>
    <w:p>
      <w:pPr>
        <w:jc w:val="both"/>
        <w:ind w:firstLine="656"/>
        <w:spacing w:after="0" w:line="253" w:lineRule="auto"/>
        <w:tabs>
          <w:tab w:leader="none" w:pos="108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herein, a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 may be continued or converted only on the last day of the Interest Period for such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 During the existence of a Default, no Loans may be requested as, converted to or continued as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(whether in Dollars or an Alternative Currency) without the consent of the Required Lenders, and the Required Lenders may demand that any or all of the then outstanding </w:t>
      </w:r>
      <w:r>
        <w:rPr>
          <w:rFonts w:ascii="Times New Roman" w:cs="Times New Roman" w:eastAsia="Times New Roman" w:hAnsi="Times New Roman"/>
          <w:sz w:val="20"/>
          <w:szCs w:val="20"/>
          <w:color w:val="EE2724"/>
          <w:strike w:val="1"/>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EE2724"/>
          <w:strike w:val="1"/>
        </w:rPr>
        <w:t>Rate</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Loans denominated in an Alternative Currency be prepaid, or redenominated into Dollars in the amount of the Dollar</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Equivalent thereof, on the last day of the then current Interest Period with respect thereto.</w:t>
      </w:r>
    </w:p>
    <w:p>
      <w:pPr>
        <w:spacing w:after="0" w:line="178" w:lineRule="exact"/>
        <w:rPr>
          <w:rFonts w:ascii="Times New Roman" w:cs="Times New Roman" w:eastAsia="Times New Roman" w:hAnsi="Times New Roman"/>
          <w:sz w:val="20"/>
          <w:szCs w:val="20"/>
          <w:color w:val="auto"/>
        </w:rPr>
      </w:pPr>
    </w:p>
    <w:p>
      <w:pPr>
        <w:jc w:val="both"/>
        <w:ind w:firstLine="656"/>
        <w:spacing w:after="0" w:line="258" w:lineRule="auto"/>
        <w:tabs>
          <w:tab w:leader="none" w:pos="111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promptly notify the Borrowers and the Lenders of the interest rate applicable to any Interest Period for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upon determination of such interest rate. At any time that Base Rate Loans are outstanding, the Administrative Agent shall notify the Borrowers and the Lenders of any change in BMO’s prime rate used in determining the Base Rate promptly following the public announcement of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13" w:right="339" w:bottom="1440" w:gutter="0" w:footer="0" w:header="0"/>
        </w:sectPr>
      </w:pPr>
    </w:p>
    <w:bookmarkStart w:id="72" w:name="page73"/>
    <w:bookmarkEnd w:id="72"/>
    <w:p>
      <w:pPr>
        <w:jc w:val="both"/>
        <w:ind w:firstLine="656"/>
        <w:spacing w:after="0" w:line="261" w:lineRule="auto"/>
        <w:tabs>
          <w:tab w:leader="none" w:pos="106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all Borrowings, all conversions of Loans from one Type to the other, and all continuations of Loans as the same Type, there shall not be more than 12 Interest Periods in effect with respect to Revolving Loans </w:t>
      </w:r>
      <w:r>
        <w:rPr>
          <w:rFonts w:ascii="Times New Roman" w:cs="Times New Roman" w:eastAsia="Times New Roman" w:hAnsi="Times New Roman"/>
          <w:sz w:val="20"/>
          <w:szCs w:val="20"/>
          <w:color w:val="FF0000"/>
        </w:rPr>
        <w:t>(no more than 4 of such Interest Periods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may be for 7 days)</w:t>
      </w:r>
      <w:r>
        <w:rPr>
          <w:rFonts w:ascii="Times New Roman" w:cs="Times New Roman" w:eastAsia="Times New Roman" w:hAnsi="Times New Roman"/>
          <w:sz w:val="20"/>
          <w:szCs w:val="20"/>
          <w:color w:val="000000"/>
        </w:rPr>
        <w:t>.</w:t>
      </w:r>
    </w:p>
    <w:p>
      <w:pPr>
        <w:spacing w:after="0" w:line="181"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not apply to Swing Line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5087620</wp:posOffset>
            </wp:positionH>
            <wp:positionV relativeFrom="paragraph">
              <wp:posOffset>-499745</wp:posOffset>
            </wp:positionV>
            <wp:extent cx="2044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19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60" w:hanging="404"/>
        <w:spacing w:after="0"/>
        <w:tabs>
          <w:tab w:leader="none" w:pos="10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15"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(A) the L/C Issuer agrees, in reliance upon the agreements of the Lenders set forth in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(1) from time to time on any Business Day during the period from the Closing Date until the Letter of Credit Expiration Date, to issue Letters of Credit denominated in Dollars or in one or more Alternative Currencies for the account of the Borrowers or any of their Subsidiaries, and to amend or extend Letters of Credit previously issued by it, in accordance with subsection (b) below, and (2) to honor drawings under the Letters of Credit; and (B) the Lenders severally agree to participate in Letters of Credit issued for the account of the Borrowers or their Subsidiaries and any drawings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L/C Credit Extension with respect to any Letter of Credit, (w) the Total Revolving Outstandings shall not exceed the Aggregate Revolving Commitments, (x) the aggregate Outstanding Amount of the Revolving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Swing Line Loans shall not exceed such Lender’s Revolving Commitment or (y) the Outstanding Amount of the L/C Obligations shall not exceed the Letter of Credit Sublimit.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9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issue any Letter of Credit if:</w:t>
      </w:r>
    </w:p>
    <w:p>
      <w:pPr>
        <w:spacing w:after="0" w:line="215" w:lineRule="exact"/>
        <w:rPr>
          <w:rFonts w:ascii="Times New Roman" w:cs="Times New Roman" w:eastAsia="Times New Roman" w:hAnsi="Times New Roman"/>
          <w:sz w:val="20"/>
          <w:szCs w:val="20"/>
          <w:color w:val="auto"/>
        </w:rPr>
      </w:pPr>
    </w:p>
    <w:p>
      <w:pPr>
        <w:ind w:left="1300" w:firstLine="652"/>
        <w:spacing w:after="0" w:line="283" w:lineRule="auto"/>
        <w:tabs>
          <w:tab w:leader="none" w:pos="2403"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 the expiry date of such requested Letter of Credit would occur more than twelve months after the date of issuance or last extension, unless the Required Lenders have approved such expiry date; or</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392"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expiry date of such requested Letter of Credit would occur after the Letter of Credit Expiration Date, unless all the Lenders have approved such expiry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the agreement of the Borrowers set forth below in this clause (B), the L/C Issuer may issue Letters of Credit with an expiry date of up to one year after the Letter of Credit Expiration Date (but the L/C Issuer shall not have an obligation to issue such Letter of Credit). Each Borrower hereby agrees that if any Letter of Credit is issued pursuant to the foregoing proviso, it shall Cash Collateralize such Letter of Credit on the date such Letter of Credit is issued in an amount equal to the Minimum Collateral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13" w:right="339" w:bottom="1440" w:gutter="0" w:footer="0" w:header="0"/>
        </w:sectPr>
      </w:pPr>
    </w:p>
    <w:bookmarkStart w:id="73" w:name="page74"/>
    <w:bookmarkEnd w:id="73"/>
    <w:p>
      <w:pPr>
        <w:ind w:left="660" w:hanging="476"/>
        <w:spacing w:after="0"/>
        <w:tabs>
          <w:tab w:leader="none" w:pos="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229" w:lineRule="exact"/>
        <w:rPr>
          <w:rFonts w:ascii="Times New Roman" w:cs="Times New Roman" w:eastAsia="Times New Roman" w:hAnsi="Times New Roman"/>
          <w:sz w:val="20"/>
          <w:szCs w:val="20"/>
          <w:color w:val="auto"/>
        </w:rPr>
      </w:pPr>
    </w:p>
    <w:p>
      <w:pPr>
        <w:jc w:val="both"/>
        <w:ind w:left="180" w:firstLine="652"/>
        <w:spacing w:after="0" w:line="250" w:lineRule="auto"/>
        <w:tabs>
          <w:tab w:leader="none" w:pos="129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Amendment Effective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Date (or, if later, the date on which such Person became the L/C Issuer), or shall impose upon the L/C</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Issuer any unreimbursed loss, cost or expense which was not applicable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000000"/>
        </w:rPr>
        <w:t xml:space="preserve"> Date (or, if later, the date on which such Person became the L/C Issuer) and which the L/C Issuer in good faith deems material to it;</w:t>
      </w:r>
    </w:p>
    <w:p>
      <w:pPr>
        <w:spacing w:after="0" w:line="196" w:lineRule="exact"/>
        <w:rPr>
          <w:rFonts w:ascii="Times New Roman" w:cs="Times New Roman" w:eastAsia="Times New Roman" w:hAnsi="Times New Roman"/>
          <w:sz w:val="20"/>
          <w:szCs w:val="20"/>
          <w:color w:val="auto"/>
        </w:rPr>
      </w:pPr>
    </w:p>
    <w:p>
      <w:pPr>
        <w:ind w:left="180" w:firstLine="652"/>
        <w:spacing w:after="0" w:line="269" w:lineRule="auto"/>
        <w:tabs>
          <w:tab w:leader="none" w:pos="1299"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72" w:lineRule="exact"/>
        <w:rPr>
          <w:rFonts w:ascii="Times New Roman" w:cs="Times New Roman" w:eastAsia="Times New Roman" w:hAnsi="Times New Roman"/>
          <w:sz w:val="20"/>
          <w:szCs w:val="20"/>
          <w:color w:val="auto"/>
        </w:rPr>
      </w:pPr>
    </w:p>
    <w:p>
      <w:pPr>
        <w:jc w:val="both"/>
        <w:ind w:left="180" w:right="20" w:firstLine="652"/>
        <w:spacing w:after="0" w:line="261" w:lineRule="auto"/>
        <w:tabs>
          <w:tab w:leader="none" w:pos="127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such Letter of Credit is in an initial stated amount less than $100,000, in the case of a commercial Letter of Credit, or $500,000, in the case of a standby Letter of Credit;</w:t>
      </w:r>
    </w:p>
    <w:p>
      <w:pPr>
        <w:spacing w:after="0" w:line="181" w:lineRule="exact"/>
        <w:rPr>
          <w:rFonts w:ascii="Times New Roman" w:cs="Times New Roman" w:eastAsia="Times New Roman" w:hAnsi="Times New Roman"/>
          <w:sz w:val="20"/>
          <w:szCs w:val="20"/>
          <w:color w:val="auto"/>
        </w:rPr>
      </w:pPr>
    </w:p>
    <w:p>
      <w:pPr>
        <w:ind w:left="180" w:firstLine="652"/>
        <w:spacing w:after="0" w:line="269" w:lineRule="auto"/>
        <w:tabs>
          <w:tab w:leader="none" w:pos="131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does not as of the issuance date of such requested Letter of Credit issue Letters of Credit in the requested currency;</w:t>
      </w:r>
    </w:p>
    <w:p>
      <w:pPr>
        <w:spacing w:after="0" w:line="172" w:lineRule="exact"/>
        <w:rPr>
          <w:rFonts w:ascii="Times New Roman" w:cs="Times New Roman" w:eastAsia="Times New Roman" w:hAnsi="Times New Roman"/>
          <w:sz w:val="20"/>
          <w:szCs w:val="20"/>
          <w:color w:val="auto"/>
        </w:rPr>
      </w:pPr>
    </w:p>
    <w:p>
      <w:pPr>
        <w:ind w:left="180" w:firstLine="652"/>
        <w:spacing w:after="0" w:line="269" w:lineRule="auto"/>
        <w:tabs>
          <w:tab w:leader="none" w:pos="1395"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for automatic reinstatement of the stated amount after any drawing thereunder; or</w:t>
      </w:r>
    </w:p>
    <w:p>
      <w:pPr>
        <w:spacing w:after="0" w:line="172"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27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L/C Issuer has entered into arrangements, including the delivery of Cash Collateral, satisfactory to the L/C Issuer (in its sole discretion) with the applicable Borrower or such Defaulting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78" w:lineRule="exact"/>
        <w:rPr>
          <w:rFonts w:ascii="Times New Roman" w:cs="Times New Roman" w:eastAsia="Times New Roman" w:hAnsi="Times New Roman"/>
          <w:sz w:val="20"/>
          <w:szCs w:val="20"/>
          <w:color w:val="auto"/>
        </w:rPr>
      </w:pPr>
    </w:p>
    <w:p>
      <w:pPr>
        <w:ind w:left="-460" w:firstLine="644"/>
        <w:spacing w:after="0" w:line="283" w:lineRule="auto"/>
        <w:tabs>
          <w:tab w:leader="none" w:pos="65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amend any Letter of Credit if the L/C Issuer would not be permitted at such time to issue such Letter of Credit in its amended form under the terms hereof.</w:t>
      </w:r>
    </w:p>
    <w:p>
      <w:pPr>
        <w:spacing w:after="0" w:line="159"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67" w:lineRule="exact"/>
        <w:rPr>
          <w:rFonts w:ascii="Times New Roman" w:cs="Times New Roman" w:eastAsia="Times New Roman" w:hAnsi="Times New Roman"/>
          <w:sz w:val="20"/>
          <w:szCs w:val="20"/>
          <w:color w:val="auto"/>
        </w:rPr>
      </w:pPr>
    </w:p>
    <w:p>
      <w:pPr>
        <w:jc w:val="both"/>
        <w:ind w:left="-460" w:firstLine="644"/>
        <w:spacing w:after="0" w:line="268" w:lineRule="auto"/>
        <w:tabs>
          <w:tab w:leader="none" w:pos="68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120"/>
          </w:cols>
          <w:pgMar w:left="1440" w:top="1413" w:right="339" w:bottom="1440" w:gutter="0" w:footer="0" w:header="0"/>
        </w:sectPr>
      </w:pPr>
    </w:p>
    <w:bookmarkStart w:id="74" w:name="page75"/>
    <w:bookmarkEnd w:id="74"/>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 xml:space="preserve">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included the L/C Issuer with respect to such acts or omissions (it being understood that this clause (A) shall apply to the relationship among the L/C Issuer and the Lenders and shall not impair the obligations of the L/C Issuer to the Company or any of its Subsidiaries under the terms of the applicable Letters of Credit and Issuer Documents) and (B) as additionally provided herein with respect to the L/C Issuer.</w:t>
      </w:r>
    </w:p>
    <w:p>
      <w:pPr>
        <w:spacing w:after="0" w:line="192" w:lineRule="exact"/>
        <w:rPr>
          <w:sz w:val="20"/>
          <w:szCs w:val="20"/>
          <w:color w:val="auto"/>
        </w:rPr>
      </w:pPr>
    </w:p>
    <w:p>
      <w:pPr>
        <w:ind w:left="404" w:hanging="404"/>
        <w:spacing w:after="0"/>
        <w:tabs>
          <w:tab w:leader="none" w:pos="40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Auto-Extension Letters of Credit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 w:firstLine="644"/>
        <w:spacing w:after="0" w:line="249" w:lineRule="auto"/>
        <w:tabs>
          <w:tab w:leader="none" w:pos="11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applicable Borrower delivered to the L/C Issuer (with a copy to the Administrative Agent) in the form of a Letter of Credit Application, appropriately completed and signed by a Responsible Officer of such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(A) not later than 11:00 a.m. at least two Business Days prior to the proposed issuance date or date of amendment, as the case may be, of any Letter of Credit denominated in Dollars, and (B) not later than 11:00 a.m. at least ten Business Days prior to the proposed issuance date or date of amendment, as the case may be, of any Letter of Credit denominated in an Alternative Currency; or in each case such later date and time as the Administrative Agent and the L/C Issuer may agree in a particular instance in their sole discretion.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reasonably satisfactory to the L/C Issuer (A) the Letter of Credit to be amended; (B) the proposed date of amendment thereof (which shall be a Business Day); (C) the nature of the proposed amendment; and (D) such other matters as the L/C Issuer may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200"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11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applicable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shall not be satisfied,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84"/>
          </w:cols>
          <w:pgMar w:left="976" w:top="1413" w:right="339" w:bottom="1440" w:gutter="0" w:footer="0" w:header="0"/>
        </w:sectPr>
      </w:pPr>
    </w:p>
    <w:bookmarkStart w:id="75" w:name="page76"/>
    <w:bookmarkEnd w:id="75"/>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subject to the terms and conditions hereof, the L/C Issuer shall, on the requested date, issue a Letter of Credit for the account of the applicable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Pro Rata Share times the amount of such Letter of Credit.</w:t>
      </w:r>
    </w:p>
    <w:p>
      <w:pPr>
        <w:spacing w:after="0" w:line="192" w:lineRule="exact"/>
        <w:rPr>
          <w:sz w:val="20"/>
          <w:szCs w:val="20"/>
          <w:color w:val="auto"/>
        </w:rPr>
      </w:pPr>
    </w:p>
    <w:p>
      <w:pPr>
        <w:jc w:val="both"/>
        <w:ind w:left="4" w:firstLine="644"/>
        <w:spacing w:after="0" w:line="248" w:lineRule="auto"/>
        <w:tabs>
          <w:tab w:leader="none" w:pos="116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Borrower so requests in any applicable Letter of Credit Application, the L/C Issuer may, in its sole and absolute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provided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L/C Issuer, the applicable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last expiry date permitted under </w:t>
      </w:r>
      <w:r>
        <w:rPr>
          <w:rFonts w:ascii="Times New Roman" w:cs="Times New Roman" w:eastAsia="Times New Roman" w:hAnsi="Times New Roman"/>
          <w:sz w:val="20"/>
          <w:szCs w:val="20"/>
          <w:u w:val="single" w:color="auto"/>
          <w:color w:val="auto"/>
        </w:rPr>
        <w:t>Section 2.03(a)(ii)(B)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is not then satisfied, and in each case directing the L/C Issuer not to permit such extension.</w:t>
      </w:r>
    </w:p>
    <w:p>
      <w:pPr>
        <w:spacing w:after="0" w:line="207"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172"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spacing w:after="0" w:line="181" w:lineRule="exact"/>
        <w:rPr>
          <w:rFonts w:ascii="Times New Roman" w:cs="Times New Roman" w:eastAsia="Times New Roman" w:hAnsi="Times New Roman"/>
          <w:sz w:val="20"/>
          <w:szCs w:val="20"/>
          <w:color w:val="auto"/>
        </w:rPr>
      </w:pPr>
    </w:p>
    <w:p>
      <w:pPr>
        <w:ind w:left="404" w:hanging="404"/>
        <w:spacing w:after="0"/>
        <w:tabs>
          <w:tab w:leader="none" w:pos="40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 w:firstLine="644"/>
        <w:spacing w:after="0" w:line="252" w:lineRule="auto"/>
        <w:tabs>
          <w:tab w:leader="none" w:pos="1032"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drawing under such Letter of Credit, the L/C Issuer shall notify the applicable Borrower and the Administrative Agent thereof. In the case of a Letter of Credit denominated in an Alternative Currency, the applicable Borrower shall reimburse the L/C Issuer in such Alternative Currency, unless (A) the L/C Issuer (at its option) shall have specified in such notice that it will require reimbursement in Dollars, or (B) in the absence of any such requirement for reimbursement in Dollars, the Company shall have notified the L/C Issuer promptly following receipt of the notice of drawing that such Borrower will reimburse the L/C Issuer in Dollars. In the case of any such reimbursement in Dollars of a drawing under a Letter of Credit denominated in an Alternative Currency, the L/C Issuer shall notify the applicable Borrower of the Dollar Equivalent of the amount of the drawing promptly following the determination thereof. Not later than 11:00 a.m. on the Business Day following the date of any payment by the L/C Issuer under a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84"/>
          </w:cols>
          <w:pgMar w:left="976" w:top="1413" w:right="339" w:bottom="1440" w:gutter="0" w:footer="0" w:header="0"/>
        </w:sectPr>
      </w:pPr>
    </w:p>
    <w:bookmarkStart w:id="76" w:name="page77"/>
    <w:bookmarkEnd w:id="76"/>
    <w:p>
      <w:pPr>
        <w:jc w:val="both"/>
        <w:spacing w:after="0" w:line="250" w:lineRule="auto"/>
        <w:rPr>
          <w:sz w:val="20"/>
          <w:szCs w:val="20"/>
          <w:color w:val="auto"/>
        </w:rPr>
      </w:pPr>
      <w:r>
        <w:rPr>
          <w:rFonts w:ascii="Times New Roman" w:cs="Times New Roman" w:eastAsia="Times New Roman" w:hAnsi="Times New Roman"/>
          <w:sz w:val="20"/>
          <w:szCs w:val="20"/>
          <w:color w:val="auto"/>
        </w:rPr>
        <w:t>to be reimbursed in Dollars, or the Applicable Time on the Business Day following the date of any payment by the L/C Issuer under a Letter of Credit to be reimbursed in an Alternative Currency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the applicable Borrower shall reimburse the L/C Issuer through the Administrative Agent in an amount equal to the amount of such drawing and in the applicable currency (together with interest thereon). If the applicable Borrower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Lender’s Pro Rata Share thereof. In such event, the applicable Borrower shall be deemed to have requested a Borrowing of Revolving Loans that are Base Rate Loans to be disbursed on the Honor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unutilized portion of the Aggregate Revolving Commitments and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(other than the delivery of a Loan Notice). Any notice given by the L/C Issuer or the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 immediately confirmed in writing (including by facsimile or e-mail if permitted by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83" w:lineRule="exact"/>
        <w:rPr>
          <w:sz w:val="20"/>
          <w:szCs w:val="20"/>
          <w:color w:val="auto"/>
        </w:rPr>
      </w:pPr>
    </w:p>
    <w:p>
      <w:pPr>
        <w:jc w:val="both"/>
        <w:ind w:firstLine="644"/>
        <w:spacing w:after="0" w:line="253" w:lineRule="auto"/>
        <w:tabs>
          <w:tab w:leader="none" w:pos="10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upon any notice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make funds available (and the Administrative Agent may apply Cash Collateral provided for this purpose) to the Administrative Agent for the account of the L/C Issuer, in Dollars, at the Administrative Agent’s Office for Dollar-denominated payments in an amount equal to its Pro Rata Share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each Lender that so makes funds available shall be deemed to have made a Revolving Loan that is a Base Rate Loan to the applicable Borrower in such amount. The Administrative Agent shall remit the funds so received to the L/C Issuer in Dollars.</w:t>
      </w:r>
    </w:p>
    <w:p>
      <w:pPr>
        <w:spacing w:after="0" w:line="179" w:lineRule="exact"/>
        <w:rPr>
          <w:rFonts w:ascii="Times New Roman" w:cs="Times New Roman" w:eastAsia="Times New Roman" w:hAnsi="Times New Roman"/>
          <w:sz w:val="20"/>
          <w:szCs w:val="20"/>
          <w:color w:val="auto"/>
        </w:rPr>
      </w:pPr>
    </w:p>
    <w:p>
      <w:pPr>
        <w:jc w:val="both"/>
        <w:ind w:firstLine="644"/>
        <w:spacing w:after="0" w:line="253" w:lineRule="auto"/>
        <w:tabs>
          <w:tab w:leader="none" w:pos="117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that is not fully refinanced by a Borrowing of Revolving Loans that are Base Rate Loans because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cannot be satisfied or for any other reason, the applicable Borrower shall be deemed to have incurred from the L/C Issuer an L/C Borrowing in the amount of the Unreimbursed Amount that is not so refinanced, which L/C Borrowing shall be due and payable promptly on demand (together with interest) and shall bear interest at the Default Rate. In such event, each Lender’s payment to the Administrative Agent for the account of the L/C Issuer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2.03(c)(ii)</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right="20" w:firstLine="644"/>
        <w:spacing w:after="0" w:line="261" w:lineRule="auto"/>
        <w:tabs>
          <w:tab w:leader="none" w:pos="118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Lender funds its Revolving Loan or L/C Advance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to reimburse the L/C Issuer for any amount drawn under any Letter of Credit, interest in respect of such Lender’s Pro Rata Share of such amount shall be solely for the account of the L/C Issuer.</w:t>
      </w:r>
    </w:p>
    <w:p>
      <w:pPr>
        <w:spacing w:after="0" w:line="167" w:lineRule="exact"/>
        <w:rPr>
          <w:rFonts w:ascii="Times New Roman" w:cs="Times New Roman" w:eastAsia="Times New Roman" w:hAnsi="Times New Roman"/>
          <w:sz w:val="20"/>
          <w:szCs w:val="20"/>
          <w:color w:val="auto"/>
        </w:rPr>
      </w:pPr>
    </w:p>
    <w:p>
      <w:pPr>
        <w:ind w:right="20" w:firstLine="644"/>
        <w:spacing w:after="0" w:line="310" w:lineRule="auto"/>
        <w:tabs>
          <w:tab w:leader="none" w:pos="1099"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Lender’s obligation to make Revolving Loans or L/C Advances to reimburse the L/C Issuer for amounts drawn under Letters of Credit, as contemplated by this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shall be absolute and unconditional and shall not be affected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80"/>
          </w:cols>
          <w:pgMar w:left="980" w:top="1413" w:right="339" w:bottom="1440" w:gutter="0" w:footer="0" w:header="0"/>
        </w:sectPr>
      </w:pPr>
    </w:p>
    <w:bookmarkStart w:id="77" w:name="page78"/>
    <w:bookmarkEnd w:id="77"/>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 xml:space="preserve">circumstance, including (A) any set-off, counterclaim, recoupment, defense or other right which such Lender may have against the L/C Issuer, the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Lender’s obligation to make Revolving Loans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(other than delivery by the applicable Borrower of a Loan Notice). No such making of an L/C Advance shall relieve or otherwise impair the obligation of any Borrower to reimburse the L/C Issuer for the amount of any payment made by the L/C Issuer under any Letter of Credit, together with interest as provided herein.</w:t>
      </w:r>
    </w:p>
    <w:p>
      <w:pPr>
        <w:spacing w:after="0" w:line="179" w:lineRule="exact"/>
        <w:rPr>
          <w:sz w:val="20"/>
          <w:szCs w:val="20"/>
          <w:color w:val="auto"/>
        </w:rPr>
      </w:pPr>
    </w:p>
    <w:p>
      <w:pPr>
        <w:jc w:val="both"/>
        <w:ind w:left="660" w:firstLine="644"/>
        <w:spacing w:after="0" w:line="252" w:lineRule="auto"/>
        <w:tabs>
          <w:tab w:leader="none" w:pos="188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2.03(c)(ii)</w:t>
      </w:r>
      <w:r>
        <w:rPr>
          <w:rFonts w:ascii="Times New Roman" w:cs="Times New Roman" w:eastAsia="Times New Roman" w:hAnsi="Times New Roman"/>
          <w:sz w:val="20"/>
          <w:szCs w:val="20"/>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177"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68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L/C Issuer has made a payment under any Letter of Credit and has received from any Lender such Lender’s L/C Advance in respect of such payment in accordance with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if the Administrative Agent receives for the account of the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Pro Rata Share thereof in Dollars and in the same funds as those received by the Administrative Agent.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69" w:lineRule="auto"/>
        <w:tabs>
          <w:tab w:leader="none" w:pos="1743"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payment received by the Administrative Agent for the account of the L/C Issuer pursuant to </w:t>
      </w:r>
      <w:r>
        <w:rPr>
          <w:rFonts w:ascii="Times New Roman" w:cs="Times New Roman" w:eastAsia="Times New Roman" w:hAnsi="Times New Roman"/>
          <w:sz w:val="19"/>
          <w:szCs w:val="19"/>
          <w:u w:val="single" w:color="auto"/>
          <w:color w:val="auto"/>
        </w:rPr>
        <w:t>Section 2.03(c)(i)</w:t>
      </w:r>
      <w:r>
        <w:rPr>
          <w:rFonts w:ascii="Times New Roman" w:cs="Times New Roman" w:eastAsia="Times New Roman" w:hAnsi="Times New Roman"/>
          <w:sz w:val="19"/>
          <w:szCs w:val="19"/>
          <w:color w:val="auto"/>
        </w:rPr>
        <w:t xml:space="preserve"> is required to be returned under any of the circumstances described in </w:t>
      </w:r>
      <w:r>
        <w:rPr>
          <w:rFonts w:ascii="Times New Roman" w:cs="Times New Roman" w:eastAsia="Times New Roman" w:hAnsi="Times New Roman"/>
          <w:sz w:val="19"/>
          <w:szCs w:val="19"/>
          <w:u w:val="single" w:color="auto"/>
          <w:color w:val="auto"/>
        </w:rPr>
        <w:t>Section 11.05</w:t>
      </w:r>
      <w:r>
        <w:rPr>
          <w:rFonts w:ascii="Times New Roman" w:cs="Times New Roman" w:eastAsia="Times New Roman" w:hAnsi="Times New Roman"/>
          <w:sz w:val="19"/>
          <w:szCs w:val="19"/>
          <w:color w:val="auto"/>
        </w:rPr>
        <w:t xml:space="preserve"> (including pursuant to any settlement entered into by the L/C Issuer in its discretion), each Lender shall pay to the Administrative Agent for the account of the L/C Issuer its Pro Rata Share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77" w:lineRule="exact"/>
        <w:rPr>
          <w:rFonts w:ascii="Times New Roman" w:cs="Times New Roman" w:eastAsia="Times New Roman" w:hAnsi="Times New Roman"/>
          <w:sz w:val="19"/>
          <w:szCs w:val="19"/>
          <w:color w:val="auto"/>
        </w:rPr>
      </w:pPr>
    </w:p>
    <w:p>
      <w:pPr>
        <w:ind w:right="20" w:firstLine="656"/>
        <w:spacing w:after="0" w:line="269" w:lineRule="auto"/>
        <w:tabs>
          <w:tab w:leader="none" w:pos="104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Borrowers to reimburse the L/C Issuer for each drawing under each Letter of Credit and to repay each L/C Borrowing shall be absolute,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13" w:right="339" w:bottom="1440" w:gutter="0" w:footer="0" w:header="0"/>
        </w:sectPr>
      </w:pPr>
    </w:p>
    <w:bookmarkStart w:id="78" w:name="page79"/>
    <w:bookmarkEnd w:id="78"/>
    <w:p>
      <w:pPr>
        <w:spacing w:after="0" w:line="283" w:lineRule="auto"/>
        <w:rPr>
          <w:sz w:val="20"/>
          <w:szCs w:val="20"/>
          <w:color w:val="auto"/>
        </w:rPr>
      </w:pPr>
      <w:r>
        <w:rPr>
          <w:rFonts w:ascii="Times New Roman" w:cs="Times New Roman" w:eastAsia="Times New Roman" w:hAnsi="Times New Roman"/>
          <w:sz w:val="20"/>
          <w:szCs w:val="20"/>
          <w:color w:val="auto"/>
        </w:rPr>
        <w:t>unconditional and irrevocable, and shall be paid strictly in accordance with the terms of this Agreement under all circumstances, including the following:</w:t>
      </w:r>
    </w:p>
    <w:p>
      <w:pPr>
        <w:spacing w:after="0" w:line="146" w:lineRule="exact"/>
        <w:rPr>
          <w:sz w:val="20"/>
          <w:szCs w:val="20"/>
          <w:color w:val="auto"/>
        </w:rPr>
      </w:pPr>
    </w:p>
    <w:p>
      <w:pPr>
        <w:ind w:left="1680" w:hanging="376"/>
        <w:spacing w:after="0"/>
        <w:tabs>
          <w:tab w:leader="none" w:pos="16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4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8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91" w:lineRule="exact"/>
        <w:rPr>
          <w:rFonts w:ascii="Times New Roman" w:cs="Times New Roman" w:eastAsia="Times New Roman" w:hAnsi="Times New Roman"/>
          <w:sz w:val="20"/>
          <w:szCs w:val="20"/>
          <w:color w:val="auto"/>
        </w:rPr>
      </w:pPr>
    </w:p>
    <w:p>
      <w:pPr>
        <w:ind w:left="660" w:firstLine="644"/>
        <w:spacing w:after="0" w:line="283" w:lineRule="auto"/>
        <w:tabs>
          <w:tab w:leader="none" w:pos="177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any Borrower or any waiver by the L/C Issuer which does not in fact materially prejudice any Borrower;</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8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 be in the form of a draft;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6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1" w:lineRule="exact"/>
        <w:rPr>
          <w:rFonts w:ascii="Times New Roman" w:cs="Times New Roman" w:eastAsia="Times New Roman" w:hAnsi="Times New Roman"/>
          <w:sz w:val="20"/>
          <w:szCs w:val="20"/>
          <w:color w:val="auto"/>
        </w:rPr>
      </w:pPr>
    </w:p>
    <w:p>
      <w:pPr>
        <w:ind w:left="660" w:firstLine="644"/>
        <w:spacing w:after="0" w:line="283" w:lineRule="auto"/>
        <w:tabs>
          <w:tab w:leader="none" w:pos="193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Borrowers or any Subsidiary or in the relevant currency markets generally; or</w:t>
      </w:r>
    </w:p>
    <w:p>
      <w:pPr>
        <w:spacing w:after="0" w:line="146"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81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Borrowers or any Subsidiary.</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applicable Borrower shall promptly examine a copy of each Letter of Credit and each amendment thereto that is delivered to it and, in the event of any claim of noncompliance with such Borrower’s instructions or other irregularity, such Borrower will promptly notify the L/C Issuer. The Borrowers shall be conclusively deemed to have waived any such claim against the L/C Issuer and its correspondents unless such notice is given as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13" w:right="339" w:bottom="1440" w:gutter="0" w:footer="0" w:header="0"/>
        </w:sectPr>
      </w:pPr>
    </w:p>
    <w:bookmarkStart w:id="79" w:name="page80"/>
    <w:bookmarkEnd w:id="79"/>
    <w:p>
      <w:pPr>
        <w:jc w:val="both"/>
        <w:ind w:firstLine="656"/>
        <w:spacing w:after="0" w:line="248" w:lineRule="auto"/>
        <w:tabs>
          <w:tab w:leader="none" w:pos="105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L/C Issuer</w:t>
      </w:r>
      <w:r>
        <w:rPr>
          <w:rFonts w:ascii="Times New Roman" w:cs="Times New Roman" w:eastAsia="Times New Roman" w:hAnsi="Times New Roman"/>
          <w:sz w:val="20"/>
          <w:szCs w:val="20"/>
          <w:color w:val="auto"/>
        </w:rPr>
        <w:t xml:space="preserve">. Each Lender and each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assumption is not intended to, and shall not, preclude any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(ix) of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anything in such clauses to the contrary notwithstanding,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or the L/C Issuer’s willful or grossly negligent failure to pay under any Letter of Credit after the presentation to it by the beneficiary of a sight draft and certificate(s) strictly complying with the terms and conditions of a Letter of Credit unless the L/C Issuer is prevented or prohibited from so paying as a result of any order or directive of any court or other Governmental Authority.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The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20"/>
          <w:szCs w:val="20"/>
          <w:u w:val="single" w:color="auto"/>
          <w:color w:val="auto"/>
        </w:rPr>
        <w:t>SWIFT</w:t>
      </w:r>
      <w:r>
        <w:rPr>
          <w:rFonts w:ascii="Times New Roman" w:cs="Times New Roman" w:eastAsia="Times New Roman" w:hAnsi="Times New Roman"/>
          <w:sz w:val="20"/>
          <w:szCs w:val="20"/>
          <w:color w:val="auto"/>
        </w:rPr>
        <w:t>”) message or overnight courier, or any other commercially reasonable means of communicating with a beneficiary.</w:t>
      </w:r>
    </w:p>
    <w:p>
      <w:pPr>
        <w:spacing w:after="0" w:line="212" w:lineRule="exact"/>
        <w:rPr>
          <w:rFonts w:ascii="Times New Roman" w:cs="Times New Roman" w:eastAsia="Times New Roman" w:hAnsi="Times New Roman"/>
          <w:sz w:val="20"/>
          <w:szCs w:val="20"/>
          <w:color w:val="auto"/>
        </w:rPr>
      </w:pPr>
    </w:p>
    <w:p>
      <w:pPr>
        <w:jc w:val="both"/>
        <w:ind w:firstLine="656"/>
        <w:spacing w:after="0" w:line="266" w:lineRule="auto"/>
        <w:tabs>
          <w:tab w:leader="none" w:pos="1072"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Applicability of ISP and UCP</w:t>
      </w:r>
      <w:r>
        <w:rPr>
          <w:rFonts w:ascii="Times New Roman" w:cs="Times New Roman" w:eastAsia="Times New Roman" w:hAnsi="Times New Roman"/>
          <w:sz w:val="19"/>
          <w:szCs w:val="19"/>
          <w:color w:val="auto"/>
        </w:rPr>
        <w:t>. Unless otherwise expressly agreed by the L/C Issuer and the applicable Borrower when a Letter of Credit is issued (including any such agreement applicable to an Existing Letter of Credit), (i) the rules of the ISP shall apply to each standby Letter of Credit, and (ii) the rules of the UCP shall apply to each commercial Letter of Credit (it being understood that the applicable Borrower may request that any particular Letter of Credit be governed by either the ISP or the UCP, as selected by such Borrower or the beneficiary of such Letter of Credit). Notwithstanding the foregoing, the L/C Issuer shall not be responsible to any Borrower for, and the L/C Issuer’s rights and remedies against such Borrower shall not be impaired by, any action or inaction of the L/C Issuer required under any Law or practice that is required to be applied to any Letter of Credit, including the Law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13" w:right="339" w:bottom="1440" w:gutter="0" w:footer="0" w:header="0"/>
        </w:sectPr>
      </w:pPr>
    </w:p>
    <w:bookmarkStart w:id="80" w:name="page81"/>
    <w:bookmarkEnd w:id="80"/>
    <w:p>
      <w:pPr>
        <w:ind w:right="20"/>
        <w:spacing w:after="0" w:line="283" w:lineRule="auto"/>
        <w:rPr>
          <w:sz w:val="20"/>
          <w:szCs w:val="20"/>
          <w:color w:val="auto"/>
        </w:rPr>
      </w:pPr>
      <w:r>
        <w:rPr>
          <w:rFonts w:ascii="Times New Roman" w:cs="Times New Roman" w:eastAsia="Times New Roman" w:hAnsi="Times New Roman"/>
          <w:sz w:val="20"/>
          <w:szCs w:val="20"/>
          <w:color w:val="auto"/>
        </w:rPr>
        <w:t>Association (BAFT-IFSA), or the Institute of International Banking Law &amp; Practice, whether or not any Letter of Credit chooses such Law or practice.</w:t>
      </w:r>
    </w:p>
    <w:p>
      <w:pPr>
        <w:spacing w:after="0" w:line="146" w:lineRule="exact"/>
        <w:rPr>
          <w:sz w:val="20"/>
          <w:szCs w:val="20"/>
          <w:color w:val="auto"/>
        </w:rPr>
      </w:pPr>
    </w:p>
    <w:p>
      <w:pPr>
        <w:jc w:val="both"/>
        <w:ind w:firstLine="656"/>
        <w:spacing w:after="0" w:line="266" w:lineRule="auto"/>
        <w:tabs>
          <w:tab w:leader="none" w:pos="1153"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 of Credit Fees</w:t>
      </w:r>
      <w:r>
        <w:rPr>
          <w:rFonts w:ascii="Times New Roman" w:cs="Times New Roman" w:eastAsia="Times New Roman" w:hAnsi="Times New Roman"/>
          <w:sz w:val="19"/>
          <w:szCs w:val="19"/>
          <w:color w:val="auto"/>
        </w:rPr>
        <w:t xml:space="preserve">. The Borrowers shall pay to the Administrative Agent for the account of each Lender in accordance, subject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with its Pro Rata Share, in Dollars, a Letter of Credit fee (the “</w:t>
      </w:r>
      <w:r>
        <w:rPr>
          <w:rFonts w:ascii="Times New Roman" w:cs="Times New Roman" w:eastAsia="Times New Roman" w:hAnsi="Times New Roman"/>
          <w:sz w:val="19"/>
          <w:szCs w:val="19"/>
          <w:u w:val="single" w:color="auto"/>
          <w:color w:val="auto"/>
        </w:rPr>
        <w:t>Letter of Credit Fee</w:t>
      </w:r>
      <w:r>
        <w:rPr>
          <w:rFonts w:ascii="Times New Roman" w:cs="Times New Roman" w:eastAsia="Times New Roman" w:hAnsi="Times New Roman"/>
          <w:sz w:val="19"/>
          <w:szCs w:val="19"/>
          <w:color w:val="auto"/>
        </w:rPr>
        <w:t xml:space="preserve">”) for each Letter of Credit equal to the Applicable Rate times the Dollar Equivalent of the actual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9"/>
          <w:szCs w:val="19"/>
          <w:u w:val="single" w:color="auto"/>
          <w:color w:val="auto"/>
        </w:rPr>
        <w:t>Section 1.10</w:t>
      </w:r>
      <w:r>
        <w:rPr>
          <w:rFonts w:ascii="Times New Roman" w:cs="Times New Roman" w:eastAsia="Times New Roman" w:hAnsi="Times New Roman"/>
          <w:sz w:val="19"/>
          <w:szCs w:val="19"/>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70" w:lineRule="exact"/>
        <w:rPr>
          <w:rFonts w:ascii="Times New Roman" w:cs="Times New Roman" w:eastAsia="Times New Roman" w:hAnsi="Times New Roman"/>
          <w:sz w:val="19"/>
          <w:szCs w:val="19"/>
          <w:color w:val="auto"/>
        </w:rPr>
      </w:pPr>
    </w:p>
    <w:p>
      <w:pPr>
        <w:jc w:val="both"/>
        <w:ind w:firstLine="656"/>
        <w:spacing w:after="0" w:line="249" w:lineRule="auto"/>
        <w:tabs>
          <w:tab w:leader="none" w:pos="10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w:t>
      </w:r>
      <w:r>
        <w:rPr>
          <w:rFonts w:ascii="Times New Roman" w:cs="Times New Roman" w:eastAsia="Times New Roman" w:hAnsi="Times New Roman"/>
          <w:sz w:val="20"/>
          <w:szCs w:val="20"/>
          <w:color w:val="auto"/>
        </w:rPr>
        <w:t xml:space="preserve">. The Borrowers shall pay directly to the L/C Issuer for its own account, in Dollars, a fronting fee (i) with respect to each commercial Letter of Credit, at the rate specified in the Fee Letter, computed on the Dollar Equivalent of the amount of such Letter of Credit, and payable upon the issuance thereof, (ii) with respect to any amendment of a commercial Letter of Credit increasing the amount of such Letter of Credit, at a rate separately agreed between the Borrowers and the L/C Issuer, computed on the Dollar Equivalent of the amount of such increase, and payable upon the effectiveness of such amendment, and (iii) with respect to each standby Letter of Credit, at the rate per annum specified in the Fee Letter, computed on the Dollar Equivalent of the daily amount available to be drawn under such Letter of Credit and on a quarterly basis in arrears. Such fronting fee for standby Letters of Credit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In addition, the Borrowers shall pay directly to the L/C Issuer for its own account the customary issuance, presentation, amendment and other processing fees, and other standard costs and charges, of the L/C Issuer relating to letters of credit as from time to time in effect, in Dollars or such Alternative Currency as shall be separately agreed. Such customary fees and standard costs and charges are due and payable promptly on demand and are nonrefundable.</w:t>
      </w:r>
    </w:p>
    <w:p>
      <w:pPr>
        <w:spacing w:after="0" w:line="200" w:lineRule="exact"/>
        <w:rPr>
          <w:rFonts w:ascii="Times New Roman" w:cs="Times New Roman" w:eastAsia="Times New Roman" w:hAnsi="Times New Roman"/>
          <w:sz w:val="20"/>
          <w:szCs w:val="20"/>
          <w:color w:val="auto"/>
        </w:rPr>
      </w:pPr>
    </w:p>
    <w:p>
      <w:pPr>
        <w:ind w:firstLine="656"/>
        <w:spacing w:after="0" w:line="283" w:lineRule="auto"/>
        <w:tabs>
          <w:tab w:leader="none" w:pos="101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05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Borrowers shall be obligated to reimburse the L/C Issuer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13" w:right="339" w:bottom="1440" w:gutter="0" w:footer="0" w:header="0"/>
        </w:sectPr>
      </w:pPr>
    </w:p>
    <w:bookmarkStart w:id="81" w:name="page82"/>
    <w:bookmarkEnd w:id="81"/>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u w:val="single" w:color="auto"/>
          <w:color w:val="auto"/>
        </w:rPr>
        <w:t>Swing Line Loans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2" w:lineRule="auto"/>
        <w:tabs>
          <w:tab w:leader="none" w:pos="1196"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Swing Line Facility</w:t>
      </w:r>
      <w:r>
        <w:rPr>
          <w:rFonts w:ascii="Times New Roman" w:cs="Times New Roman" w:eastAsia="Times New Roman" w:hAnsi="Times New Roman"/>
          <w:sz w:val="19"/>
          <w:szCs w:val="19"/>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shall make loans (each such loan, a “</w:t>
      </w:r>
      <w:r>
        <w:rPr>
          <w:rFonts w:ascii="Times New Roman" w:cs="Times New Roman" w:eastAsia="Times New Roman" w:hAnsi="Times New Roman"/>
          <w:sz w:val="19"/>
          <w:szCs w:val="19"/>
          <w:u w:val="single" w:color="auto"/>
          <w:color w:val="auto"/>
        </w:rPr>
        <w:t>Swing Line Loan</w:t>
      </w:r>
      <w:r>
        <w:rPr>
          <w:rFonts w:ascii="Times New Roman" w:cs="Times New Roman" w:eastAsia="Times New Roman" w:hAnsi="Times New Roman"/>
          <w:sz w:val="19"/>
          <w:szCs w:val="19"/>
          <w:color w:val="auto"/>
        </w:rPr>
        <w:t xml:space="preserve">”) to the Domestic Borrowers in Dollars from time to time on any Business Day during the Availability Period in an Outstanding Amount not to exceed at any time outstanding the amount of the Swing Line Sublimit, notwithstanding the fact that such Swing Line Loans, when aggregated with the Pro Rata Share of the Outstanding Amount of Revolving Loans and L/C Obligations of the Swing Line Lender in its capacity as a Lender of Revolving Loans, may exceed the amount of such Lender’s Revolving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after giving effect to any Swing Line Loan, (A) the Total Revolving Outstandings shall not exceed the Aggregate Revolving Commitments and (B) the aggregate Outstanding Amount of the Revolving Loans of any Lender, plus such Lender’s Pro Rata Share of the Outstanding Amount of all L/C Obligations, plus such Lender’s Pro Rata Share of the Outstanding Amount of all Swing Line Loans shall not exceed such Lender’s Revolving Commitment, (ii) no Borrower shall use the proceeds of any Swing Line Loan to refinance any outstanding Swing Line Loan and</w:t>
      </w:r>
    </w:p>
    <w:p>
      <w:pPr>
        <w:spacing w:after="0" w:line="6" w:lineRule="exact"/>
        <w:rPr>
          <w:rFonts w:ascii="Times New Roman" w:cs="Times New Roman" w:eastAsia="Times New Roman" w:hAnsi="Times New Roman"/>
          <w:sz w:val="19"/>
          <w:szCs w:val="19"/>
          <w:color w:val="auto"/>
        </w:rPr>
      </w:pPr>
    </w:p>
    <w:p>
      <w:pPr>
        <w:jc w:val="both"/>
        <w:ind w:firstLine="8"/>
        <w:spacing w:after="0" w:line="248" w:lineRule="auto"/>
        <w:tabs>
          <w:tab w:leader="none" w:pos="38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shall not be under any obligation to make any Swing Line Loan if it shall reasonably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Each Swing Line Loan shall be a Base Rate Loan and bear interest at a rate per annum determined in accordance with </w:t>
      </w:r>
      <w:r>
        <w:rPr>
          <w:rFonts w:ascii="Times New Roman" w:cs="Times New Roman" w:eastAsia="Times New Roman" w:hAnsi="Times New Roman"/>
          <w:sz w:val="20"/>
          <w:szCs w:val="20"/>
          <w:u w:val="single" w:color="auto"/>
          <w:color w:val="auto"/>
        </w:rPr>
        <w:t>Section 2.08(a)</w:t>
      </w:r>
      <w:r>
        <w:rPr>
          <w:rFonts w:ascii="Times New Roman" w:cs="Times New Roman" w:eastAsia="Times New Roman" w:hAnsi="Times New Roman"/>
          <w:sz w:val="20"/>
          <w:szCs w:val="20"/>
          <w:color w:val="auto"/>
        </w:rPr>
        <w:t>. Immediately upon the making of a Swing Line Loan, each Lender shall be deemed to, and hereby irrevocably and unconditionally agrees to, purchase from the Swing Line Lender a risk participation in such Swing Line Loan in an amount equal to the product of such Lender’s Pro Rata Share times the amount of such Swing Line Loan.</w:t>
      </w:r>
    </w:p>
    <w:p>
      <w:pPr>
        <w:spacing w:after="0" w:line="197" w:lineRule="exact"/>
        <w:rPr>
          <w:rFonts w:ascii="Times New Roman" w:cs="Times New Roman" w:eastAsia="Times New Roman" w:hAnsi="Times New Roman"/>
          <w:sz w:val="20"/>
          <w:szCs w:val="20"/>
          <w:color w:val="auto"/>
        </w:rPr>
      </w:pPr>
    </w:p>
    <w:p>
      <w:pPr>
        <w:jc w:val="both"/>
        <w:ind w:firstLine="656"/>
        <w:spacing w:after="0" w:line="263" w:lineRule="auto"/>
        <w:tabs>
          <w:tab w:leader="none" w:pos="1072"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Borrowing Procedures</w:t>
      </w:r>
      <w:r>
        <w:rPr>
          <w:rFonts w:ascii="Times New Roman" w:cs="Times New Roman" w:eastAsia="Times New Roman" w:hAnsi="Times New Roman"/>
          <w:sz w:val="19"/>
          <w:szCs w:val="19"/>
          <w:color w:val="auto"/>
        </w:rPr>
        <w:t xml:space="preserve">. Each Borrowing of Swing Line Loans shall be made upon the applicable Borrower’s irrevocable notice to the Swing Line Lender and the Administrative Agent, which may be given by (A) telephone or (B) by a Swing Line Loan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principal amount of $100,000 and integral multiples of $100,000 in excess thereof,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Swing Line Loans (A) directing the Swing Line Lender not to make such Swing Line Loan as a result of the limitations set forth in the proviso to the first sentence of </w:t>
      </w:r>
      <w:r>
        <w:rPr>
          <w:rFonts w:ascii="Times New Roman" w:cs="Times New Roman" w:eastAsia="Times New Roman" w:hAnsi="Times New Roman"/>
          <w:sz w:val="19"/>
          <w:szCs w:val="19"/>
          <w:u w:val="single" w:color="auto"/>
          <w:color w:val="auto"/>
        </w:rPr>
        <w:t>Section 2.04(a)</w:t>
      </w:r>
      <w:r>
        <w:rPr>
          <w:rFonts w:ascii="Times New Roman" w:cs="Times New Roman" w:eastAsia="Times New Roman" w:hAnsi="Times New Roman"/>
          <w:sz w:val="19"/>
          <w:szCs w:val="19"/>
          <w:color w:val="auto"/>
        </w:rPr>
        <w:t xml:space="preserve">, or (B) that one or more of the applicable conditions specified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13" w:right="339" w:bottom="1440" w:gutter="0" w:footer="0" w:header="0"/>
        </w:sectPr>
      </w:pPr>
    </w:p>
    <w:bookmarkStart w:id="82" w:name="page83"/>
    <w:bookmarkEnd w:id="82"/>
    <w:p>
      <w:pPr>
        <w:ind w:left="404" w:hanging="404"/>
        <w:spacing w:after="0"/>
        <w:tabs>
          <w:tab w:leader="none" w:pos="40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49" w:lineRule="auto"/>
        <w:tabs>
          <w:tab w:leader="none" w:pos="1046"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and absolute discretion may request, on behalf of the Borrowers (which hereby irrevocably request and authorize the Swing Line Lender to so request on their behalf), that each Lender make a Revolving Loan that is a Base Rate Loan in an amount equal to such Lender’s Pro Rata Share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The Swing Line Lender shall furnish the applicable Borrower with a copy of the applicable Loan Notice promptly after delivering such notice to the Administrative Agent. Each Lender shall make an amount equal to its Pro Rata Share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 denominated payments not later than 1:00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Lender that so makes funds available shall be deemed to have made a Revolving Loan that is a Base Rate Loan to the applicable Borrower in such amount. The Administrative Agent shall remit the funds so received to the Swing Line Lender.</w:t>
      </w:r>
    </w:p>
    <w:p>
      <w:pPr>
        <w:spacing w:after="0" w:line="196"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11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Borrowing of Revolving Loans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Revolving Loans that are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91" w:lineRule="exact"/>
        <w:rPr>
          <w:rFonts w:ascii="Times New Roman" w:cs="Times New Roman" w:eastAsia="Times New Roman" w:hAnsi="Times New Roman"/>
          <w:sz w:val="20"/>
          <w:szCs w:val="20"/>
          <w:color w:val="auto"/>
        </w:rPr>
      </w:pPr>
    </w:p>
    <w:p>
      <w:pPr>
        <w:jc w:val="both"/>
        <w:ind w:left="4" w:firstLine="644"/>
        <w:spacing w:after="0" w:line="252" w:lineRule="auto"/>
        <w:tabs>
          <w:tab w:leader="none" w:pos="123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75" w:lineRule="exact"/>
        <w:rPr>
          <w:rFonts w:ascii="Times New Roman" w:cs="Times New Roman" w:eastAsia="Times New Roman" w:hAnsi="Times New Roman"/>
          <w:sz w:val="20"/>
          <w:szCs w:val="20"/>
          <w:color w:val="auto"/>
        </w:rPr>
      </w:pPr>
    </w:p>
    <w:p>
      <w:pPr>
        <w:jc w:val="both"/>
        <w:ind w:left="4" w:firstLine="644"/>
        <w:spacing w:after="0" w:line="257" w:lineRule="auto"/>
        <w:tabs>
          <w:tab w:leader="none" w:pos="1172"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Lender’s obligation to make Revolving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that such Lender may have against the Swing Line Lender, the Borrowers or any other Person for any reason whatsoever, (B) the occurrence or continuance of a Default, or (C) any other occurrence, event or condition, whether or not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84"/>
          </w:cols>
          <w:pgMar w:left="976" w:top="1413" w:right="339" w:bottom="1440" w:gutter="0" w:footer="0" w:header="0"/>
        </w:sectPr>
      </w:pPr>
    </w:p>
    <w:bookmarkStart w:id="83" w:name="page84"/>
    <w:bookmarkEnd w:id="83"/>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 xml:space="preserve">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Lender’s obligation to make Revolving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(other than the delivery by the applicable Borrower of a Loan Notice). No such purchase or funding of risk participations shall relieve or otherwise impair the obligation of the Borrowers to repay Swing Line Loans, together with interest as provided herein.</w:t>
      </w:r>
    </w:p>
    <w:p>
      <w:pPr>
        <w:spacing w:after="0" w:line="172" w:lineRule="exact"/>
        <w:rPr>
          <w:sz w:val="20"/>
          <w:szCs w:val="20"/>
          <w:color w:val="auto"/>
        </w:rPr>
      </w:pPr>
    </w:p>
    <w:p>
      <w:pPr>
        <w:ind w:left="1060" w:hanging="404"/>
        <w:spacing w:after="0"/>
        <w:tabs>
          <w:tab w:leader="none" w:pos="10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29"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3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Swing Line Lender in its discretion), each Lender shall pay to the Swing Line Lender its Pro Rata Share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92" w:lineRule="exact"/>
        <w:rPr>
          <w:rFonts w:ascii="Times New Roman" w:cs="Times New Roman" w:eastAsia="Times New Roman" w:hAnsi="Times New Roman"/>
          <w:sz w:val="20"/>
          <w:szCs w:val="20"/>
          <w:color w:val="auto"/>
        </w:rPr>
      </w:pPr>
    </w:p>
    <w:p>
      <w:pPr>
        <w:jc w:val="both"/>
        <w:ind w:firstLine="656"/>
        <w:spacing w:after="0" w:line="254" w:lineRule="auto"/>
        <w:tabs>
          <w:tab w:leader="none" w:pos="104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Borrowers for interest on the Swing Line Loans. Until each Lender funds its Revolving Loans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Lender’s Pro Rata Share of any Swing Line Loan, interest in respect of such Pro Rata Share shall be solely for the account of the Swing Line Lender.</w:t>
      </w:r>
    </w:p>
    <w:p>
      <w:pPr>
        <w:spacing w:after="0" w:line="187" w:lineRule="exact"/>
        <w:rPr>
          <w:rFonts w:ascii="Times New Roman" w:cs="Times New Roman" w:eastAsia="Times New Roman" w:hAnsi="Times New Roman"/>
          <w:sz w:val="20"/>
          <w:szCs w:val="20"/>
          <w:color w:val="auto"/>
        </w:rPr>
      </w:pPr>
    </w:p>
    <w:p>
      <w:pPr>
        <w:ind w:firstLine="656"/>
        <w:spacing w:after="0" w:line="269" w:lineRule="auto"/>
        <w:tabs>
          <w:tab w:leader="none" w:pos="109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Borrowers shall make all payments of principal and interest in respect of the Swing Line Loans directly to the Swing Line Lender.</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19"/>
          <w:szCs w:val="19"/>
          <w:u w:val="single" w:color="auto"/>
          <w:color w:val="auto"/>
        </w:rPr>
        <w:t>Prepayments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60" w:hanging="404"/>
        <w:spacing w:after="0"/>
        <w:tabs>
          <w:tab w:leader="none" w:pos="10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 of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7" w:lineRule="auto"/>
        <w:tabs>
          <w:tab w:leader="none" w:pos="1702"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Revolving Loans</w:t>
      </w:r>
      <w:r>
        <w:rPr>
          <w:rFonts w:ascii="Times New Roman" w:cs="Times New Roman" w:eastAsia="Times New Roman" w:hAnsi="Times New Roman"/>
          <w:sz w:val="19"/>
          <w:szCs w:val="19"/>
          <w:color w:val="auto"/>
        </w:rPr>
        <w:t xml:space="preserve">. A Borrower may, upon notice from such Borrower to the Administrative Agent, at any time or from time to time voluntarily prepay Revolving Loans in whole or in part without premium or penalty;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notice must be in a form reasonably acceptable to the Administrative Agent and be received by the Administrative Agent not later than 11:00 a.m. (1) three Business Days prior to any date of prepayment of </w:t>
      </w:r>
      <w:r>
        <w:rPr>
          <w:rFonts w:ascii="Times New Roman" w:cs="Times New Roman" w:eastAsia="Times New Roman" w:hAnsi="Times New Roman"/>
          <w:sz w:val="19"/>
          <w:szCs w:val="19"/>
          <w:color w:val="EE2724"/>
          <w:strike w:val="1"/>
        </w:rPr>
        <w:t>Eurocurrency 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auto"/>
        </w:rPr>
        <w:t xml:space="preserve"> Loans denominated in Dollars,</w:t>
      </w:r>
    </w:p>
    <w:p>
      <w:pPr>
        <w:spacing w:after="0" w:line="1" w:lineRule="exact"/>
        <w:rPr>
          <w:rFonts w:ascii="Times New Roman" w:cs="Times New Roman" w:eastAsia="Times New Roman" w:hAnsi="Times New Roman"/>
          <w:sz w:val="19"/>
          <w:szCs w:val="19"/>
          <w:color w:val="auto"/>
        </w:rPr>
      </w:pPr>
    </w:p>
    <w:p>
      <w:pPr>
        <w:jc w:val="both"/>
        <w:ind w:left="66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(2) four Business Days (or five, in the case of prepayment of Loans denominated in Special Notice Currencies) prior to any date of prepayment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denominated in Alternative Currencies or RFR Loans, and (3) on the date of prepayment of Base Rate Loans; (B) any such prepayment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denominated in Dollars shall be in a principal amount of $1,000,000 or a whole multiple of $500,000 in excess thereof (or, if less, the entire principal amount thereof then outstanding); (C) any prepayment of </w:t>
      </w:r>
      <w:r>
        <w:rPr>
          <w:rFonts w:ascii="Times New Roman" w:cs="Times New Roman" w:eastAsia="Times New Roman" w:hAnsi="Times New Roman"/>
          <w:sz w:val="20"/>
          <w:szCs w:val="20"/>
          <w:color w:val="EE2724"/>
          <w:strike w:val="1"/>
        </w:rPr>
        <w:t>Eurocurrency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13" w:right="339" w:bottom="1440" w:gutter="0" w:footer="0" w:header="0"/>
        </w:sectPr>
      </w:pPr>
    </w:p>
    <w:bookmarkStart w:id="84" w:name="page85"/>
    <w:bookmarkEnd w:id="84"/>
    <w:p>
      <w:pPr>
        <w:jc w:val="both"/>
        <w:ind w:left="4"/>
        <w:spacing w:after="0" w:line="265" w:lineRule="auto"/>
        <w:rPr>
          <w:sz w:val="20"/>
          <w:szCs w:val="20"/>
          <w:color w:val="auto"/>
        </w:rPr>
      </w:pP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Loans denominated in Alternative Currencies or RFR Loans shall be in a principal amount of $1,000,000 or a</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whole multiple of $500,000 in excess thereof (or, if less, the entire principal amount thereof then outstanding) </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000000"/>
        </w:rPr>
        <w:t xml:space="preserve"> and (D) any prepayment of Base Rate Loans shall be in a principal amount of $500,000 or a whole multiple of $100,000 in excess thereof (or, if less, the entire principal amount thereof then outstanding). Each such notice shall specify the date and amount of such prepayment and the Type(s) of Loans to be prepaid and, if </w:t>
      </w:r>
      <w:r>
        <w:rPr>
          <w:rFonts w:ascii="Times New Roman" w:cs="Times New Roman" w:eastAsia="Times New Roman" w:hAnsi="Times New Roman"/>
          <w:sz w:val="19"/>
          <w:szCs w:val="19"/>
          <w:color w:val="EE2724"/>
          <w:strike w:val="1"/>
        </w:rPr>
        <w:t>Eurocurrency Rate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000000"/>
        </w:rPr>
        <w:t xml:space="preserve"> Loans are to be prepaid, the Interest Period(s) of such Loans. The Administrative Agent will promptly notify each Lender of its receipt of each such notice, and of the amount of such Lender’s Pro Rata Share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Loans upon the consummation of replacement financing. Any prepayment of a </w:t>
      </w:r>
      <w:r>
        <w:rPr>
          <w:rFonts w:ascii="Times New Roman" w:cs="Times New Roman" w:eastAsia="Times New Roman" w:hAnsi="Times New Roman"/>
          <w:sz w:val="19"/>
          <w:szCs w:val="19"/>
          <w:color w:val="EE2724"/>
          <w:strike w:val="1"/>
        </w:rPr>
        <w:t>Eurocurrency Rate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Term Benchmark</w:t>
      </w:r>
      <w:r>
        <w:rPr>
          <w:rFonts w:ascii="Times New Roman" w:cs="Times New Roman" w:eastAsia="Times New Roman" w:hAnsi="Times New Roman"/>
          <w:sz w:val="19"/>
          <w:szCs w:val="19"/>
          <w:color w:val="000000"/>
        </w:rPr>
        <w:t xml:space="preserve"> Loan shall be accompanied by all accrued interest on the amount prepaid, together with any additional amounts required pursuant to </w:t>
      </w:r>
      <w:r>
        <w:rPr>
          <w:rFonts w:ascii="Times New Roman" w:cs="Times New Roman" w:eastAsia="Times New Roman" w:hAnsi="Times New Roman"/>
          <w:sz w:val="19"/>
          <w:szCs w:val="19"/>
          <w:u w:val="single" w:color="auto"/>
          <w:color w:val="000000"/>
        </w:rPr>
        <w:t>Section 3.05</w:t>
      </w:r>
      <w:r>
        <w:rPr>
          <w:rFonts w:ascii="Times New Roman" w:cs="Times New Roman" w:eastAsia="Times New Roman" w:hAnsi="Times New Roman"/>
          <w:sz w:val="19"/>
          <w:szCs w:val="19"/>
          <w:color w:val="000000"/>
        </w:rPr>
        <w:t xml:space="preserve">. Subject to </w:t>
      </w:r>
      <w:r>
        <w:rPr>
          <w:rFonts w:ascii="Times New Roman" w:cs="Times New Roman" w:eastAsia="Times New Roman" w:hAnsi="Times New Roman"/>
          <w:sz w:val="19"/>
          <w:szCs w:val="19"/>
          <w:u w:val="single" w:color="auto"/>
          <w:color w:val="000000"/>
        </w:rPr>
        <w:t>Section 2.16</w:t>
      </w:r>
      <w:r>
        <w:rPr>
          <w:rFonts w:ascii="Times New Roman" w:cs="Times New Roman" w:eastAsia="Times New Roman" w:hAnsi="Times New Roman"/>
          <w:sz w:val="19"/>
          <w:szCs w:val="19"/>
          <w:color w:val="000000"/>
        </w:rPr>
        <w:t>, each such prepayment shall be applied to the Loans of the Lenders in accordance with their respective Pro Rata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-1600200</wp:posOffset>
            </wp:positionV>
            <wp:extent cx="482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50" w:lineRule="exact"/>
        <w:rPr>
          <w:sz w:val="20"/>
          <w:szCs w:val="20"/>
          <w:color w:val="auto"/>
        </w:rPr>
      </w:pPr>
    </w:p>
    <w:p>
      <w:pPr>
        <w:jc w:val="both"/>
        <w:ind w:left="4" w:right="20" w:firstLine="644"/>
        <w:spacing w:after="0" w:line="271" w:lineRule="auto"/>
        <w:tabs>
          <w:tab w:leader="none" w:pos="108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Swing Line Loans</w:t>
      </w:r>
      <w:r>
        <w:rPr>
          <w:rFonts w:ascii="Times New Roman" w:cs="Times New Roman" w:eastAsia="Times New Roman" w:hAnsi="Times New Roman"/>
          <w:sz w:val="19"/>
          <w:szCs w:val="19"/>
          <w:color w:val="auto"/>
        </w:rPr>
        <w:t xml:space="preserve">. A Borrower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 w:lineRule="exact"/>
        <w:rPr>
          <w:rFonts w:ascii="Times New Roman" w:cs="Times New Roman" w:eastAsia="Times New Roman" w:hAnsi="Times New Roman"/>
          <w:sz w:val="19"/>
          <w:szCs w:val="19"/>
          <w:color w:val="auto"/>
        </w:rPr>
      </w:pPr>
    </w:p>
    <w:p>
      <w:pPr>
        <w:ind w:left="244" w:hanging="244"/>
        <w:spacing w:after="0"/>
        <w:tabs>
          <w:tab w:leader="none" w:pos="2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notice must be received by the Swing Line Lender and the Administrative Agent not later than 1:00 p.m. on the date of the</w:t>
      </w:r>
    </w:p>
    <w:p>
      <w:pPr>
        <w:spacing w:after="0" w:line="6"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prepayment, and (ii) any such prepayment shall be in a minimum principal amount of $100,000 or a whole multiple of $100,000 in excess thereof (or, if less, the entire principal thereof then outstanding). Each such notice shall specify the date and amount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Swing Line Loans upon the consummation of replacement financing.</w:t>
      </w:r>
    </w:p>
    <w:p>
      <w:pPr>
        <w:spacing w:after="0" w:line="196" w:lineRule="exact"/>
        <w:rPr>
          <w:sz w:val="20"/>
          <w:szCs w:val="20"/>
          <w:color w:val="auto"/>
        </w:rPr>
      </w:pPr>
    </w:p>
    <w:p>
      <w:pPr>
        <w:ind w:left="404" w:hanging="404"/>
        <w:spacing w:after="0"/>
        <w:tabs>
          <w:tab w:leader="none" w:pos="40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 of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05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xml:space="preserve">. If the Administrative Agent notifies the Company at any time that the Total Revolving Outstandings at such time exceed the Aggregate Revolving Commitments then in effect, then, within two Business Days after receipt of such notice, the Borrowers shall prepay Loans and/or the Borrowers shall Cash Collateralize the L/C Obligations in an aggregate amount sufficient to reduce such Outstanding Amount as of such date of payment to an amount not to exceed 100% of the Aggregate Revolving Commitments then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Borrowers shall not be required to Cash Collateralize the L/C Obligations pursuant to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unless after such prepayment of the Loans the Total Revolving Outstandings exceed the Aggregate Revolving Commitments then in effect.</w:t>
      </w:r>
    </w:p>
    <w:p>
      <w:pPr>
        <w:spacing w:after="0" w:line="192"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181"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Mandatory Prepayments</w:t>
      </w:r>
      <w:r>
        <w:rPr>
          <w:rFonts w:ascii="Times New Roman" w:cs="Times New Roman" w:eastAsia="Times New Roman" w:hAnsi="Times New Roman"/>
          <w:sz w:val="20"/>
          <w:szCs w:val="20"/>
          <w:color w:val="auto"/>
        </w:rPr>
        <w:t xml:space="preserve">. All amounts required to be paid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to Revolving Loans and Swing Line Loans and (after all Revolving Loans and all Swing Line Loans have been repaid) to Cash Collateralize L/C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84"/>
          </w:cols>
          <w:pgMar w:left="976" w:top="1413" w:right="339" w:bottom="1440" w:gutter="0" w:footer="0" w:header="0"/>
        </w:sectPr>
      </w:pPr>
    </w:p>
    <w:bookmarkStart w:id="85" w:name="page86"/>
    <w:bookmarkEnd w:id="85"/>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 xml:space="preserve">Within the parameters of the applications set forth above, prepayments shall be applied first to Base Rate Loans and then to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color w:val="000000"/>
        </w:rPr>
        <w:t>Loans in direct order of Interest Period maturities. All prepayments under this</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00000"/>
        </w:rPr>
        <w:t>Section</w:t>
      </w:r>
      <w:r>
        <w:rPr>
          <w:rFonts w:ascii="Times New Roman" w:cs="Times New Roman" w:eastAsia="Times New Roman" w:hAnsi="Times New Roman"/>
          <w:sz w:val="20"/>
          <w:szCs w:val="20"/>
          <w:color w:val="EE2724"/>
        </w:rPr>
        <w:t xml:space="preserve"> </w:t>
      </w:r>
      <w:r>
        <w:rPr>
          <w:rFonts w:ascii="Times New Roman" w:cs="Times New Roman" w:eastAsia="Times New Roman" w:hAnsi="Times New Roman"/>
          <w:sz w:val="20"/>
          <w:szCs w:val="20"/>
          <w:u w:val="single" w:color="auto"/>
          <w:color w:val="000000"/>
        </w:rPr>
        <w:t>2.05(b)</w:t>
      </w:r>
      <w:r>
        <w:rPr>
          <w:rFonts w:ascii="Times New Roman" w:cs="Times New Roman" w:eastAsia="Times New Roman" w:hAnsi="Times New Roman"/>
          <w:sz w:val="20"/>
          <w:szCs w:val="20"/>
          <w:color w:val="000000"/>
        </w:rPr>
        <w:t xml:space="preserve"> shall be subject to </w:t>
      </w:r>
      <w:r>
        <w:rPr>
          <w:rFonts w:ascii="Times New Roman" w:cs="Times New Roman" w:eastAsia="Times New Roman" w:hAnsi="Times New Roman"/>
          <w:sz w:val="20"/>
          <w:szCs w:val="20"/>
          <w:u w:val="single" w:color="auto"/>
          <w:color w:val="000000"/>
        </w:rPr>
        <w:t>Section 3.05</w:t>
      </w:r>
      <w:r>
        <w:rPr>
          <w:rFonts w:ascii="Times New Roman" w:cs="Times New Roman" w:eastAsia="Times New Roman" w:hAnsi="Times New Roman"/>
          <w:sz w:val="20"/>
          <w:szCs w:val="20"/>
          <w:color w:val="000000"/>
        </w:rPr>
        <w:t>, but otherwise without premium or penalty, and shall be accompanied by interest on the principal amount prepaid through the date of prepayment.</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19"/>
          <w:szCs w:val="19"/>
          <w:u w:val="single" w:color="auto"/>
          <w:color w:val="auto"/>
        </w:rPr>
        <w:t>Termination or Reduction of Aggregate Revolving Commitments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Company may, upon notice to the Administrative Agent, terminate the Aggregate Revolving Commitments, or from time to time permanently reduce the Aggregate Revolving Commitments to an amount not less than the Outstanding Amount of Revolving Loans, Swing Line Loans and L/C Obligations (it being understood that such termination may be conditioned upon the consummation of replacement 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12:00 noon five (5) Business Days prior to the date of termination or reduction, (ii) any such partial reduction shall be in an aggregate amount of $2,000,000 or any whole multiple of $1,000,000 in excess thereof and (iii) if, after giving effect to any reduction or termination of the Aggregate Revolving Commitments, the Letter of Credit Sublimit or the Swing Line Sublimit exceeds the amount of the Aggregate Revolving Commitments, such sublimit shall be automatically reduced by the amount of such excess (which sublimits shall, subject to the approval (not to be unreasonably withheld or delayed) of the L/C Issuer or Swing Line Lender, as applicable, be increased in the event of any increase in the Aggregate Revolving Commitment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in an amount not to exceed the lesser of (i) the initial amounts of such sublimits as in effect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and (ii) the amount of such increase in the Aggregate Revolving Commitment). The Administrative Agent will promptly notify the Lenders of any such notice of termination or reduction of the Aggregate Revolving Commitments. The amount of any such Aggregate Revolving Commitment reduction shall not be applied to the Letter of Credit Sublimit unless otherwise specified by the Company. Any reduction of the Aggregate Revolving Commitments shall be applied to the Revolving Commitment of each Lender according to its Pro Rata Share. All fees accrued with respect thereto until the effective date of any termination of the Aggregate Revolving Commitments shall be paid on the effective date of such termination. If the Aggregate Revolving Commitments terminate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the Borrowers have paid all amounts payable hereunder and under the other Loan Documents (other than contingent indemnification and similar obligations not yet due and obligations that are Cash Collateralized), then this Agreement shall terminate (except for provisions hereof that survive termination hereof).</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2.07</w:t>
      </w:r>
      <w:r>
        <w:rPr>
          <w:sz w:val="20"/>
          <w:szCs w:val="20"/>
          <w:color w:val="auto"/>
        </w:rPr>
        <w:tab/>
      </w:r>
      <w:r>
        <w:rPr>
          <w:rFonts w:ascii="Times New Roman" w:cs="Times New Roman" w:eastAsia="Times New Roman" w:hAnsi="Times New Roman"/>
          <w:sz w:val="19"/>
          <w:szCs w:val="19"/>
          <w:u w:val="single" w:color="auto"/>
          <w:color w:val="auto"/>
        </w:rPr>
        <w:t>Repayment of Loans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56"/>
        <w:spacing w:after="0" w:line="269" w:lineRule="auto"/>
        <w:tabs>
          <w:tab w:leader="none" w:pos="118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The Borrowers shall repay to the Lenders on the Maturity Date the aggregate principal amount of all Revolving Loans outstanding on such date.</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9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Borrowers shall repay each Swing Line Loan on the earlier to occur of (i) the date ten Business Days after such Swing Line Loan is made and (ii)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13" w:right="339" w:bottom="1440" w:gutter="0" w:footer="0" w:header="0"/>
        </w:sectPr>
      </w:pPr>
    </w:p>
    <w:bookmarkStart w:id="86" w:name="page87"/>
    <w:bookmarkEnd w:id="86"/>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2.08</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1" w:lineRule="auto"/>
        <w:tabs>
          <w:tab w:leader="none" w:pos="107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subsection (b) below, (i) each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 shall bear interest on the outstanding principal amount thereof for each Interest Period at a rate per annum equal to the sum of the </w:t>
      </w:r>
      <w:r>
        <w:rPr>
          <w:rFonts w:ascii="Times New Roman" w:cs="Times New Roman" w:eastAsia="Times New Roman" w:hAnsi="Times New Roman"/>
          <w:sz w:val="20"/>
          <w:szCs w:val="20"/>
          <w:color w:val="EE2724"/>
          <w:strike w:val="1"/>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auto"/>
        </w:rPr>
        <w:t xml:space="preserve"> Rate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 each Base Rate Loan shall bear interest on the outstanding principal amount thereof from the applicable borrowing date at a rate per annum equal to the sum of (A)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Applicable Rate; (iii) each RFR Loan shall bear interest on the outstanding principal amount thereof from the applicable borrowing date at a rate per annum equal to the sum of (A) Daily Simple SONIA plus (B) the Applicable Rate; and (iv) each Swing Line Loan shall bear interest on the outstanding principal amount thereof from the applicable borrowing date at a rate per annum equal to the sum of (A)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Applicable Rate.</w:t>
      </w:r>
    </w:p>
    <w:p>
      <w:pPr>
        <w:spacing w:after="0" w:line="192" w:lineRule="exact"/>
        <w:rPr>
          <w:rFonts w:ascii="Times New Roman" w:cs="Times New Roman" w:eastAsia="Times New Roman" w:hAnsi="Times New Roman"/>
          <w:sz w:val="20"/>
          <w:szCs w:val="20"/>
          <w:color w:val="auto"/>
        </w:rPr>
      </w:pPr>
    </w:p>
    <w:p>
      <w:pPr>
        <w:jc w:val="both"/>
        <w:ind w:left="660" w:right="20" w:hanging="4"/>
        <w:spacing w:after="0" w:line="261" w:lineRule="auto"/>
        <w:tabs>
          <w:tab w:leader="none" w:pos="109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any amount of principal of any Loan is not paid when due (without regard to any applicable grace periods), whether at stated maturity, by acceleration or otherwise, then such amount shall thereafter bear interest at a fluctuating interest rate per annum at all times equal to the Default Rate to the fullest extent permitted by applicable Laws.</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29"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the Borrowers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2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Required Lenders, while any Event of Default exists (other than as set forth in clauses (b)(i) and (b)(ii) above), the Borrowers shall pay interest on the principal amount of all outstanding Obligations hereunder at a fluctuating interest rate per annum at all times equal to the Default Rate to the fullest extent permitted by applicable Laws.</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841"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 to the fullest extent permitted by applicable Laws.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2.09</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addition to certain fees described in subsections (h) and (i)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53" w:lineRule="auto"/>
        <w:tabs>
          <w:tab w:leader="none" w:pos="108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The Company shall pay to the Administrative Agent, for the account of each Lender in accordance with its Pro Rata Share, a commitment fee in Dollars equal to the product of (A)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(B) the actual daily amount by which the Aggregate Revolving Commitments exceed the sum of (1) the Outstanding Amount of Revolving Loans and (2) the Outstanding Amount of L/C Obligations, subject to adjustment as provided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Such commitment fee shall accrue at all times during the Availability Period, including at any time during which one or more of the conditions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20"/>
          <w:szCs w:val="20"/>
          <w:color w:val="auto"/>
        </w:rPr>
        <w:t>first such date to occur after the Closing Date, and on the last day of the Availability Period. Such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purposes of clarification, Swing Line Loans shall not be considered outstanding for purposes of determining the unused portion of the Aggregate Revolving Commitments.</w:t>
      </w:r>
    </w:p>
    <w:p>
      <w:pPr>
        <w:spacing w:after="0" w:line="192" w:lineRule="exact"/>
        <w:rPr>
          <w:sz w:val="20"/>
          <w:szCs w:val="20"/>
          <w:color w:val="auto"/>
        </w:rPr>
      </w:pPr>
    </w:p>
    <w:p>
      <w:pPr>
        <w:ind w:left="1060" w:hanging="404"/>
        <w:spacing w:after="0"/>
        <w:tabs>
          <w:tab w:leader="none" w:pos="10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29"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BMO Capital Markets and the Administrative Agent for their own respective accounts, in Dollars, fees in the amounts and at the times specified in the Fee Letter. Such fees shall be fully earned when paid and shall be non-refundable for any reason whatsoever.</w:t>
      </w:r>
    </w:p>
    <w:p>
      <w:pPr>
        <w:spacing w:after="0" w:line="167" w:lineRule="exact"/>
        <w:rPr>
          <w:rFonts w:ascii="Times New Roman" w:cs="Times New Roman" w:eastAsia="Times New Roman" w:hAnsi="Times New Roman"/>
          <w:sz w:val="20"/>
          <w:szCs w:val="20"/>
          <w:color w:val="auto"/>
        </w:rPr>
      </w:pPr>
    </w:p>
    <w:p>
      <w:pPr>
        <w:ind w:left="660" w:firstLine="644"/>
        <w:spacing w:after="0" w:line="283" w:lineRule="auto"/>
        <w:tabs>
          <w:tab w:leader="none" w:pos="177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Computation of Interest and Fees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All computations of interest for Base Rate Loans (including Base Rate Loans determined by reference to the </w:t>
      </w:r>
      <w:r>
        <w:rPr>
          <w:rFonts w:ascii="Times New Roman" w:cs="Times New Roman" w:eastAsia="Times New Roman" w:hAnsi="Times New Roman"/>
          <w:sz w:val="20"/>
          <w:szCs w:val="20"/>
          <w:color w:val="EE2724"/>
          <w:strike w:val="1"/>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auto"/>
        </w:rPr>
        <w:t xml:space="preserve"> Rate) and RFR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demonstrable error.</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Evidence of Debt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0" w:lineRule="auto"/>
        <w:tabs>
          <w:tab w:leader="none" w:pos="106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demonstrable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demonstrable error. Upon the request of any Lender made through the Administrative Agent, the Borrowers shall execute and deliver to such Lender (through the Administrative Agent) a promissory note, which shall evidence such Lender’s Loans in addition to such accounts or records. Each such promissory note shall be in the form of </w:t>
      </w:r>
      <w:r>
        <w:rPr>
          <w:rFonts w:ascii="Times New Roman" w:cs="Times New Roman" w:eastAsia="Times New Roman" w:hAnsi="Times New Roman"/>
          <w:sz w:val="20"/>
          <w:szCs w:val="20"/>
          <w:u w:val="single" w:color="auto"/>
          <w:color w:val="auto"/>
        </w:rPr>
        <w:t>Exhibit 2.11</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Each Lender may attach schedules to its Note and endorse thereon the date, Type (if applicable), amount, currency and maturity of its Loans and payments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13" w:right="339" w:bottom="1440" w:gutter="0" w:footer="0" w:header="0"/>
        </w:sectPr>
      </w:pPr>
    </w:p>
    <w:bookmarkStart w:id="88" w:name="page89"/>
    <w:bookmarkEnd w:id="88"/>
    <w:p>
      <w:pPr>
        <w:jc w:val="both"/>
        <w:ind w:firstLine="656"/>
        <w:spacing w:after="0" w:line="253" w:lineRule="auto"/>
        <w:tabs>
          <w:tab w:leader="none" w:pos="105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demonstrable error.</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Payments Generally; Administrative Agent’s Clawback</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3" w:lineRule="auto"/>
        <w:tabs>
          <w:tab w:leader="none" w:pos="1061"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 Borrower is prohibited by any Law from making any required payment hereunder in an Alternative Currency or any such payment would result in adverse consequences to any Borrower, such Borrower shall make such payment in Dollars in the Dollar Equivalent of the Alternative Currency payment amount. The Administrative Agent will promptly distribute to each Lender its Pro Rata Share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Subject to the definition of “Interest Period”,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72" w:lineRule="exact"/>
        <w:rPr>
          <w:rFonts w:ascii="Times New Roman" w:cs="Times New Roman" w:eastAsia="Times New Roman" w:hAnsi="Times New Roman"/>
          <w:sz w:val="19"/>
          <w:szCs w:val="19"/>
          <w:color w:val="auto"/>
        </w:rPr>
      </w:pPr>
    </w:p>
    <w:p>
      <w:pPr>
        <w:jc w:val="both"/>
        <w:ind w:left="660" w:hanging="4"/>
        <w:spacing w:after="0" w:line="250" w:lineRule="auto"/>
        <w:tabs>
          <w:tab w:leader="none" w:pos="111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date of any Borrowing of </w:t>
      </w:r>
      <w:r>
        <w:rPr>
          <w:rFonts w:ascii="Times New Roman" w:cs="Times New Roman" w:eastAsia="Times New Roman" w:hAnsi="Times New Roman"/>
          <w:sz w:val="20"/>
          <w:szCs w:val="20"/>
          <w:color w:val="EE2724"/>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or RFR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13" w:right="339" w:bottom="1440" w:gutter="0" w:footer="0" w:header="0"/>
        </w:sectPr>
      </w:pPr>
    </w:p>
    <w:bookmarkStart w:id="89" w:name="page90"/>
    <w:bookmarkEnd w:id="89"/>
    <w:p>
      <w:pPr>
        <w:ind w:left="660"/>
        <w:spacing w:after="0" w:line="271" w:lineRule="auto"/>
        <w:rPr>
          <w:sz w:val="20"/>
          <w:szCs w:val="20"/>
          <w:color w:val="auto"/>
        </w:rPr>
      </w:pPr>
      <w:r>
        <w:rPr>
          <w:rFonts w:ascii="Times New Roman" w:cs="Times New Roman" w:eastAsia="Times New Roman" w:hAnsi="Times New Roman"/>
          <w:sz w:val="19"/>
          <w:szCs w:val="19"/>
          <w:color w:val="auto"/>
        </w:rPr>
        <w:t>date of payment to the Administrative Agent, at (A) in the case of a payment to be made by such Lender, the Overnight Rate, plus any administrative, processing or similar fees customarily charged by the Administrative Agent in connection with the foregoing, and</w:t>
      </w:r>
    </w:p>
    <w:p>
      <w:pPr>
        <w:spacing w:after="0" w:line="1" w:lineRule="exact"/>
        <w:rPr>
          <w:sz w:val="20"/>
          <w:szCs w:val="20"/>
          <w:color w:val="auto"/>
        </w:rPr>
      </w:pPr>
    </w:p>
    <w:p>
      <w:pPr>
        <w:jc w:val="both"/>
        <w:ind w:left="660" w:hanging="4"/>
        <w:spacing w:after="0" w:line="249" w:lineRule="auto"/>
        <w:tabs>
          <w:tab w:leader="none" w:pos="97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93" w:lineRule="exact"/>
        <w:rPr>
          <w:rFonts w:ascii="Times New Roman" w:cs="Times New Roman" w:eastAsia="Times New Roman" w:hAnsi="Times New Roman"/>
          <w:sz w:val="20"/>
          <w:szCs w:val="20"/>
          <w:color w:val="auto"/>
        </w:rPr>
      </w:pPr>
    </w:p>
    <w:p>
      <w:pPr>
        <w:jc w:val="both"/>
        <w:ind w:left="660" w:firstLine="644"/>
        <w:spacing w:after="0" w:line="266" w:lineRule="auto"/>
        <w:tabs>
          <w:tab w:leader="none" w:pos="1797"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by Borrower; Presumption by Administrative Agent</w:t>
      </w:r>
      <w:r>
        <w:rPr>
          <w:rFonts w:ascii="Times New Roman" w:cs="Times New Roman" w:eastAsia="Times New Roman" w:hAnsi="Times New Roman"/>
          <w:sz w:val="19"/>
          <w:szCs w:val="19"/>
          <w:color w:val="auto"/>
        </w:rPr>
        <w:t>. Unless the Administrative Agent shall have received notice from a Borrower prior to the time at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82" w:lineRule="exact"/>
        <w:rPr>
          <w:rFonts w:ascii="Times New Roman" w:cs="Times New Roman" w:eastAsia="Times New Roman" w:hAnsi="Times New Roman"/>
          <w:sz w:val="19"/>
          <w:szCs w:val="19"/>
          <w:color w:val="auto"/>
        </w:rPr>
      </w:pPr>
    </w:p>
    <w:p>
      <w:pPr>
        <w:ind w:left="660" w:firstLine="644"/>
        <w:spacing w:after="0" w:line="269" w:lineRule="auto"/>
        <w:tabs>
          <w:tab w:leader="none" w:pos="1785"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 notice of the Administrative Agent to any Lender or any Borrower with respect to any amount owing under this subsection (b) shall be conclusive, absent demonstrable error.</w:t>
      </w:r>
    </w:p>
    <w:p>
      <w:pPr>
        <w:spacing w:after="0" w:line="173" w:lineRule="exact"/>
        <w:rPr>
          <w:sz w:val="20"/>
          <w:szCs w:val="20"/>
          <w:color w:val="auto"/>
        </w:rPr>
      </w:pPr>
    </w:p>
    <w:p>
      <w:pPr>
        <w:jc w:val="both"/>
        <w:ind w:firstLine="656"/>
        <w:spacing w:after="0" w:line="253" w:lineRule="auto"/>
        <w:tabs>
          <w:tab w:leader="none" w:pos="110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and such funds are not made available to the applicable Borrower by the Administrative Agent because the conditions to the applicable Credit Extension set forth in Article V are not satisfied or waived in accordance with the terms hereof, the Administrative Agent shall return such funds (in like funds as received from such Lender) to such Lender, without interest.</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13" w:right="339" w:bottom="1440" w:gutter="0" w:footer="0" w:header="0"/>
        </w:sectPr>
      </w:pPr>
    </w:p>
    <w:bookmarkStart w:id="90" w:name="page91"/>
    <w:bookmarkEnd w:id="90"/>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Sharing of Payments by Lenders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rata</w:t>
      </w:r>
      <w:r>
        <w:rPr>
          <w:rFonts w:ascii="Times New Roman" w:cs="Times New Roman" w:eastAsia="Times New Roman" w:hAnsi="Times New Roman"/>
          <w:sz w:val="20"/>
          <w:szCs w:val="20"/>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182" w:lineRule="exact"/>
        <w:rPr>
          <w:sz w:val="20"/>
          <w:szCs w:val="20"/>
          <w:color w:val="auto"/>
        </w:rPr>
      </w:pPr>
    </w:p>
    <w:p>
      <w:pPr>
        <w:jc w:val="both"/>
        <w:ind w:left="660" w:firstLine="644"/>
        <w:spacing w:after="0" w:line="268" w:lineRule="auto"/>
        <w:tabs>
          <w:tab w:leader="none" w:pos="170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4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shall not be construed to apply to (A) any payment made by or on behalf of a Loan Party pursuant to and in accordance with the express terms of this Agreement (including the application of funds arising from the existence of a Defaulting Lender), (B) the application of Cash Collateral provided for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or (C) any payment obtained by a Lender as consideration for the assignment of or sale of a participation in any of its Loans or subparticipations in L/C Obligations or Swing Line Loans to any assignee or participant, other than an assignment to any Loan Party or any Subsidiary (as to which the provisions of this Section shall apply).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Designated Borrowers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20" w:firstLine="656"/>
        <w:spacing w:after="0" w:line="261" w:lineRule="auto"/>
        <w:tabs>
          <w:tab w:leader="none" w:pos="106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Closing Date, each of Brady Worldwide, Inc., a Wisconsin corporation (“</w:t>
      </w:r>
      <w:r>
        <w:rPr>
          <w:rFonts w:ascii="Times New Roman" w:cs="Times New Roman" w:eastAsia="Times New Roman" w:hAnsi="Times New Roman"/>
          <w:sz w:val="20"/>
          <w:szCs w:val="20"/>
          <w:u w:val="single" w:color="auto"/>
          <w:color w:val="auto"/>
        </w:rPr>
        <w:t>Worldwide</w:t>
      </w:r>
      <w:r>
        <w:rPr>
          <w:rFonts w:ascii="Times New Roman" w:cs="Times New Roman" w:eastAsia="Times New Roman" w:hAnsi="Times New Roman"/>
          <w:sz w:val="20"/>
          <w:szCs w:val="20"/>
          <w:color w:val="auto"/>
        </w:rPr>
        <w:t>”), Tricor Direct, Inc., a Delaware corporation (“</w:t>
      </w:r>
      <w:r>
        <w:rPr>
          <w:rFonts w:ascii="Times New Roman" w:cs="Times New Roman" w:eastAsia="Times New Roman" w:hAnsi="Times New Roman"/>
          <w:sz w:val="20"/>
          <w:szCs w:val="20"/>
          <w:u w:val="single" w:color="auto"/>
          <w:color w:val="auto"/>
        </w:rPr>
        <w:t>Tricor</w:t>
      </w:r>
      <w:r>
        <w:rPr>
          <w:rFonts w:ascii="Times New Roman" w:cs="Times New Roman" w:eastAsia="Times New Roman" w:hAnsi="Times New Roman"/>
          <w:sz w:val="20"/>
          <w:szCs w:val="20"/>
          <w:color w:val="auto"/>
        </w:rPr>
        <w:t>”), Brady Finance Luxembourg and Brady SARL shall be a “Designated Borrower” hereunder and may receive Loans for its account on the terms and conditions set forth in this Agreement.</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05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upon not less than 15 Business Days’ notice from the Company to the Administrative Agent (or such shorter period as may be agreed by the Administrative Agent in its sole discretion), request the designation of any Wholly Owned Subsidiary of the Company that is not an Excluded Subsidiary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as a Designated Borrower to receive Loans and Letters of Credit hereunder by delivering to the Administrative Agent (which shall promptly deliver copies thereof to each Lender) a duly executed notice in substantially the form of </w:t>
      </w:r>
      <w:r>
        <w:rPr>
          <w:rFonts w:ascii="Times New Roman" w:cs="Times New Roman" w:eastAsia="Times New Roman" w:hAnsi="Times New Roman"/>
          <w:sz w:val="20"/>
          <w:szCs w:val="20"/>
          <w:u w:val="single" w:color="auto"/>
          <w:color w:val="auto"/>
        </w:rPr>
        <w:t>Exhibit 2.14(a)</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w:t>
      </w:r>
      <w:r>
        <w:rPr>
          <w:rFonts w:ascii="Times New Roman" w:cs="Times New Roman" w:eastAsia="Times New Roman" w:hAnsi="Times New Roman"/>
          <w:sz w:val="20"/>
          <w:szCs w:val="20"/>
          <w:color w:val="auto"/>
        </w:rPr>
        <w:t>”). If (i) in the case of a Foreign Subsidiary, the Administrative Agent and the Lenders, and (ii) in the case of a Domestic Subsidiary, the Administrative Agent and the Required Lenders, agree (which agreement shall not be unreasonably withheld or delayed) that an Applicant Borrower shall be entitled to receive Loans hereunder, then the Administrative Agent and the Lenders,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13" w:right="339" w:bottom="1440" w:gutter="0" w:footer="0" w:header="0"/>
        </w:sectPr>
      </w:pPr>
    </w:p>
    <w:bookmarkStart w:id="91" w:name="page92"/>
    <w:bookmarkEnd w:id="91"/>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the Required Lenders, as applicable, shall send an agreement in substantially the form of </w:t>
      </w:r>
      <w:r>
        <w:rPr>
          <w:rFonts w:ascii="Times New Roman" w:cs="Times New Roman" w:eastAsia="Times New Roman" w:hAnsi="Times New Roman"/>
          <w:sz w:val="20"/>
          <w:szCs w:val="20"/>
          <w:u w:val="single" w:color="auto"/>
          <w:color w:val="auto"/>
        </w:rPr>
        <w:t>Exhibit 2.14(b)</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Joinder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to the Company specifying, if such Applicant Borrower is a Foreign Subsidiary, the additional terms and conditions applicable to extensions of credit to such Applicant Borrower. Upon the execution of such Designated Borrower Joinder Agreement by the Company, such Applicant Borrower and the Administrative Agent and the satisfaction of the conditions applicable to extensions of credit set forth in the Designated Borrower Joinder Agreement, such Applicant Borrower shall be a Designated Borrower and permitted to receive Loans hereunder, on the terms and conditions set forth herein and therein, and such Applicant Borrower otherwise shall be a Borrower for all purposes of this Agreement. The parties hereto acknowledge and agree that prior to any Designated Borrower becoming entitled to utilize the credit facility provided for in this Agreement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in its reasonable discretion.</w:t>
      </w:r>
    </w:p>
    <w:p>
      <w:pPr>
        <w:spacing w:after="0" w:line="196" w:lineRule="exact"/>
        <w:rPr>
          <w:sz w:val="20"/>
          <w:szCs w:val="20"/>
          <w:color w:val="auto"/>
        </w:rPr>
      </w:pPr>
    </w:p>
    <w:p>
      <w:pPr>
        <w:ind w:firstLine="656"/>
        <w:spacing w:after="0" w:line="283" w:lineRule="auto"/>
        <w:tabs>
          <w:tab w:leader="none" w:pos="112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Domestic Borrowers shall be joint and several in nature. The Obligations of each of the Designated Borrowers that is a Foreign Subsidiary shall be several in nature.</w:t>
      </w:r>
    </w:p>
    <w:p>
      <w:pPr>
        <w:spacing w:after="0" w:line="146" w:lineRule="exact"/>
        <w:rPr>
          <w:rFonts w:ascii="Times New Roman" w:cs="Times New Roman" w:eastAsia="Times New Roman" w:hAnsi="Times New Roman"/>
          <w:sz w:val="20"/>
          <w:szCs w:val="20"/>
          <w:color w:val="auto"/>
        </w:rPr>
      </w:pPr>
    </w:p>
    <w:p>
      <w:pPr>
        <w:jc w:val="both"/>
        <w:ind w:firstLine="656"/>
        <w:spacing w:after="0" w:line="250" w:lineRule="auto"/>
        <w:tabs>
          <w:tab w:leader="none" w:pos="108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Subsidiary of the Company that is or becomes a “Designated Borrower”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(notwithstanding anything herein to the contrary, upon request of the Company, any Designated Borrower may receive the proceeds of any Loans made to it by the Lenders).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communication is directed to a specific Designated Borrower, it shall indicate to which Designated Borrower it is directed.</w:t>
      </w:r>
    </w:p>
    <w:p>
      <w:pPr>
        <w:spacing w:after="0" w:line="199" w:lineRule="exact"/>
        <w:rPr>
          <w:rFonts w:ascii="Times New Roman" w:cs="Times New Roman" w:eastAsia="Times New Roman" w:hAnsi="Times New Roman"/>
          <w:sz w:val="20"/>
          <w:szCs w:val="20"/>
          <w:color w:val="auto"/>
        </w:rPr>
      </w:pPr>
    </w:p>
    <w:p>
      <w:pPr>
        <w:jc w:val="both"/>
        <w:ind w:firstLine="656"/>
        <w:spacing w:after="0" w:line="251" w:lineRule="auto"/>
        <w:tabs>
          <w:tab w:leader="none" w:pos="108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is not required to cause any Subsidiary to become a party to this Agreement as a Designated Borrower and no Designated Borrower that is a Foreign Subsidiary shall be required to guarantee the Obligations. The Company may from time to time, upon not less than 10 Business Days’ notice from the Company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are no outstanding Loans or L/C Obligations payable by such Designated Borrower, or other amounts payable by such Designated Borrower on account of any Credit Extensions made to it, as of the effective date of such termination. The Administrative Agent will promptly notify the Lenders of any such termination of a Designated Borrower’s status.</w:t>
      </w:r>
    </w:p>
    <w:p>
      <w:pPr>
        <w:spacing w:after="0" w:line="1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8" w:lineRule="auto"/>
        <w:tabs>
          <w:tab w:leader="none" w:pos="108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Credit Support Events</w:t>
      </w:r>
      <w:r>
        <w:rPr>
          <w:rFonts w:ascii="Times New Roman" w:cs="Times New Roman" w:eastAsia="Times New Roman" w:hAnsi="Times New Roman"/>
          <w:sz w:val="20"/>
          <w:szCs w:val="20"/>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applicable Borrower shall be required to provide Cash Collateral pursuant to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or (iv) there shall exist a Defaulting Lender, the applicable Borrower shall immediately (in the case of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13" w:right="339" w:bottom="1440" w:gutter="0" w:footer="0" w:header="0"/>
        </w:sectPr>
      </w:pPr>
    </w:p>
    <w:bookmarkStart w:id="92" w:name="page93"/>
    <w:bookmarkEnd w:id="92"/>
    <w:p>
      <w:pPr>
        <w:jc w:val="both"/>
        <w:ind w:firstLine="8"/>
        <w:spacing w:after="0" w:line="261" w:lineRule="auto"/>
        <w:tabs>
          <w:tab w:leader="none" w:pos="34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above) or within one Business Day (in all other cases) following any request by the Administrative Agent or the L/C Issuer provide Cash Collateral in an amount not less than the applicable Minimum Collateral Amount (determined in the case of Cash Collateral provided pursuant to clause (iv) above, after giving effect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and any Cash Collateral provided by the Defaulting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50" w:lineRule="auto"/>
        <w:tabs>
          <w:tab w:leader="none" w:pos="105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Each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Times New Roman" w:cs="Times New Roman" w:eastAsia="Times New Roman" w:hAnsi="Times New Roman"/>
          <w:sz w:val="20"/>
          <w:szCs w:val="20"/>
          <w:u w:val="single" w:color="auto"/>
          <w:color w:val="auto"/>
        </w:rPr>
        <w:t>Section 7.08(a)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7.08(h)</w:t>
      </w:r>
      <w:r>
        <w:rPr>
          <w:rFonts w:ascii="Times New Roman" w:cs="Times New Roman" w:eastAsia="Times New Roman" w:hAnsi="Times New Roman"/>
          <w:sz w:val="20"/>
          <w:szCs w:val="20"/>
          <w:color w:val="auto"/>
        </w:rPr>
        <w:t>), or that the total amount of such Cash Collateral is less than the Minimum Collateral Amount, the applicable Borrower or the relevant Defaulting Lender will, promptly upon demand by the Administrative Agent (which demand shall include a reasonably detailed accounting of the amount so demanded), pay or provide to the Administrative Agent additional Cash Collateral in an amount sufficient to eliminate such deficiency. All Cash Collateral (other than credit support not constituting funds subject to deposit) shall be maintained in one or more Controlled Accounts at BMO. The applicable Borrower or the relevant Defaulting Lender shall pay promptly on demand therefor from time to time all customary account opening, activity and other administrative fees and charges in connection with the maintenance and disbursement of Cash Collateral.</w:t>
      </w:r>
    </w:p>
    <w:p>
      <w:pPr>
        <w:spacing w:after="0" w:line="193"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5"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8" w:lineRule="exact"/>
        <w:rPr>
          <w:rFonts w:ascii="Times New Roman" w:cs="Times New Roman" w:eastAsia="Times New Roman" w:hAnsi="Times New Roman"/>
          <w:sz w:val="20"/>
          <w:szCs w:val="20"/>
          <w:color w:val="auto"/>
        </w:rPr>
      </w:pPr>
    </w:p>
    <w:p>
      <w:pPr>
        <w:jc w:val="both"/>
        <w:ind w:firstLine="656"/>
        <w:spacing w:after="0" w:line="252" w:lineRule="auto"/>
        <w:tabs>
          <w:tab w:leader="none" w:pos="123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11.06(b)(vi))</w:t>
      </w:r>
      <w:r>
        <w:rPr>
          <w:rFonts w:ascii="Times New Roman" w:cs="Times New Roman" w:eastAsia="Times New Roman" w:hAnsi="Times New Roman"/>
          <w:sz w:val="20"/>
          <w:szCs w:val="20"/>
          <w:color w:val="auto"/>
        </w:rPr>
        <w:t xml:space="preserve">) or (ii) the good faith determination by the Administrative Agent and, to the extent the Cash Collateral was provided for the benefit of the L/C Issuer, the L/C Issuer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68" w:lineRule="auto"/>
        <w:tabs>
          <w:tab w:leader="none" w:pos="104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or any other Loan Document, if any Lender becomes a Defaulting Lender, then, until such time as that Lender is no longer a Defaulting Lender,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13" w:right="339" w:bottom="1440" w:gutter="0" w:footer="0" w:header="0"/>
        </w:sectPr>
      </w:pPr>
    </w:p>
    <w:bookmarkStart w:id="93" w:name="page94"/>
    <w:bookmarkEnd w:id="93"/>
    <w:p>
      <w:pPr>
        <w:ind w:left="-460" w:firstLine="644"/>
        <w:spacing w:after="0" w:line="283" w:lineRule="auto"/>
        <w:tabs>
          <w:tab w:leader="none" w:pos="56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left="-460" w:firstLine="644"/>
        <w:spacing w:after="0" w:line="248" w:lineRule="auto"/>
        <w:tabs>
          <w:tab w:leader="none" w:pos="63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L/C Issuer or Swing 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L/C Issuer’s Fronting Exposure with respect to such Defaulting Lender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 w:cs="Times New Roman" w:eastAsia="Times New Roman" w:hAnsi="Times New Roman"/>
          <w:sz w:val="20"/>
          <w:szCs w:val="20"/>
          <w:color w:val="0000FF"/>
        </w:rPr>
        <w:t>or under any other Loan Document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w:t>
      </w:r>
      <w:r>
        <w:rPr>
          <w:rFonts w:ascii="Times New Roman" w:cs="Times New Roman" w:eastAsia="Times New Roman" w:hAnsi="Times New Roman"/>
          <w:sz w:val="20"/>
          <w:szCs w:val="20"/>
          <w:color w:val="0000FF"/>
        </w:rPr>
        <w:t>or under any other Loan Document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2.16(a)(ii)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217" w:lineRule="exact"/>
        <w:rPr>
          <w:rFonts w:ascii="Times New Roman" w:cs="Times New Roman" w:eastAsia="Times New Roman" w:hAnsi="Times New Roman"/>
          <w:sz w:val="20"/>
          <w:szCs w:val="20"/>
          <w:color w:val="auto"/>
        </w:rPr>
      </w:pPr>
    </w:p>
    <w:p>
      <w:pPr>
        <w:ind w:left="660" w:hanging="476"/>
        <w:spacing w:after="0"/>
        <w:tabs>
          <w:tab w:leader="none" w:pos="6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80" w:firstLine="652"/>
        <w:spacing w:after="0" w:line="268" w:lineRule="auto"/>
        <w:tabs>
          <w:tab w:leader="none" w:pos="131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-2882900</wp:posOffset>
            </wp:positionV>
            <wp:extent cx="18345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-2437130</wp:posOffset>
            </wp:positionV>
            <wp:extent cx="1809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120"/>
          </w:cols>
          <w:pgMar w:left="1440" w:top="1413" w:right="339" w:bottom="1440" w:gutter="0" w:footer="0" w:header="0"/>
        </w:sectPr>
      </w:pPr>
    </w:p>
    <w:bookmarkStart w:id="94" w:name="page95"/>
    <w:bookmarkEnd w:id="94"/>
    <w:p>
      <w:pPr>
        <w:jc w:val="both"/>
        <w:ind w:left="1300" w:right="20" w:firstLine="652"/>
        <w:spacing w:after="0" w:line="261" w:lineRule="auto"/>
        <w:tabs>
          <w:tab w:leader="none" w:pos="248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3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Letter of Credit Fee not required to be paid to any Defaulting Lender pursuant to clause (B) above, the Borrowers shall (x) pay to each Non-Defaulting Lender that portion of any such fee otherwise payable to such Defaulting Lender with respect to such Defaulting Lender’s participation in L/C Obligations that has been reallocated to such Non-Defaulting Lender pursuant to clause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below, (y) pay to the L/C Issuer the amount of any such fee otherwise payable to such Defaulting Lender to the extent allocable to such L/C Issuer’s Fronting Exposure to such Defaulting Lender, and (z) not be required to pay the remaining amount of any such fee.</w:t>
      </w:r>
    </w:p>
    <w:p>
      <w:pPr>
        <w:spacing w:after="0" w:line="178" w:lineRule="exact"/>
        <w:rPr>
          <w:rFonts w:ascii="Times New Roman" w:cs="Times New Roman" w:eastAsia="Times New Roman" w:hAnsi="Times New Roman"/>
          <w:sz w:val="20"/>
          <w:szCs w:val="20"/>
          <w:color w:val="auto"/>
        </w:rPr>
      </w:pPr>
    </w:p>
    <w:p>
      <w:pPr>
        <w:jc w:val="both"/>
        <w:ind w:firstLine="656"/>
        <w:spacing w:after="0" w:line="252" w:lineRule="auto"/>
        <w:tabs>
          <w:tab w:leader="none" w:pos="107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Pro Rata Shares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 Line Loans shall be reallocated among the Non-Defaulting Lenders in accordance with their respective Pro Rata Shares (calculated without regard to such Defaulting Lender’s Commitment) but only to the extent that (x) the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5.02</w:t>
      </w:r>
      <w:r>
        <w:rPr>
          <w:rFonts w:ascii="Times New Roman" w:cs="Times New Roman" w:eastAsia="Times New Roman" w:hAnsi="Times New Roman"/>
          <w:sz w:val="20"/>
          <w:szCs w:val="20"/>
          <w:color w:val="auto"/>
        </w:rPr>
        <w:t xml:space="preserve"> are satisfied at the time of such reallocation (and, unless the Company shall have otherwise notified the Administrative Agent at such time, the Borrowers shall be deemed to have represented and warranted that such conditions are satisfied at such time), and (y) such reallocation does not cause the portion of the Total Revolving Outstandings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Times New Roman" w:cs="Times New Roman" w:eastAsia="Times New Roman" w:hAnsi="Times New Roman"/>
          <w:sz w:val="20"/>
          <w:szCs w:val="20"/>
          <w:color w:val="auto"/>
        </w:rPr>
      </w:pPr>
    </w:p>
    <w:p>
      <w:pPr>
        <w:jc w:val="both"/>
        <w:ind w:firstLine="656"/>
        <w:spacing w:after="0" w:line="254" w:lineRule="auto"/>
        <w:tabs>
          <w:tab w:leader="none" w:pos="104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cannot, or can only partially, be effected, the Borrowers shall, without prejudice to any right or remedy available to it hereunder or under applicable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 Line Loans in an amount equal to the Swing 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656"/>
        <w:spacing w:after="0" w:line="265" w:lineRule="auto"/>
        <w:tabs>
          <w:tab w:leader="none" w:pos="1112"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xml:space="preserve">. The Administrative Agent agrees to promptly notify the Company upon the Administrative Agent’s actual knowledge of any Lender becoming a Defaulting Lender and the Administrative Agent’s actual knowledge of the occurrence of any Lender ceasing to be a Defaulting Lender. If the Company,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Pro Rata Shares (without giving effect to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xml:space="preserve"> as to such Lender),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13" w:right="339" w:bottom="1440" w:gutter="0" w:footer="0" w:header="0"/>
        </w:sectPr>
      </w:pPr>
    </w:p>
    <w:bookmarkStart w:id="95" w:name="page96"/>
    <w:bookmarkEnd w:id="95"/>
    <w:p>
      <w:pPr>
        <w:spacing w:after="0" w:line="283" w:lineRule="auto"/>
        <w:rPr>
          <w:sz w:val="20"/>
          <w:szCs w:val="20"/>
          <w:color w:val="auto"/>
        </w:rPr>
      </w:pPr>
      <w:r>
        <w:rPr>
          <w:rFonts w:ascii="Times New Roman" w:cs="Times New Roman" w:eastAsia="Times New Roman" w:hAnsi="Times New Roman"/>
          <w:sz w:val="20"/>
          <w:szCs w:val="20"/>
          <w:color w:val="auto"/>
        </w:rPr>
        <w:t>Defaulting Lender to Lender will constitute a waiver or release of any claim of any party hereunder arising from that Lender having been a Defaulting Lender.</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u w:val="single" w:color="auto"/>
          <w:color w:val="auto"/>
        </w:rPr>
        <w:t>Extension of Maturity Date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3" w:lineRule="auto"/>
        <w:tabs>
          <w:tab w:leader="none" w:pos="107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Requests for 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After the Second Amendment Effective Date, the</w:t>
      </w:r>
      <w:r>
        <w:rPr>
          <w:rFonts w:ascii="Times New Roman" w:cs="Times New Roman" w:eastAsia="Times New Roman" w:hAnsi="Times New Roman"/>
          <w:sz w:val="20"/>
          <w:szCs w:val="20"/>
          <w:color w:val="auto"/>
        </w:rPr>
        <w:t xml:space="preserve"> Company may, no more than </w:t>
      </w:r>
      <w:r>
        <w:rPr>
          <w:rFonts w:ascii="Times New Roman" w:cs="Times New Roman" w:eastAsia="Times New Roman" w:hAnsi="Times New Roman"/>
          <w:sz w:val="20"/>
          <w:szCs w:val="20"/>
          <w:color w:val="FF0000"/>
          <w:strike w:val="1"/>
        </w:rPr>
        <w:t>one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two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1</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rPr>
        <w:t>time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during the term of this Agreement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FF"/>
        </w:rPr>
        <w:t>times</w:t>
      </w:r>
      <w:r>
        <w:rPr>
          <w:rFonts w:ascii="Times New Roman" w:cs="Times New Roman" w:eastAsia="Times New Roman" w:hAnsi="Times New Roman"/>
          <w:sz w:val="20"/>
          <w:szCs w:val="20"/>
          <w:color w:val="000000"/>
        </w:rPr>
        <w:t>, by delivering written notice (an “</w:t>
      </w:r>
      <w:r>
        <w:rPr>
          <w:rFonts w:ascii="Times New Roman" w:cs="Times New Roman" w:eastAsia="Times New Roman" w:hAnsi="Times New Roman"/>
          <w:sz w:val="20"/>
          <w:szCs w:val="20"/>
          <w:u w:val="single" w:color="auto"/>
          <w:color w:val="000000"/>
        </w:rPr>
        <w:t>Extension Request</w:t>
      </w:r>
      <w:r>
        <w:rPr>
          <w:rFonts w:ascii="Times New Roman" w:cs="Times New Roman" w:eastAsia="Times New Roman" w:hAnsi="Times New Roman"/>
          <w:sz w:val="20"/>
          <w:szCs w:val="20"/>
          <w:color w:val="000000"/>
        </w:rPr>
        <w:t>”) to the Administrative Agent (who shall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promptly notify the Lenders) no earlier than the second anniversary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000000"/>
        </w:rPr>
        <w:t xml:space="preserve"> Date and not later than 45 days prior to the Maturity Date then in effect hereunder (the “</w:t>
      </w:r>
      <w:r>
        <w:rPr>
          <w:rFonts w:ascii="Times New Roman" w:cs="Times New Roman" w:eastAsia="Times New Roman" w:hAnsi="Times New Roman"/>
          <w:sz w:val="20"/>
          <w:szCs w:val="20"/>
          <w:u w:val="single" w:color="auto"/>
          <w:color w:val="000000"/>
        </w:rPr>
        <w:t>Existing Maturity Date</w:t>
      </w:r>
      <w:r>
        <w:rPr>
          <w:rFonts w:ascii="Times New Roman" w:cs="Times New Roman" w:eastAsia="Times New Roman" w:hAnsi="Times New Roman"/>
          <w:sz w:val="20"/>
          <w:szCs w:val="20"/>
          <w:color w:val="000000"/>
        </w:rPr>
        <w:t>”), request that each Lender extend such Lender’s Maturity Date for an additional one-year period from the Existing Maturity Date. Subject to the provisions in this Section 2.17, such extension shall become effective on the date specified in the Extension Request (such date, the “</w:t>
      </w:r>
      <w:r>
        <w:rPr>
          <w:rFonts w:ascii="Times New Roman" w:cs="Times New Roman" w:eastAsia="Times New Roman" w:hAnsi="Times New Roman"/>
          <w:sz w:val="20"/>
          <w:szCs w:val="20"/>
          <w:u w:val="single" w:color="auto"/>
          <w:color w:val="000000"/>
        </w:rPr>
        <w:t>Extension Date</w:t>
      </w:r>
      <w:r>
        <w:rPr>
          <w:rFonts w:ascii="Times New Roman" w:cs="Times New Roman" w:eastAsia="Times New Roman" w:hAnsi="Times New Roman"/>
          <w:sz w:val="20"/>
          <w:szCs w:val="20"/>
          <w:color w:val="000000"/>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4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Elections to Extend</w:t>
      </w:r>
      <w:r>
        <w:rPr>
          <w:rFonts w:ascii="Times New Roman" w:cs="Times New Roman" w:eastAsia="Times New Roman" w:hAnsi="Times New Roman"/>
          <w:sz w:val="20"/>
          <w:szCs w:val="20"/>
          <w:color w:val="auto"/>
        </w:rPr>
        <w:t>. Each Lender, acting in its sole and individual discretion, shall, by written notice to the Administrative Agent given not later than 21 days (the “</w:t>
      </w:r>
      <w:r>
        <w:rPr>
          <w:rFonts w:ascii="Times New Roman" w:cs="Times New Roman" w:eastAsia="Times New Roman" w:hAnsi="Times New Roman"/>
          <w:sz w:val="20"/>
          <w:szCs w:val="20"/>
          <w:u w:val="single" w:color="auto"/>
          <w:color w:val="auto"/>
        </w:rPr>
        <w:t>Notice Date</w:t>
      </w:r>
      <w:r>
        <w:rPr>
          <w:rFonts w:ascii="Times New Roman" w:cs="Times New Roman" w:eastAsia="Times New Roman" w:hAnsi="Times New Roman"/>
          <w:sz w:val="20"/>
          <w:szCs w:val="20"/>
          <w:color w:val="auto"/>
        </w:rPr>
        <w:t>”) after the date of the Company’s notice, advise the Administrative Agent whether or not such Lender agrees to such extension, and each Lender that determines not to so extend its Maturity Date (a “</w:t>
      </w:r>
      <w:r>
        <w:rPr>
          <w:rFonts w:ascii="Times New Roman" w:cs="Times New Roman" w:eastAsia="Times New Roman" w:hAnsi="Times New Roman"/>
          <w:sz w:val="20"/>
          <w:szCs w:val="20"/>
          <w:u w:val="single" w:color="auto"/>
          <w:color w:val="auto"/>
        </w:rPr>
        <w:t>Non-Extending Lender</w:t>
      </w:r>
      <w:r>
        <w:rPr>
          <w:rFonts w:ascii="Times New Roman" w:cs="Times New Roman" w:eastAsia="Times New Roman" w:hAnsi="Times New Roman"/>
          <w:sz w:val="20"/>
          <w:szCs w:val="20"/>
          <w:color w:val="auto"/>
        </w:rPr>
        <w:t>”)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spacing w:after="0" w:line="192"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14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by Administrative Agent</w:t>
      </w:r>
      <w:r>
        <w:rPr>
          <w:rFonts w:ascii="Times New Roman" w:cs="Times New Roman" w:eastAsia="Times New Roman" w:hAnsi="Times New Roman"/>
          <w:sz w:val="20"/>
          <w:szCs w:val="20"/>
          <w:color w:val="auto"/>
        </w:rPr>
        <w:t>. The Administrative Agent shall notify the Company of each Lender’s determination under this Section no later than 5 days after the Notice Date (or, if such date is not a Business Day, on the immediately preceding Business Day).</w:t>
      </w:r>
    </w:p>
    <w:p>
      <w:pPr>
        <w:spacing w:after="0" w:line="181" w:lineRule="exact"/>
        <w:rPr>
          <w:rFonts w:ascii="Times New Roman" w:cs="Times New Roman" w:eastAsia="Times New Roman" w:hAnsi="Times New Roman"/>
          <w:sz w:val="20"/>
          <w:szCs w:val="20"/>
          <w:color w:val="auto"/>
        </w:rPr>
      </w:pPr>
    </w:p>
    <w:p>
      <w:pPr>
        <w:jc w:val="both"/>
        <w:ind w:firstLine="656"/>
        <w:spacing w:after="0" w:line="250" w:lineRule="auto"/>
        <w:tabs>
          <w:tab w:leader="none" w:pos="115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Commitment Lenders</w:t>
      </w:r>
      <w:r>
        <w:rPr>
          <w:rFonts w:ascii="Times New Roman" w:cs="Times New Roman" w:eastAsia="Times New Roman" w:hAnsi="Times New Roman"/>
          <w:sz w:val="20"/>
          <w:szCs w:val="20"/>
          <w:color w:val="auto"/>
        </w:rPr>
        <w:t>. The Company shall have the right on or before the Extension Date to replace any Non-Extending Lender with, and add as “Lenders” under this Agreement in place thereof, one or more Eligible Assignees and/or one or more existing Lenders (each, an “</w:t>
      </w:r>
      <w:r>
        <w:rPr>
          <w:rFonts w:ascii="Times New Roman" w:cs="Times New Roman" w:eastAsia="Times New Roman" w:hAnsi="Times New Roman"/>
          <w:sz w:val="20"/>
          <w:szCs w:val="20"/>
          <w:u w:val="single" w:color="auto"/>
          <w:color w:val="auto"/>
        </w:rPr>
        <w:t>Additional Commitment Lender</w:t>
      </w:r>
      <w:r>
        <w:rPr>
          <w:rFonts w:ascii="Times New Roman" w:cs="Times New Roman" w:eastAsia="Times New Roman" w:hAnsi="Times New Roman"/>
          <w:sz w:val="20"/>
          <w:szCs w:val="20"/>
          <w:color w:val="auto"/>
        </w:rPr>
        <w:t xml:space="preserve">”) as provided in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each of which Additional Commitment Lenders shall have entered into an Assignment and Assumption with such Non-Extending Lender pursuant to which such Additional Commitment Lender shall, effective as of the Extension Date, undertake a Commitment (and, if any such Additional Commitment Lender is already a Lender, its Commitment shall be in addition to such Lender’s Commitment hereunder on such date). Prior to any Non-Extending Lender being replaced by one or more Additional Commitment Lenders pursuant hereto, such Non-Extending Lender may elect, in its sole discretion, by giving irrevocable notice thereof to the Administrative Agent and the Company, to become an Extending Lender, provided that the Company consents thereto in writing in its sole discretion.</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8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Extension Requirement</w:t>
      </w:r>
      <w:r>
        <w:rPr>
          <w:rFonts w:ascii="Times New Roman" w:cs="Times New Roman" w:eastAsia="Times New Roman" w:hAnsi="Times New Roman"/>
          <w:sz w:val="20"/>
          <w:szCs w:val="20"/>
          <w:color w:val="auto"/>
        </w:rPr>
        <w:t>. If (and only if) the total of the Commitments of the Lenders that have agreed so to extend their Existing Maturity Date (each, an “</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and the additional Commitments of the Additional Commitment Lenders shall be more than 50% of the aggregate amount of the Commitments in effect immediately prior to the Extension Date, then, effective as of the Extension Date, the Maturity Date of each Extending Lender and of each Additional Commitment Lender shall be extended to the date falling one year after the Existing Maturity Date (except that, if such date is not a Business Day, such Maturity Date as so extended shall be the immediately preceding Business Day) and each Additional Commitment Lender (if it is not already a Lender) shall thereupon become a “Lender” for all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-5160010</wp:posOffset>
            </wp:positionV>
            <wp:extent cx="262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2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-4963160</wp:posOffset>
            </wp:positionV>
            <wp:extent cx="3206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13" w:right="339" w:bottom="1440" w:gutter="0" w:footer="0" w:header="0"/>
        </w:sectPr>
      </w:pPr>
    </w:p>
    <w:bookmarkStart w:id="96" w:name="page97"/>
    <w:bookmarkEnd w:id="96"/>
    <w:p>
      <w:pPr>
        <w:ind w:firstLine="656"/>
        <w:spacing w:after="0" w:line="283" w:lineRule="auto"/>
        <w:tabs>
          <w:tab w:leader="none" w:pos="10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Extensions</w:t>
      </w:r>
      <w:r>
        <w:rPr>
          <w:rFonts w:ascii="Times New Roman" w:cs="Times New Roman" w:eastAsia="Times New Roman" w:hAnsi="Times New Roman"/>
          <w:sz w:val="20"/>
          <w:szCs w:val="20"/>
          <w:color w:val="auto"/>
        </w:rPr>
        <w:t>. Notwithstanding the foregoing, the extension of the Maturity Date pursuant to this Section shall not be effective with respect to any Lender unless:</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4" w:lineRule="auto"/>
        <w:tabs>
          <w:tab w:leader="none" w:pos="1688"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have received (A) a certificate of the Company dated as of the Extension Date signed by a Responsible Officer of the Company certifying that, before and after giving effect to such extension, (1) the representations and warranties of the Loan Parties contained in this Agreement and the other Loan Documents are true and correct in all material respects on and as of the Extension Date as if made on and as of such date (or, if any such representation or warranty is expressly stated to have been made as of a specific date, as of such specific date), and except that, for purposes of this Section, the representations and warranties contained in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shall be deemed to refer to the most recent statements furnished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and</w:t>
      </w:r>
    </w:p>
    <w:p>
      <w:pPr>
        <w:spacing w:after="0" w:line="4" w:lineRule="exact"/>
        <w:rPr>
          <w:rFonts w:ascii="Times New Roman" w:cs="Times New Roman" w:eastAsia="Times New Roman" w:hAnsi="Times New Roman"/>
          <w:sz w:val="19"/>
          <w:szCs w:val="19"/>
          <w:color w:val="auto"/>
        </w:rPr>
      </w:pPr>
    </w:p>
    <w:p>
      <w:pPr>
        <w:jc w:val="both"/>
        <w:ind w:left="66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 no Default has occurred and is continuing; (B) a duly executed Assignment and Assumption referred to in paragraph (d) of this Section from each Additional Commitment Lender; and (C) such other information or documentation as the Administrative Agent may reasonably request; and</w:t>
      </w:r>
    </w:p>
    <w:p>
      <w:pPr>
        <w:spacing w:after="0" w:line="188"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797"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Extension Date, (1) the Borrowers shall have paid in full the principal of and interest on all of the Loans made by each Non-Extending Lender to them hereunder and (2) the Borrowers shall have paid in full all other amounts owing to such Non-Extending Lender hereunder.</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09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Sharing of Payments</w:t>
      </w:r>
      <w:r>
        <w:rPr>
          <w:rFonts w:ascii="Times New Roman" w:cs="Times New Roman" w:eastAsia="Times New Roman" w:hAnsi="Times New Roman"/>
          <w:sz w:val="20"/>
          <w:szCs w:val="20"/>
          <w:color w:val="auto"/>
        </w:rPr>
        <w:t xml:space="preserve">. In connection with any extension of the Maturity Date, the Borrowers, the Administrative Agent and each Extending Lender may make such amendments to this Agreement as the Administrative Agent determines to be reasonably necessary to evidence the extension. This Section shall supersede </w:t>
      </w:r>
      <w:r>
        <w:rPr>
          <w:rFonts w:ascii="Times New Roman" w:cs="Times New Roman" w:eastAsia="Times New Roman" w:hAnsi="Times New Roman"/>
          <w:sz w:val="20"/>
          <w:szCs w:val="20"/>
          <w:u w:val="single" w:color="auto"/>
          <w:color w:val="auto"/>
        </w:rPr>
        <w:t>Sections 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III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TAXES, YIELD PROTECTION AND ILLEGALITY</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3.01</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060" w:hanging="404"/>
        <w:spacing w:after="0"/>
        <w:tabs>
          <w:tab w:leader="none" w:pos="10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715"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5" w:lineRule="auto"/>
        <w:tabs>
          <w:tab w:leader="none" w:pos="1783"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9"/>
          <w:szCs w:val="19"/>
          <w:u w:val="single" w:color="auto"/>
          <w:color w:val="auto"/>
        </w:rPr>
        <w:t>subsection (e)</w:t>
      </w:r>
      <w:r>
        <w:rPr>
          <w:rFonts w:ascii="Times New Roman" w:cs="Times New Roman" w:eastAsia="Times New Roman" w:hAnsi="Times New Roman"/>
          <w:sz w:val="19"/>
          <w:szCs w:val="19"/>
          <w:color w:val="auto"/>
        </w:rPr>
        <w:t xml:space="preserve"> below, (B) the Administrative Agent shall timely pay the full amount withheld or deducted to the relevant Governmental Authority in accordance with the Internal Revenue Code, and</w:t>
      </w:r>
    </w:p>
    <w:p>
      <w:pPr>
        <w:spacing w:after="0" w:line="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 to the extent that the withholding or deduction is made on account of Indemnified Taxes, the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13" w:right="339" w:bottom="1440" w:gutter="0" w:footer="0" w:header="0"/>
        </w:sectPr>
      </w:pPr>
    </w:p>
    <w:bookmarkStart w:id="97" w:name="page98"/>
    <w:bookmarkEnd w:id="97"/>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 xml:space="preserve">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81" w:lineRule="exact"/>
        <w:rPr>
          <w:sz w:val="20"/>
          <w:szCs w:val="20"/>
          <w:color w:val="auto"/>
        </w:rPr>
      </w:pPr>
    </w:p>
    <w:p>
      <w:pPr>
        <w:jc w:val="both"/>
        <w:ind w:left="660" w:firstLine="644"/>
        <w:spacing w:after="0" w:line="252" w:lineRule="auto"/>
        <w:tabs>
          <w:tab w:leader="none" w:pos="1906"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75"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spacing w:after="0" w:line="181" w:lineRule="exact"/>
        <w:rPr>
          <w:rFonts w:ascii="Times New Roman" w:cs="Times New Roman" w:eastAsia="Times New Roman" w:hAnsi="Times New Roman"/>
          <w:sz w:val="20"/>
          <w:szCs w:val="20"/>
          <w:color w:val="auto"/>
        </w:rPr>
      </w:pPr>
    </w:p>
    <w:p>
      <w:pPr>
        <w:jc w:val="both"/>
        <w:ind w:left="660" w:hanging="4"/>
        <w:spacing w:after="0" w:line="250" w:lineRule="auto"/>
        <w:tabs>
          <w:tab w:leader="none" w:pos="11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 xml:space="preserve">. (i) Without duplication of amounts paid pursuant to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each of the Loan Parties shall, and does hereby, jointly and severally indemnify each Recipient, and shall make payment in respect thereof within ten Business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penalties, interest and reasonable expenses arising therefrom or with respect thereto (other than penalties, interest and expenses attributable to gross negligence or willful misconduct of the Recipient), whether or not such Indemnified Taxes were correctly or legally imposed or asserted by the relevant Governmental Authority. A certificate as to the amount of such payment or liability delivered to the Company by a Lender or the L/C Issuer (with a copy to the Administrative Agent), or by the Administrative Agent on its own behalf or on behalf of a Lender or the L/C Issuer, shall be conclusive absent demonstrable error. Each of the Loan Parties shall, and does hereby, jointly and severally indemnify the Administrative Agent, and shall make payment in respect thereof within ten Business Days after demand therefor, for any amount which a Lender or the L/C Issuer (other than a Lender or L/C Issuer that is also serving as the Administrative Agent at such time) for any reason fails to pay to the Administrative Agent as required pursuant to </w:t>
      </w:r>
      <w:r>
        <w:rPr>
          <w:rFonts w:ascii="Times New Roman" w:cs="Times New Roman" w:eastAsia="Times New Roman" w:hAnsi="Times New Roman"/>
          <w:sz w:val="20"/>
          <w:szCs w:val="20"/>
          <w:u w:val="single" w:color="auto"/>
          <w:color w:val="auto"/>
        </w:rPr>
        <w:t>Section 3.01(c)(ii)</w:t>
      </w:r>
      <w:r>
        <w:rPr>
          <w:rFonts w:ascii="Times New Roman" w:cs="Times New Roman" w:eastAsia="Times New Roman" w:hAnsi="Times New Roman"/>
          <w:sz w:val="20"/>
          <w:szCs w:val="20"/>
          <w:color w:val="auto"/>
        </w:rPr>
        <w:t xml:space="preserve"> below.</w:t>
      </w:r>
    </w:p>
    <w:p>
      <w:pPr>
        <w:spacing w:after="0" w:line="193" w:lineRule="exact"/>
        <w:rPr>
          <w:rFonts w:ascii="Times New Roman" w:cs="Times New Roman" w:eastAsia="Times New Roman" w:hAnsi="Times New Roman"/>
          <w:sz w:val="20"/>
          <w:szCs w:val="20"/>
          <w:color w:val="auto"/>
        </w:rPr>
      </w:pPr>
    </w:p>
    <w:p>
      <w:pPr>
        <w:jc w:val="both"/>
        <w:ind w:left="660" w:firstLine="644"/>
        <w:spacing w:after="0" w:line="270" w:lineRule="auto"/>
        <w:tabs>
          <w:tab w:leader="none" w:pos="1743"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 w:cs="Times New Roman" w:eastAsia="Times New Roman" w:hAnsi="Times New Roman"/>
          <w:sz w:val="19"/>
          <w:szCs w:val="19"/>
          <w:u w:val="single" w:color="auto"/>
          <w:color w:val="auto"/>
        </w:rPr>
        <w:t>Section 11.06(d)</w:t>
      </w:r>
      <w:r>
        <w:rPr>
          <w:rFonts w:ascii="Times New Roman" w:cs="Times New Roman" w:eastAsia="Times New Roman" w:hAnsi="Times New Roman"/>
          <w:sz w:val="19"/>
          <w:szCs w:val="19"/>
          <w:color w:val="auto"/>
        </w:rPr>
        <w:t xml:space="preserve">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13" w:right="339" w:bottom="1440" w:gutter="0" w:footer="0" w:header="0"/>
        </w:sectPr>
      </w:pPr>
    </w:p>
    <w:bookmarkStart w:id="98" w:name="page99"/>
    <w:bookmarkEnd w:id="98"/>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 xml:space="preserve">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shall be conclusive absent demonstrable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firstLine="656"/>
        <w:spacing w:after="0" w:line="270" w:lineRule="auto"/>
        <w:tabs>
          <w:tab w:leader="none" w:pos="1072"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Evidence of Payments</w:t>
      </w:r>
      <w:r>
        <w:rPr>
          <w:rFonts w:ascii="Times New Roman" w:cs="Times New Roman" w:eastAsia="Times New Roman" w:hAnsi="Times New Roman"/>
          <w:sz w:val="19"/>
          <w:szCs w:val="19"/>
          <w:color w:val="auto"/>
        </w:rPr>
        <w:t xml:space="preserve">. Upon request by any Loan Party or the Administrative Agent, as the case may be, after any payment of Taxes by such Loan Party or by the Administrative Agent to a Governmental Authority as provided in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175" w:lineRule="exact"/>
        <w:rPr>
          <w:rFonts w:ascii="Times New Roman" w:cs="Times New Roman" w:eastAsia="Times New Roman" w:hAnsi="Times New Roman"/>
          <w:sz w:val="19"/>
          <w:szCs w:val="19"/>
          <w:color w:val="auto"/>
        </w:rPr>
      </w:pPr>
    </w:p>
    <w:p>
      <w:pPr>
        <w:ind w:left="1060" w:hanging="404"/>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675"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and, to the extent the L/C Issuer is not also a Lender under this Agreement, the L/C Issuer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and, to the extent the L/C Issuer is not also a Lender under this Agreement, the L/C Issuer,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or the L/C Issuer, as applicable,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3.01(e)(ii)(A)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3.01(e)(ii)(B)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3.01(e)(ii)(D)</w:t>
      </w:r>
      <w:r>
        <w:rPr>
          <w:rFonts w:ascii="Times New Roman" w:cs="Times New Roman" w:eastAsia="Times New Roman" w:hAnsi="Times New Roman"/>
          <w:sz w:val="20"/>
          <w:szCs w:val="20"/>
          <w:color w:val="auto"/>
        </w:rPr>
        <w:t xml:space="preserve"> below) shall not be required if in the Lender’s or the L/C Issuer’s reasonable judgment such completion, execution or submission would subject such Lender or the L/C Issuer, as applicable, to any material unreimbursed cost or expense or would materially prejudice the legal or commercial position of such Lender or the L/C Issuer, as applicable.</w:t>
      </w:r>
    </w:p>
    <w:p>
      <w:pPr>
        <w:spacing w:after="0" w:line="19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a Borrower is a U.S. Person,</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416"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and, to the extent the L/C Issuer is not also a Lender under this Agreement, the L/C Issuer that is a U.S. Person shall deliver to such Borrower and the Administrative Agent on or prior to the date on which such Lender becomes a Lender under this Agreement (and from time to time thereafter upon the reasonable request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13" w:right="339" w:bottom="1440" w:gutter="0" w:footer="0" w:header="0"/>
        </w:sectPr>
      </w:pPr>
    </w:p>
    <w:bookmarkStart w:id="99" w:name="page100"/>
    <w:bookmarkEnd w:id="99"/>
    <w:p>
      <w:pPr>
        <w:ind w:left="180"/>
        <w:spacing w:after="0" w:line="283" w:lineRule="auto"/>
        <w:rPr>
          <w:sz w:val="20"/>
          <w:szCs w:val="20"/>
          <w:color w:val="auto"/>
        </w:rPr>
      </w:pPr>
      <w:r>
        <w:rPr>
          <w:rFonts w:ascii="Times New Roman" w:cs="Times New Roman" w:eastAsia="Times New Roman" w:hAnsi="Times New Roman"/>
          <w:sz w:val="20"/>
          <w:szCs w:val="20"/>
          <w:color w:val="auto"/>
        </w:rPr>
        <w:t>such Borrower or the Administrative Agent), executed copies of IRS Form W-9 certifying that such Lender is exempt from U.S. federal backup withholding tax;</w:t>
      </w:r>
    </w:p>
    <w:p>
      <w:pPr>
        <w:spacing w:after="0" w:line="146" w:lineRule="exact"/>
        <w:rPr>
          <w:sz w:val="20"/>
          <w:szCs w:val="20"/>
          <w:color w:val="auto"/>
        </w:rPr>
      </w:pPr>
    </w:p>
    <w:p>
      <w:pPr>
        <w:jc w:val="both"/>
        <w:ind w:left="180" w:firstLine="652"/>
        <w:spacing w:after="0" w:line="258" w:lineRule="auto"/>
        <w:tabs>
          <w:tab w:leader="none" w:pos="140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85" w:lineRule="exact"/>
        <w:rPr>
          <w:rFonts w:ascii="Times New Roman" w:cs="Times New Roman" w:eastAsia="Times New Roman" w:hAnsi="Times New Roman"/>
          <w:sz w:val="20"/>
          <w:szCs w:val="20"/>
          <w:color w:val="auto"/>
        </w:rPr>
      </w:pPr>
    </w:p>
    <w:p>
      <w:pPr>
        <w:jc w:val="both"/>
        <w:ind w:left="840" w:firstLine="640"/>
        <w:spacing w:after="0" w:line="251" w:lineRule="auto"/>
        <w:tabs>
          <w:tab w:leader="none" w:pos="189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executed copies of IRS Form W-8BEN or W-8BEN-E, as applicable, establishing an exemption from, or reduction of, U.S. federal withholding Tax pursuant to the “business profits” or “other income” article of such tax treaty;</w:t>
      </w:r>
    </w:p>
    <w:p>
      <w:pPr>
        <w:spacing w:after="0" w:line="192" w:lineRule="exact"/>
        <w:rPr>
          <w:rFonts w:ascii="Times New Roman" w:cs="Times New Roman" w:eastAsia="Times New Roman" w:hAnsi="Times New Roman"/>
          <w:sz w:val="20"/>
          <w:szCs w:val="20"/>
          <w:color w:val="auto"/>
        </w:rPr>
      </w:pPr>
    </w:p>
    <w:p>
      <w:pPr>
        <w:ind w:left="1900" w:hanging="420"/>
        <w:spacing w:after="0"/>
        <w:tabs>
          <w:tab w:leader="none" w:pos="19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840" w:firstLine="640"/>
        <w:spacing w:after="0" w:line="269" w:lineRule="auto"/>
        <w:tabs>
          <w:tab w:leader="none" w:pos="1993"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Internal Revenue Code, (x) a certificate substantially in the form of </w:t>
      </w:r>
      <w:r>
        <w:rPr>
          <w:rFonts w:ascii="Times New Roman" w:cs="Times New Roman" w:eastAsia="Times New Roman" w:hAnsi="Times New Roman"/>
          <w:sz w:val="19"/>
          <w:szCs w:val="19"/>
          <w:u w:val="single" w:color="auto"/>
          <w:color w:val="auto"/>
        </w:rPr>
        <w:t>Exhibit 3.01-A</w:t>
      </w:r>
      <w:r>
        <w:rPr>
          <w:rFonts w:ascii="Times New Roman" w:cs="Times New Roman" w:eastAsia="Times New Roman" w:hAnsi="Times New Roman"/>
          <w:sz w:val="19"/>
          <w:szCs w:val="19"/>
          <w:color w:val="auto"/>
        </w:rPr>
        <w:t xml:space="preserve"> to the effect that such Foreign Lender is not a “bank” within the meaning of Section 881(c)(3)(A) of the Internal Revenue Code, a “10 percent shareholder” of such Borrower within the meaning of Section 881(c)(3)(B) of the Internal Revenue Code, or a “controlled foreign corporation” described in Section 881(c)(3)(C) of the Internal Revenue Code (a “</w:t>
      </w: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Tax Compliance Certificate</w:t>
      </w:r>
      <w:r>
        <w:rPr>
          <w:rFonts w:ascii="Times New Roman" w:cs="Times New Roman" w:eastAsia="Times New Roman" w:hAnsi="Times New Roman"/>
          <w:sz w:val="19"/>
          <w:szCs w:val="19"/>
          <w:color w:val="auto"/>
        </w:rPr>
        <w:t>”) and (y) executed copies of IRS Form W-8BEN or W-8BEN-E, as applicable; or</w:t>
      </w:r>
    </w:p>
    <w:p>
      <w:pPr>
        <w:spacing w:after="0" w:line="177" w:lineRule="exact"/>
        <w:rPr>
          <w:rFonts w:ascii="Times New Roman" w:cs="Times New Roman" w:eastAsia="Times New Roman" w:hAnsi="Times New Roman"/>
          <w:sz w:val="19"/>
          <w:szCs w:val="19"/>
          <w:color w:val="auto"/>
        </w:rPr>
      </w:pPr>
    </w:p>
    <w:p>
      <w:pPr>
        <w:jc w:val="both"/>
        <w:ind w:left="840" w:firstLine="640"/>
        <w:spacing w:after="0" w:line="251" w:lineRule="auto"/>
        <w:tabs>
          <w:tab w:leader="none" w:pos="1993"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or W-8BEN-E, as applicable, a U.S. Tax Compliance Certificate substantially in the form of </w:t>
      </w:r>
      <w:r>
        <w:rPr>
          <w:rFonts w:ascii="Times New Roman" w:cs="Times New Roman" w:eastAsia="Times New Roman" w:hAnsi="Times New Roman"/>
          <w:sz w:val="20"/>
          <w:szCs w:val="20"/>
          <w:u w:val="single" w:color="auto"/>
          <w:color w:val="auto"/>
        </w:rPr>
        <w:t>Exhibit 3.01-B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3.01-C</w:t>
      </w:r>
      <w:r>
        <w:rPr>
          <w:rFonts w:ascii="Times New Roman" w:cs="Times New Roman" w:eastAsia="Times New Roman" w:hAnsi="Times New Roman"/>
          <w:sz w:val="20"/>
          <w:szCs w:val="20"/>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3.01-D</w:t>
      </w:r>
      <w:r>
        <w:rPr>
          <w:rFonts w:ascii="Times New Roman" w:cs="Times New Roman" w:eastAsia="Times New Roman" w:hAnsi="Times New Roman"/>
          <w:sz w:val="20"/>
          <w:szCs w:val="20"/>
          <w:color w:val="auto"/>
        </w:rPr>
        <w:t xml:space="preserve"> on behalf of each such direct and indirect partner;</w:t>
      </w:r>
    </w:p>
    <w:p>
      <w:pPr>
        <w:spacing w:after="0" w:line="192" w:lineRule="exact"/>
        <w:rPr>
          <w:rFonts w:ascii="Times New Roman" w:cs="Times New Roman" w:eastAsia="Times New Roman" w:hAnsi="Times New Roman"/>
          <w:sz w:val="20"/>
          <w:szCs w:val="20"/>
          <w:color w:val="auto"/>
        </w:rPr>
      </w:pPr>
    </w:p>
    <w:p>
      <w:pPr>
        <w:jc w:val="both"/>
        <w:ind w:left="180" w:firstLine="652"/>
        <w:spacing w:after="0" w:line="258" w:lineRule="auto"/>
        <w:tabs>
          <w:tab w:leader="none" w:pos="140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120"/>
          </w:cols>
          <w:pgMar w:left="1440" w:top="1413" w:right="339" w:bottom="1440" w:gutter="0" w:footer="0" w:header="0"/>
        </w:sectPr>
      </w:pPr>
    </w:p>
    <w:bookmarkStart w:id="100" w:name="page101"/>
    <w:bookmarkEnd w:id="100"/>
    <w:p>
      <w:pPr>
        <w:jc w:val="both"/>
        <w:ind w:left="1300" w:right="20"/>
        <w:spacing w:after="0" w:line="258" w:lineRule="auto"/>
        <w:rPr>
          <w:sz w:val="20"/>
          <w:szCs w:val="20"/>
          <w:color w:val="auto"/>
        </w:rPr>
      </w:pPr>
      <w:r>
        <w:rPr>
          <w:rFonts w:ascii="Times New Roman" w:cs="Times New Roman" w:eastAsia="Times New Roman" w:hAnsi="Times New Roman"/>
          <w:sz w:val="20"/>
          <w:szCs w:val="20"/>
          <w:color w:val="auto"/>
        </w:rPr>
        <w:t>originals, as required)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72" w:lineRule="exact"/>
        <w:rPr>
          <w:sz w:val="20"/>
          <w:szCs w:val="20"/>
          <w:color w:val="auto"/>
        </w:rPr>
      </w:pPr>
    </w:p>
    <w:p>
      <w:pPr>
        <w:jc w:val="both"/>
        <w:ind w:left="1300" w:firstLine="652"/>
        <w:spacing w:after="0" w:line="251" w:lineRule="auto"/>
        <w:tabs>
          <w:tab w:leader="none" w:pos="2443"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or the L/C Issuer under any Loan Document would be subject to U.S. federal withholding Tax imposed by FATCA if such Lender or the L/C Issuer were to fail to comply with the applicable reporting requirements of FATCA (including those contained in Section 1471(b) or 1472(b) of the Internal Revenue Code, as applicable), such Lender and, to the extent the L/C Issuer is not also a Lender under this Agreement, the L/C Issuer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and the Administrative Agent to comply with their obligations under FATCA and to determine that such Lender or the L/C Issuer, as applicable, has complied with such Lender’s or the L/C Issuer’s, as applicable, obligations under FATCA or to determine the amount to deduct and withhold from such payment. Solely for purposes of this clause (D), “FATCA” shall include any amendments made to FATCA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812"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to the extent the L/C Issuer is not also a Lender under this Agreement, the L/C Issuer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87" w:lineRule="exact"/>
        <w:rPr>
          <w:rFonts w:ascii="Times New Roman" w:cs="Times New Roman" w:eastAsia="Times New Roman" w:hAnsi="Times New Roman"/>
          <w:sz w:val="20"/>
          <w:szCs w:val="20"/>
          <w:color w:val="auto"/>
        </w:rPr>
      </w:pPr>
    </w:p>
    <w:p>
      <w:pPr>
        <w:jc w:val="both"/>
        <w:ind w:firstLine="656"/>
        <w:spacing w:after="0" w:line="249" w:lineRule="auto"/>
        <w:tabs>
          <w:tab w:leader="none" w:pos="116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(including any application or carryover of such refund amount to reduce any amount otherwise payable to the refunding Governmental Authority) of Taxes withheld or deducted from funds paid for the account of such Lender or the L/C Issuer, as the case may be. If any Recipient determines, in its sole discretion exercised in good faith, that it has received a refund of any Taxes or Other Taxes as to which it has been indemnified by any Loan Party or with respect to which any Loan Party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pay to the Loan Party an amount equal to such refund (but only to the extent of indemnity payments made, or additional amounts paid, by a Loan Party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Taxes or Other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to the extent that the payment of such amount would place the Recipient in a less favorable net after Tax position that such Recipient would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61" w:lineRule="auto"/>
        <w:rPr>
          <w:sz w:val="20"/>
          <w:szCs w:val="20"/>
          <w:color w:val="auto"/>
        </w:rPr>
      </w:pPr>
      <w:r>
        <w:rPr>
          <w:rFonts w:ascii="Times New Roman" w:cs="Times New Roman" w:eastAsia="Times New Roman" w:hAnsi="Times New Roman"/>
          <w:sz w:val="20"/>
          <w:szCs w:val="20"/>
          <w:color w:val="auto"/>
        </w:rPr>
        <w:t>in if the indemnification payments or additional amounts giving rise to such refund had never been paid. This subsection shall not be construed to require any Recipient to make available its tax returns (or any other information relating to its taxes that it deems confidential) to any Loan Party or any other Person.</w:t>
      </w:r>
    </w:p>
    <w:p>
      <w:pPr>
        <w:spacing w:after="0" w:line="181" w:lineRule="exact"/>
        <w:rPr>
          <w:sz w:val="20"/>
          <w:szCs w:val="20"/>
          <w:color w:val="auto"/>
        </w:rPr>
      </w:pPr>
    </w:p>
    <w:p>
      <w:pPr>
        <w:jc w:val="both"/>
        <w:ind w:firstLine="656"/>
        <w:spacing w:after="0" w:line="261" w:lineRule="auto"/>
        <w:tabs>
          <w:tab w:leader="none" w:pos="112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1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19"/>
          <w:szCs w:val="19"/>
          <w:u w:val="single" w:color="auto"/>
          <w:color w:val="auto"/>
        </w:rPr>
        <w:t>Illegality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If any Lender determines that any Law has made it unlawful, or that any Governmental Authority has asserted that it is unlawful, for any Lender or its applicable Lending Office to make, maintain or fund Loans whose interest rate is determined by reference to the </w:t>
      </w:r>
      <w:r>
        <w:rPr>
          <w:rFonts w:ascii="Times New Roman" w:cs="Times New Roman" w:eastAsia="Times New Roman" w:hAnsi="Times New Roman"/>
          <w:sz w:val="20"/>
          <w:szCs w:val="20"/>
          <w:color w:val="FF0000"/>
          <w:strike w:val="1"/>
        </w:rPr>
        <w:t>Eurocurrency Base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(whether denominated in Dollars or an Alternative Currency), or to determine or charge interest rates based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upon the </w:t>
      </w:r>
      <w:r>
        <w:rPr>
          <w:rFonts w:ascii="Times New Roman" w:cs="Times New Roman" w:eastAsia="Times New Roman" w:hAnsi="Times New Roman"/>
          <w:sz w:val="20"/>
          <w:szCs w:val="20"/>
          <w:color w:val="FF0000"/>
          <w:strike w:val="1"/>
        </w:rPr>
        <w:t>Eurocurrency Base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000000"/>
        </w:rPr>
        <w:t xml:space="preserve">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in the affected currency or currencies or, in the case 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denominated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Dollars, to convert Base Rate Loans to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Loans shall be suspended and (ii) if such notice asserts the illegality of such Lender making or maintaining Base Rate Loans the interest rate on which is determined by reference to the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Base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component of the Base Rate, the interest rate on which Base Rate Loans of such Lender, shall, if necessary to avoid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illegality, be determined by the Administrative Agent without reference to the </w:t>
      </w:r>
      <w:r>
        <w:rPr>
          <w:rFonts w:ascii="Times New Roman" w:cs="Times New Roman" w:eastAsia="Times New Roman" w:hAnsi="Times New Roman"/>
          <w:sz w:val="20"/>
          <w:szCs w:val="20"/>
          <w:color w:val="FF0000"/>
          <w:strike w:val="1"/>
        </w:rPr>
        <w:t>Eurocurrency Base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000000"/>
        </w:rPr>
        <w:t xml:space="preserve"> Rate component of the Base Rate, in each case until such Lender notifies the Administrative Agent and the Company that the circumstances giving rise to such determination no longer exist (and each Lender hereby agrees to provide such notice promptly upon such circumstances ceasing to exist). Upon receipt of such notice by the Company, (x) the Borrowers shall, upon demand from such Lender (with a copy to the Administrative Agent), prepay or, if applicable and such Loans are denominated in Dollars, convert all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Loans of such Lender to Base Rate Loans (the interest rate on which Base Rate Loans of such Lender shall, if necessary to avoid such illegality, be determined by the Administrative Agent without reference to the </w:t>
      </w:r>
      <w:r>
        <w:rPr>
          <w:rFonts w:ascii="Times New Roman" w:cs="Times New Roman" w:eastAsia="Times New Roman" w:hAnsi="Times New Roman"/>
          <w:sz w:val="20"/>
          <w:szCs w:val="20"/>
          <w:color w:val="FF0000"/>
          <w:strike w:val="1"/>
        </w:rPr>
        <w:t>Eurocurrency Base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000000"/>
        </w:rPr>
        <w:t xml:space="preserve"> Rate component of the Base Rate), either on the last day of the Interest Period therefor, if such Lender may lawfully continue to maintain such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Loans to such day, or immediately, if such Lender may not lawfully continue to maintain such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Loans and (y) if such notice asserts the illegality of such Lender determining or charging interest rates based upon the </w:t>
      </w:r>
      <w:r>
        <w:rPr>
          <w:rFonts w:ascii="Times New Roman" w:cs="Times New Roman" w:eastAsia="Times New Roman" w:hAnsi="Times New Roman"/>
          <w:sz w:val="20"/>
          <w:szCs w:val="20"/>
          <w:color w:val="FF0000"/>
          <w:strike w:val="1"/>
        </w:rPr>
        <w:t>Eurocurrency Base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000000"/>
        </w:rPr>
        <w:t xml:space="preserve"> Rate, the Administrative Agent shall during the period of such suspension compute the Base Rate applicable to such Lender without reference to the </w:t>
      </w:r>
      <w:r>
        <w:rPr>
          <w:rFonts w:ascii="Times New Roman" w:cs="Times New Roman" w:eastAsia="Times New Roman" w:hAnsi="Times New Roman"/>
          <w:sz w:val="20"/>
          <w:szCs w:val="20"/>
          <w:color w:val="FF0000"/>
          <w:strike w:val="1"/>
        </w:rPr>
        <w:t>Eurocurrency Base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component thereof until the Administrative Agent is advised in writing by such Lender that it is no longer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illegal for such Lender to determine or charge interest rates based upon the </w:t>
      </w:r>
      <w:r>
        <w:rPr>
          <w:rFonts w:ascii="Times New Roman" w:cs="Times New Roman" w:eastAsia="Times New Roman" w:hAnsi="Times New Roman"/>
          <w:sz w:val="20"/>
          <w:szCs w:val="20"/>
          <w:color w:val="FF0000"/>
          <w:strike w:val="1"/>
        </w:rPr>
        <w:t>Eurocurrency Base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000000"/>
        </w:rPr>
        <w:t xml:space="preserve"> Rate (and each Lender hereby agrees to provide notice to the Administrative Agent and the Company when such illegality ceases to exist). Upon any such prepayment or conversion, the Borrowers shall also pay accrued interest on the amount so prepaid or converted.</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Lender at its option may make any Credit Extension to any Borrower by causing any domestic or foreign branch or Affiliate of such Lender (each a “</w:t>
      </w:r>
      <w:r>
        <w:rPr>
          <w:rFonts w:ascii="Times New Roman" w:cs="Times New Roman" w:eastAsia="Times New Roman" w:hAnsi="Times New Roman"/>
          <w:sz w:val="20"/>
          <w:szCs w:val="20"/>
          <w:u w:val="single" w:color="auto"/>
          <w:color w:val="auto"/>
        </w:rPr>
        <w:t>Designated Lender</w:t>
      </w:r>
      <w:r>
        <w:rPr>
          <w:rFonts w:ascii="Times New Roman" w:cs="Times New Roman" w:eastAsia="Times New Roman" w:hAnsi="Times New Roman"/>
          <w:sz w:val="20"/>
          <w:szCs w:val="20"/>
          <w:color w:val="auto"/>
        </w:rPr>
        <w:t xml:space="preserve">”) to make such Credit Extension (and in the case of an Affiliate, the provisions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shall apply to such Affiliate to the same extent as to such Lender); provided that any exercise of such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shall not affect the obligation of the relevant Borrower to repay such Credit Extension in accordance with the terms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any Lender or any Designated Lender determines that any Law has made it unlawful, or that any Governmental Authority has asserted that it is unlawful, for any Lender or its applicable Designated Lender to perform its obligations hereunder or to issue, make, maintain, fund or charge interest with respect to any Credit Extension to any Designated Borrower who is organized under the laws of a jurisdiction other than the United States, a State thereof or the District of Columbia then, on notice thereof by such Lender to the Company through the Administrative Agent, and until such notice by such Lender is revoked (and each Lender hereby agrees to make such revocation when such illegality ceases to exist), any obligation of such Lender to issue, make, maintain, fund or charge interest with respect to any such Credit Extension shall be suspended. Upon receipt of such notice, the Loan Parties shall, take all reasonable actions requested by such Lender to mitigate or avoid such illegality.</w:t>
      </w:r>
    </w:p>
    <w:p>
      <w:pPr>
        <w:spacing w:after="0" w:line="1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FF0000"/>
          <w:strike w:val="1"/>
        </w:rPr>
        <w:t>3.03</w:t>
      </w:r>
      <w:r>
        <w:rPr>
          <w:sz w:val="20"/>
          <w:szCs w:val="20"/>
          <w:color w:val="auto"/>
        </w:rPr>
        <w:tab/>
      </w:r>
      <w:r>
        <w:rPr>
          <w:rFonts w:ascii="Times New Roman" w:cs="Times New Roman" w:eastAsia="Times New Roman" w:hAnsi="Times New Roman"/>
          <w:sz w:val="19"/>
          <w:szCs w:val="19"/>
          <w:u w:val="single" w:color="auto"/>
          <w:color w:val="FF0000"/>
          <w:strike w:val="1"/>
        </w:rPr>
        <w:t>Inability to Determine Rates</w:t>
      </w:r>
      <w:r>
        <w:rPr>
          <w:rFonts w:ascii="Times New Roman" w:cs="Times New Roman" w:eastAsia="Times New Roman" w:hAnsi="Times New Roman"/>
          <w:sz w:val="19"/>
          <w:szCs w:val="19"/>
          <w:color w:val="FF0000"/>
          <w:strike w:val="1"/>
        </w:rPr>
        <w:t>.</w:t>
      </w:r>
    </w:p>
    <w:p>
      <w:pPr>
        <w:spacing w:after="0" w:line="229" w:lineRule="exact"/>
        <w:rPr>
          <w:sz w:val="20"/>
          <w:szCs w:val="20"/>
          <w:color w:val="auto"/>
        </w:rPr>
      </w:pPr>
    </w:p>
    <w:p>
      <w:pPr>
        <w:ind w:firstLine="656"/>
        <w:spacing w:after="0" w:line="283" w:lineRule="auto"/>
        <w:tabs>
          <w:tab w:leader="none" w:pos="1286" w:val="left"/>
        </w:tabs>
        <w:numPr>
          <w:ilvl w:val="0"/>
          <w:numId w:val="9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Subject to clause </w:t>
      </w:r>
      <w:r>
        <w:rPr>
          <w:rFonts w:ascii="Times New Roman" w:cs="Times New Roman" w:eastAsia="Times New Roman" w:hAnsi="Times New Roman"/>
          <w:sz w:val="20"/>
          <w:szCs w:val="20"/>
          <w:u w:val="single" w:color="auto"/>
          <w:color w:val="FF0000"/>
          <w:strike w:val="1"/>
        </w:rPr>
        <w:t>(b)</w:t>
      </w:r>
      <w:r>
        <w:rPr>
          <w:rFonts w:ascii="Times New Roman" w:cs="Times New Roman" w:eastAsia="Times New Roman" w:hAnsi="Times New Roman"/>
          <w:sz w:val="20"/>
          <w:szCs w:val="20"/>
          <w:color w:val="FF0000"/>
          <w:strike w:val="1"/>
        </w:rPr>
        <w:t xml:space="preserve"> of this </w:t>
      </w:r>
      <w:r>
        <w:rPr>
          <w:rFonts w:ascii="Times New Roman" w:cs="Times New Roman" w:eastAsia="Times New Roman" w:hAnsi="Times New Roman"/>
          <w:sz w:val="20"/>
          <w:szCs w:val="20"/>
          <w:u w:val="single" w:color="auto"/>
          <w:color w:val="FF0000"/>
          <w:strike w:val="1"/>
        </w:rPr>
        <w:t>Section 3.03</w:t>
      </w:r>
      <w:r>
        <w:rPr>
          <w:rFonts w:ascii="Times New Roman" w:cs="Times New Roman" w:eastAsia="Times New Roman" w:hAnsi="Times New Roman"/>
          <w:sz w:val="20"/>
          <w:szCs w:val="20"/>
          <w:color w:val="FF0000"/>
          <w:strike w:val="1"/>
        </w:rPr>
        <w:t xml:space="preserve"> and to </w:t>
      </w:r>
      <w:r>
        <w:rPr>
          <w:rFonts w:ascii="Times New Roman" w:cs="Times New Roman" w:eastAsia="Times New Roman" w:hAnsi="Times New Roman"/>
          <w:sz w:val="20"/>
          <w:szCs w:val="20"/>
          <w:u w:val="single" w:color="auto"/>
          <w:color w:val="FF0000"/>
          <w:strike w:val="1"/>
        </w:rPr>
        <w:t>Section 3.07</w:t>
      </w:r>
      <w:r>
        <w:rPr>
          <w:rFonts w:ascii="Times New Roman" w:cs="Times New Roman" w:eastAsia="Times New Roman" w:hAnsi="Times New Roman"/>
          <w:sz w:val="20"/>
          <w:szCs w:val="20"/>
          <w:color w:val="FF0000"/>
          <w:strike w:val="1"/>
        </w:rPr>
        <w:t>, if prior to the commencement of any Interest Period for a Eurocurrency Borrowing:</w:t>
      </w:r>
    </w:p>
    <w:p>
      <w:pPr>
        <w:spacing w:after="0" w:line="146" w:lineRule="exact"/>
        <w:rPr>
          <w:rFonts w:ascii="Times New Roman" w:cs="Times New Roman" w:eastAsia="Times New Roman" w:hAnsi="Times New Roman"/>
          <w:sz w:val="20"/>
          <w:szCs w:val="20"/>
          <w:color w:val="FF0000"/>
          <w:strike w:val="1"/>
        </w:rPr>
      </w:pPr>
    </w:p>
    <w:p>
      <w:pPr>
        <w:jc w:val="both"/>
        <w:ind w:left="660" w:firstLine="644"/>
        <w:spacing w:after="0" w:line="257" w:lineRule="auto"/>
        <w:tabs>
          <w:tab w:leader="none" w:pos="1954" w:val="left"/>
        </w:tabs>
        <w:numPr>
          <w:ilvl w:val="1"/>
          <w:numId w:val="9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the Administrative Agent determines (which determination shall be conclusive and binding absent demonstrable error) </w:t>
      </w:r>
      <w:r>
        <w:rPr>
          <w:rFonts w:ascii="Times New Roman" w:cs="Times New Roman" w:eastAsia="Times New Roman" w:hAnsi="Times New Roman"/>
          <w:sz w:val="20"/>
          <w:szCs w:val="20"/>
          <w:color w:val="008000"/>
          <w:strike w:val="1"/>
        </w:rPr>
        <w:t>that adequate and reasonable means do not exist for ascertaining the</w:t>
      </w:r>
      <w:r>
        <w:rPr>
          <w:rFonts w:ascii="Times New Roman" w:cs="Times New Roman" w:eastAsia="Times New Roman" w:hAnsi="Times New Roman"/>
          <w:sz w:val="20"/>
          <w:szCs w:val="20"/>
          <w:color w:val="FF0000"/>
          <w:strike w:val="1"/>
        </w:rPr>
        <w:t xml:space="preserve"> Adjusted LIBO Rate, the LIBO Rate, the Adjusted EURIBO Rate, the EURIBO Rate, the Adjusted TIBO Rate, the TIBO Rate, Daily Simple SONIA or the RFR, as applicable (including, without limitation, </w:t>
      </w:r>
      <w:r>
        <w:rPr>
          <w:rFonts w:ascii="Times New Roman" w:cs="Times New Roman" w:eastAsia="Times New Roman" w:hAnsi="Times New Roman"/>
          <w:sz w:val="20"/>
          <w:szCs w:val="20"/>
          <w:color w:val="008000"/>
          <w:strike w:val="1"/>
        </w:rPr>
        <w:t>because the Relevant Screen Rate is not available or published on a current basis), for</w:t>
      </w:r>
      <w:r>
        <w:rPr>
          <w:rFonts w:ascii="Times New Roman" w:cs="Times New Roman" w:eastAsia="Times New Roman" w:hAnsi="Times New Roman"/>
          <w:sz w:val="20"/>
          <w:szCs w:val="20"/>
          <w:color w:val="FF0000"/>
          <w:strike w:val="1"/>
        </w:rPr>
        <w:t xml:space="preserve"> a Loan in the applicable currency or for the applicable Interest Period or payment period, as applicable; or</w:t>
      </w:r>
    </w:p>
    <w:p>
      <w:pPr>
        <w:spacing w:after="0" w:line="172" w:lineRule="exact"/>
        <w:rPr>
          <w:rFonts w:ascii="Times New Roman" w:cs="Times New Roman" w:eastAsia="Times New Roman" w:hAnsi="Times New Roman"/>
          <w:sz w:val="20"/>
          <w:szCs w:val="20"/>
          <w:color w:val="FF0000"/>
          <w:strike w:val="1"/>
        </w:rPr>
      </w:pPr>
    </w:p>
    <w:p>
      <w:pPr>
        <w:jc w:val="both"/>
        <w:ind w:left="660" w:firstLine="644"/>
        <w:spacing w:after="0" w:line="253" w:lineRule="auto"/>
        <w:tabs>
          <w:tab w:leader="none" w:pos="1955" w:val="left"/>
        </w:tabs>
        <w:numPr>
          <w:ilvl w:val="1"/>
          <w:numId w:val="9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008000"/>
          <w:strike w:val="1"/>
        </w:rPr>
        <w:t xml:space="preserve">the Administrative Agent is advised by the Required Lenders that the </w:t>
      </w:r>
      <w:r>
        <w:rPr>
          <w:rFonts w:ascii="Times New Roman" w:cs="Times New Roman" w:eastAsia="Times New Roman" w:hAnsi="Times New Roman"/>
          <w:sz w:val="20"/>
          <w:szCs w:val="20"/>
          <w:color w:val="FF0000"/>
          <w:strike w:val="1"/>
        </w:rPr>
        <w:t>Adjusted LIBO Rate, the LIBO Rate, the</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 xml:space="preserve">Adjusted EURIBO Rate, the EURIBO Rate, the Adjusted TIBO Rate, the TIBO Rate, Daily Simple SONIA or the RFR, as applicable, for a Loan in the applicable currency or for the applicable </w:t>
      </w:r>
      <w:r>
        <w:rPr>
          <w:rFonts w:ascii="Times New Roman" w:cs="Times New Roman" w:eastAsia="Times New Roman" w:hAnsi="Times New Roman"/>
          <w:sz w:val="20"/>
          <w:szCs w:val="20"/>
          <w:color w:val="008000"/>
          <w:strike w:val="1"/>
        </w:rPr>
        <w:t>Interest Period will not adequately and fairly reflect the cost to</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such Lenders (or Lender) of making or maintaining their Loans (or its Loan) included in such Borrowing for the applicable </w:t>
      </w:r>
      <w:r>
        <w:rPr>
          <w:rFonts w:ascii="Times New Roman" w:cs="Times New Roman" w:eastAsia="Times New Roman" w:hAnsi="Times New Roman"/>
          <w:sz w:val="20"/>
          <w:szCs w:val="20"/>
          <w:color w:val="FF0000"/>
          <w:strike w:val="1"/>
        </w:rPr>
        <w:t>currency</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and such Interest Period or payment period, as applicable;</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008000"/>
          <w:strike w:val="1"/>
        </w:rPr>
        <w:t xml:space="preserve">then the Administrative Agent shall give notice </w:t>
      </w:r>
      <w:r>
        <w:rPr>
          <w:rFonts w:ascii="Times New Roman" w:cs="Times New Roman" w:eastAsia="Times New Roman" w:hAnsi="Times New Roman"/>
          <w:sz w:val="19"/>
          <w:szCs w:val="19"/>
          <w:color w:val="FF0000"/>
          <w:strike w:val="1"/>
        </w:rPr>
        <w:t>(in reasonable detail) thereof to the Company and the Lenders prior to the</w:t>
      </w:r>
      <w:r>
        <w:rPr>
          <w:rFonts w:ascii="Times New Roman" w:cs="Times New Roman" w:eastAsia="Times New Roman" w:hAnsi="Times New Roman"/>
          <w:sz w:val="19"/>
          <w:szCs w:val="19"/>
          <w:color w:val="008000"/>
          <w:strike w:val="1"/>
        </w:rPr>
        <w:t xml:space="preserve"> </w:t>
      </w:r>
      <w:r>
        <w:rPr>
          <w:rFonts w:ascii="Times New Roman" w:cs="Times New Roman" w:eastAsia="Times New Roman" w:hAnsi="Times New Roman"/>
          <w:sz w:val="19"/>
          <w:szCs w:val="19"/>
          <w:color w:val="FF0000"/>
          <w:strike w:val="1"/>
        </w:rPr>
        <w:t xml:space="preserve">commencement of such Interest Period by telephone, telecopy or email in accordance with </w:t>
      </w:r>
      <w:r>
        <w:rPr>
          <w:rFonts w:ascii="Times New Roman" w:cs="Times New Roman" w:eastAsia="Times New Roman" w:hAnsi="Times New Roman"/>
          <w:sz w:val="19"/>
          <w:szCs w:val="19"/>
          <w:u w:val="single" w:color="auto"/>
          <w:color w:val="FF0000"/>
          <w:strike w:val="1"/>
        </w:rPr>
        <w:t>Section 11.02</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8000"/>
          <w:strike w:val="1"/>
        </w:rPr>
        <w:t>as promptly as practicable thereafter</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8000"/>
          <w:strike w:val="1"/>
        </w:rPr>
        <w:t xml:space="preserve">and, until the Administrative Agent notifies the Company and the Lenders that the circumstances giving rise to such notice no longer exist </w:t>
      </w:r>
      <w:r>
        <w:rPr>
          <w:rFonts w:ascii="Times New Roman" w:cs="Times New Roman" w:eastAsia="Times New Roman" w:hAnsi="Times New Roman"/>
          <w:sz w:val="19"/>
          <w:szCs w:val="19"/>
          <w:color w:val="FF0000"/>
          <w:strike w:val="1"/>
        </w:rPr>
        <w:t>(which notice the Administrative Agent hereby agrees to provide promptly after its determination of such circumstances ceasing to exist), (x</w:t>
      </w:r>
      <w:r>
        <w:rPr>
          <w:rFonts w:ascii="Times New Roman" w:cs="Times New Roman" w:eastAsia="Times New Roman" w:hAnsi="Times New Roman"/>
          <w:sz w:val="19"/>
          <w:szCs w:val="19"/>
          <w:color w:val="008000"/>
          <w:strike w:val="1"/>
        </w:rPr>
        <w:t>)</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8000"/>
          <w:strike w:val="1"/>
        </w:rPr>
        <w:t xml:space="preserve">any Loan Notice that requests the conversion of any Borrowing to, or continuation of any Borrowing as, a </w:t>
      </w:r>
      <w:r>
        <w:rPr>
          <w:rFonts w:ascii="Times New Roman" w:cs="Times New Roman" w:eastAsia="Times New Roman" w:hAnsi="Times New Roman"/>
          <w:sz w:val="19"/>
          <w:szCs w:val="19"/>
          <w:color w:val="FF0000"/>
          <w:strike w:val="1"/>
        </w:rPr>
        <w:t>Eurocurrency Borrowing in the</w:t>
      </w:r>
      <w:r>
        <w:rPr>
          <w:rFonts w:ascii="Times New Roman" w:cs="Times New Roman" w:eastAsia="Times New Roman" w:hAnsi="Times New Roman"/>
          <w:sz w:val="19"/>
          <w:szCs w:val="19"/>
          <w:color w:val="008000"/>
          <w:strike w:val="1"/>
        </w:rPr>
        <w:t xml:space="preserve"> </w:t>
      </w:r>
      <w:r>
        <w:rPr>
          <w:rFonts w:ascii="Times New Roman" w:cs="Times New Roman" w:eastAsia="Times New Roman" w:hAnsi="Times New Roman"/>
          <w:sz w:val="19"/>
          <w:szCs w:val="19"/>
          <w:color w:val="FF0000"/>
          <w:strike w:val="1"/>
        </w:rPr>
        <w:t>applicable currency or for the applicable Interest Period, as the case may be, shall be ineffective, (y</w:t>
      </w:r>
      <w:r>
        <w:rPr>
          <w:rFonts w:ascii="Times New Roman" w:cs="Times New Roman" w:eastAsia="Times New Roman" w:hAnsi="Times New Roman"/>
          <w:sz w:val="19"/>
          <w:szCs w:val="19"/>
          <w:color w:val="008000"/>
          <w:strike w:val="1"/>
        </w:rPr>
        <w:t>) if any Loan Notice requests a</w:t>
      </w:r>
      <w:r>
        <w:rPr>
          <w:rFonts w:ascii="Times New Roman" w:cs="Times New Roman" w:eastAsia="Times New Roman" w:hAnsi="Times New Roman"/>
          <w:sz w:val="19"/>
          <w:szCs w:val="19"/>
          <w:color w:val="FF0000"/>
          <w:strike w:val="1"/>
        </w:rPr>
        <w:t xml:space="preserve"> Eurocurrency </w:t>
      </w:r>
      <w:r>
        <w:rPr>
          <w:rFonts w:ascii="Times New Roman" w:cs="Times New Roman" w:eastAsia="Times New Roman" w:hAnsi="Times New Roman"/>
          <w:sz w:val="19"/>
          <w:szCs w:val="19"/>
          <w:color w:val="008000"/>
          <w:strike w:val="1"/>
        </w:rPr>
        <w:t>Borrowing in Dollars, such Borrowing shall be made as a Base Rate Loan and (</w:t>
      </w:r>
      <w:r>
        <w:rPr>
          <w:rFonts w:ascii="Times New Roman" w:cs="Times New Roman" w:eastAsia="Times New Roman" w:hAnsi="Times New Roman"/>
          <w:sz w:val="19"/>
          <w:szCs w:val="19"/>
          <w:color w:val="EE2724"/>
          <w:strike w:val="1"/>
        </w:rPr>
        <w:t>z</w:t>
      </w:r>
      <w:r>
        <w:rPr>
          <w:rFonts w:ascii="Times New Roman" w:cs="Times New Roman" w:eastAsia="Times New Roman" w:hAnsi="Times New Roman"/>
          <w:sz w:val="19"/>
          <w:szCs w:val="19"/>
          <w:color w:val="008000"/>
          <w:strike w:val="1"/>
        </w:rPr>
        <w:t>) if any Loan Notice requests a</w:t>
      </w:r>
      <w:r>
        <w:rPr>
          <w:rFonts w:ascii="Times New Roman" w:cs="Times New Roman" w:eastAsia="Times New Roman" w:hAnsi="Times New Roman"/>
          <w:sz w:val="19"/>
          <w:szCs w:val="19"/>
          <w:color w:val="FF0000"/>
          <w:strike w:val="1"/>
        </w:rPr>
        <w:t xml:space="preserve"> Eurocurrency </w:t>
      </w:r>
      <w:r>
        <w:rPr>
          <w:rFonts w:ascii="Times New Roman" w:cs="Times New Roman" w:eastAsia="Times New Roman" w:hAnsi="Times New Roman"/>
          <w:sz w:val="19"/>
          <w:szCs w:val="19"/>
          <w:color w:val="008000"/>
          <w:strike w:val="1"/>
        </w:rPr>
        <w:t xml:space="preserve">Borrowing or an RFR Borrowing for the relevant rate above in an </w:t>
      </w:r>
      <w:r>
        <w:rPr>
          <w:rFonts w:ascii="Times New Roman" w:cs="Times New Roman" w:eastAsia="Times New Roman" w:hAnsi="Times New Roman"/>
          <w:sz w:val="19"/>
          <w:szCs w:val="19"/>
          <w:color w:val="FF0000"/>
          <w:strike w:val="1"/>
        </w:rPr>
        <w:t>Alternative</w:t>
      </w:r>
      <w:r>
        <w:rPr>
          <w:rFonts w:ascii="Times New Roman" w:cs="Times New Roman" w:eastAsia="Times New Roman" w:hAnsi="Times New Roman"/>
          <w:sz w:val="19"/>
          <w:szCs w:val="19"/>
          <w:color w:val="008000"/>
          <w:strike w:val="1"/>
        </w:rPr>
        <w:t xml:space="preserve"> Currency, then such request shall be ineffective; </w:t>
      </w:r>
      <w:r>
        <w:rPr>
          <w:rFonts w:ascii="Times New Roman" w:cs="Times New Roman" w:eastAsia="Times New Roman" w:hAnsi="Times New Roman"/>
          <w:sz w:val="19"/>
          <w:szCs w:val="19"/>
          <w:u w:val="single" w:color="auto"/>
          <w:color w:val="008000"/>
          <w:strike w:val="1"/>
        </w:rPr>
        <w:t>provided</w:t>
      </w:r>
      <w:r>
        <w:rPr>
          <w:rFonts w:ascii="Times New Roman" w:cs="Times New Roman" w:eastAsia="Times New Roman" w:hAnsi="Times New Roman"/>
          <w:sz w:val="19"/>
          <w:szCs w:val="19"/>
          <w:color w:val="008000"/>
          <w:strike w:val="1"/>
        </w:rPr>
        <w:t xml:space="preserve"> that if the circumstances giving rise to such notice affect only one Type of Borrowing, then </w:t>
      </w:r>
      <w:r>
        <w:rPr>
          <w:rFonts w:ascii="Times New Roman" w:cs="Times New Roman" w:eastAsia="Times New Roman" w:hAnsi="Times New Roman"/>
          <w:sz w:val="19"/>
          <w:szCs w:val="19"/>
          <w:color w:val="FF0000"/>
          <w:strike w:val="1"/>
        </w:rPr>
        <w:t>the other Type</w:t>
      </w:r>
      <w:r>
        <w:rPr>
          <w:rFonts w:ascii="Times New Roman" w:cs="Times New Roman" w:eastAsia="Times New Roman" w:hAnsi="Times New Roman"/>
          <w:sz w:val="19"/>
          <w:szCs w:val="19"/>
          <w:color w:val="008000"/>
          <w:strike w:val="1"/>
        </w:rPr>
        <w:t xml:space="preserve"> of Borrowings shall be permitted. Furthermore, if any </w:t>
      </w:r>
      <w:r>
        <w:rPr>
          <w:rFonts w:ascii="Times New Roman" w:cs="Times New Roman" w:eastAsia="Times New Roman" w:hAnsi="Times New Roman"/>
          <w:sz w:val="19"/>
          <w:szCs w:val="19"/>
          <w:color w:val="FF0000"/>
          <w:strike w:val="1"/>
        </w:rPr>
        <w:t>Eurocurrency Rate</w:t>
      </w:r>
      <w:r>
        <w:rPr>
          <w:rFonts w:ascii="Times New Roman" w:cs="Times New Roman" w:eastAsia="Times New Roman" w:hAnsi="Times New Roman"/>
          <w:sz w:val="19"/>
          <w:szCs w:val="19"/>
          <w:color w:val="008000"/>
          <w:strike w:val="1"/>
        </w:rPr>
        <w:t xml:space="preserve"> Loan or RFR Loan in any Agreed Currency is outstanding on the date of the Company’s receipt of the notice from the Administrative Agent referred to in this </w:t>
      </w:r>
      <w:r>
        <w:rPr>
          <w:rFonts w:ascii="Times New Roman" w:cs="Times New Roman" w:eastAsia="Times New Roman" w:hAnsi="Times New Roman"/>
          <w:sz w:val="19"/>
          <w:szCs w:val="19"/>
          <w:u w:val="single" w:color="auto"/>
          <w:color w:val="008000"/>
          <w:strike w:val="1"/>
        </w:rPr>
        <w:t>Section</w:t>
      </w:r>
      <w:r>
        <w:rPr>
          <w:rFonts w:ascii="Times New Roman" w:cs="Times New Roman" w:eastAsia="Times New Roman" w:hAnsi="Times New Roman"/>
          <w:sz w:val="19"/>
          <w:szCs w:val="19"/>
          <w:color w:val="008000"/>
          <w:strike w:val="1"/>
        </w:rPr>
        <w:t xml:space="preserve"> </w:t>
      </w:r>
      <w:r>
        <w:rPr>
          <w:rFonts w:ascii="Times New Roman" w:cs="Times New Roman" w:eastAsia="Times New Roman" w:hAnsi="Times New Roman"/>
          <w:sz w:val="19"/>
          <w:szCs w:val="19"/>
          <w:u w:val="single" w:color="auto"/>
          <w:color w:val="FF0000"/>
          <w:strike w:val="1"/>
        </w:rPr>
        <w:t>3.03(a)</w:t>
      </w:r>
      <w:r>
        <w:rPr>
          <w:rFonts w:ascii="Times New Roman" w:cs="Times New Roman" w:eastAsia="Times New Roman" w:hAnsi="Times New Roman"/>
          <w:sz w:val="19"/>
          <w:szCs w:val="19"/>
          <w:color w:val="008000"/>
          <w:strike w:val="1"/>
        </w:rPr>
        <w:t xml:space="preserve"> with respect to a Relevant Rate applicable to such </w:t>
      </w:r>
      <w:r>
        <w:rPr>
          <w:rFonts w:ascii="Times New Roman" w:cs="Times New Roman" w:eastAsia="Times New Roman" w:hAnsi="Times New Roman"/>
          <w:sz w:val="19"/>
          <w:szCs w:val="19"/>
          <w:color w:val="FF0000"/>
          <w:strike w:val="1"/>
        </w:rPr>
        <w:t>Eurocurrency Rate</w:t>
      </w:r>
      <w:r>
        <w:rPr>
          <w:rFonts w:ascii="Times New Roman" w:cs="Times New Roman" w:eastAsia="Times New Roman" w:hAnsi="Times New Roman"/>
          <w:sz w:val="19"/>
          <w:szCs w:val="19"/>
          <w:color w:val="008000"/>
          <w:strike w:val="1"/>
        </w:rPr>
        <w:t xml:space="preserve"> Loan or RFR Loan, then until the Administrative Agent notifies the Company and the Lenders that the circumstances giving rise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49" w:lineRule="auto"/>
        <w:rPr>
          <w:sz w:val="20"/>
          <w:szCs w:val="20"/>
          <w:color w:val="auto"/>
        </w:rPr>
      </w:pPr>
      <w:r>
        <w:rPr>
          <w:rFonts w:ascii="Times New Roman" w:cs="Times New Roman" w:eastAsia="Times New Roman" w:hAnsi="Times New Roman"/>
          <w:sz w:val="20"/>
          <w:szCs w:val="20"/>
          <w:color w:val="008000"/>
          <w:strike w:val="1"/>
        </w:rPr>
        <w:t xml:space="preserve">such notice no longer exist </w:t>
      </w:r>
      <w:r>
        <w:rPr>
          <w:rFonts w:ascii="Times New Roman" w:cs="Times New Roman" w:eastAsia="Times New Roman" w:hAnsi="Times New Roman"/>
          <w:sz w:val="20"/>
          <w:szCs w:val="20"/>
          <w:color w:val="FF0000"/>
          <w:strike w:val="1"/>
        </w:rPr>
        <w:t>(which notice the Administrative Agent hereby agrees to give</w:t>
      </w:r>
      <w:r>
        <w:rPr>
          <w:rFonts w:ascii="Times New Roman" w:cs="Times New Roman" w:eastAsia="Times New Roman" w:hAnsi="Times New Roman"/>
          <w:sz w:val="20"/>
          <w:szCs w:val="20"/>
          <w:color w:val="008000"/>
          <w:strike w:val="1"/>
        </w:rPr>
        <w:t xml:space="preserve"> promptly after such circumstances cease to exist), (</w:t>
      </w:r>
      <w:r>
        <w:rPr>
          <w:rFonts w:ascii="Times New Roman" w:cs="Times New Roman" w:eastAsia="Times New Roman" w:hAnsi="Times New Roman"/>
          <w:sz w:val="20"/>
          <w:szCs w:val="20"/>
          <w:color w:val="FF0000"/>
          <w:strike w:val="1"/>
        </w:rPr>
        <w:t>1) if such Eurocurrency Rate</w:t>
      </w:r>
      <w:r>
        <w:rPr>
          <w:rFonts w:ascii="Times New Roman" w:cs="Times New Roman" w:eastAsia="Times New Roman" w:hAnsi="Times New Roman"/>
          <w:sz w:val="20"/>
          <w:szCs w:val="20"/>
          <w:color w:val="008000"/>
          <w:strike w:val="1"/>
        </w:rPr>
        <w:t xml:space="preserve"> Loan is denominated in Dollars, then on the last day of the Interest Period applicable to such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 xml:space="preserve">Rate </w:t>
      </w:r>
      <w:r>
        <w:rPr>
          <w:rFonts w:ascii="Times New Roman" w:cs="Times New Roman" w:eastAsia="Times New Roman" w:hAnsi="Times New Roman"/>
          <w:sz w:val="20"/>
          <w:szCs w:val="20"/>
          <w:color w:val="008000"/>
          <w:strike w:val="1"/>
        </w:rPr>
        <w:t>Loan (or the next succeeding Business Day if such day is not a Business Day), such</w:t>
      </w:r>
      <w:r>
        <w:rPr>
          <w:rFonts w:ascii="Times New Roman" w:cs="Times New Roman" w:eastAsia="Times New Roman" w:hAnsi="Times New Roman"/>
          <w:sz w:val="20"/>
          <w:szCs w:val="20"/>
          <w:color w:val="FF0000"/>
          <w:strike w:val="1"/>
        </w:rPr>
        <w:t xml:space="preserve"> Eurocurrency Rate </w:t>
      </w:r>
      <w:r>
        <w:rPr>
          <w:rFonts w:ascii="Times New Roman" w:cs="Times New Roman" w:eastAsia="Times New Roman" w:hAnsi="Times New Roman"/>
          <w:sz w:val="20"/>
          <w:szCs w:val="20"/>
          <w:color w:val="008000"/>
          <w:strike w:val="1"/>
        </w:rPr>
        <w:t>Loan shall be converted by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Administrative Agent to, and shall constitute, a Base Rate Loan denominated in Dollars on such day, (</w:t>
      </w:r>
      <w:r>
        <w:rPr>
          <w:rFonts w:ascii="Times New Roman" w:cs="Times New Roman" w:eastAsia="Times New Roman" w:hAnsi="Times New Roman"/>
          <w:sz w:val="20"/>
          <w:szCs w:val="20"/>
          <w:color w:val="FF0000"/>
          <w:strike w:val="1"/>
        </w:rPr>
        <w:t>2) if such Eurocurrency Rate</w:t>
      </w:r>
      <w:r>
        <w:rPr>
          <w:rFonts w:ascii="Times New Roman" w:cs="Times New Roman" w:eastAsia="Times New Roman" w:hAnsi="Times New Roman"/>
          <w:sz w:val="20"/>
          <w:szCs w:val="20"/>
          <w:color w:val="008000"/>
          <w:strike w:val="1"/>
        </w:rPr>
        <w:t xml:space="preserve"> Loan is denominated in an Alternative Currency, then such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8000"/>
          <w:strike w:val="1"/>
        </w:rPr>
        <w:t xml:space="preserve"> Loan shall, on the last day of the Interest Period applicable to such </w:t>
      </w:r>
      <w:r>
        <w:rPr>
          <w:rFonts w:ascii="Times New Roman" w:cs="Times New Roman" w:eastAsia="Times New Roman" w:hAnsi="Times New Roman"/>
          <w:sz w:val="20"/>
          <w:szCs w:val="20"/>
          <w:color w:val="FF0000"/>
          <w:strike w:val="1"/>
        </w:rPr>
        <w:t xml:space="preserve">Eurocurrency Rate </w:t>
      </w:r>
      <w:r>
        <w:rPr>
          <w:rFonts w:ascii="Times New Roman" w:cs="Times New Roman" w:eastAsia="Times New Roman" w:hAnsi="Times New Roman"/>
          <w:sz w:val="20"/>
          <w:szCs w:val="20"/>
          <w:color w:val="008000"/>
          <w:strike w:val="1"/>
        </w:rPr>
        <w:t>Loan (or the next succeeding Business Day if such day is not a Business Day) bear interest at the Central Bank Rate for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the applicable </w:t>
      </w:r>
      <w:r>
        <w:rPr>
          <w:rFonts w:ascii="Times New Roman" w:cs="Times New Roman" w:eastAsia="Times New Roman" w:hAnsi="Times New Roman"/>
          <w:sz w:val="20"/>
          <w:szCs w:val="20"/>
          <w:color w:val="FF0000"/>
          <w:strike w:val="1"/>
        </w:rPr>
        <w:t>Alternative</w:t>
      </w:r>
      <w:r>
        <w:rPr>
          <w:rFonts w:ascii="Times New Roman" w:cs="Times New Roman" w:eastAsia="Times New Roman" w:hAnsi="Times New Roman"/>
          <w:sz w:val="20"/>
          <w:szCs w:val="20"/>
          <w:color w:val="008000"/>
          <w:strike w:val="1"/>
        </w:rPr>
        <w:t xml:space="preserve"> Currency plus the Applicable Rate; </w:t>
      </w:r>
      <w:r>
        <w:rPr>
          <w:rFonts w:ascii="Times New Roman" w:cs="Times New Roman" w:eastAsia="Times New Roman" w:hAnsi="Times New Roman"/>
          <w:sz w:val="20"/>
          <w:szCs w:val="20"/>
          <w:u w:val="single" w:color="auto"/>
          <w:color w:val="008000"/>
          <w:strike w:val="1"/>
        </w:rPr>
        <w:t>provided</w:t>
      </w:r>
      <w:r>
        <w:rPr>
          <w:rFonts w:ascii="Times New Roman" w:cs="Times New Roman" w:eastAsia="Times New Roman" w:hAnsi="Times New Roman"/>
          <w:sz w:val="20"/>
          <w:szCs w:val="20"/>
          <w:color w:val="008000"/>
          <w:strike w:val="1"/>
        </w:rPr>
        <w:t xml:space="preserve"> that, if the Administrative Agent determines reasonably and in good faith (which determination shall be conclusive and binding absent demonstrable error) that the Central Bank Rate for the applicable </w:t>
      </w:r>
      <w:r>
        <w:rPr>
          <w:rFonts w:ascii="Times New Roman" w:cs="Times New Roman" w:eastAsia="Times New Roman" w:hAnsi="Times New Roman"/>
          <w:sz w:val="20"/>
          <w:szCs w:val="20"/>
          <w:color w:val="FF0000"/>
          <w:strike w:val="1"/>
        </w:rPr>
        <w:t xml:space="preserve">Alternative </w:t>
      </w:r>
      <w:r>
        <w:rPr>
          <w:rFonts w:ascii="Times New Roman" w:cs="Times New Roman" w:eastAsia="Times New Roman" w:hAnsi="Times New Roman"/>
          <w:sz w:val="20"/>
          <w:szCs w:val="20"/>
          <w:color w:val="008000"/>
          <w:strike w:val="1"/>
        </w:rPr>
        <w:t>Currency cannot be determined, any outstanding affected</w:t>
      </w:r>
      <w:r>
        <w:rPr>
          <w:rFonts w:ascii="Times New Roman" w:cs="Times New Roman" w:eastAsia="Times New Roman" w:hAnsi="Times New Roman"/>
          <w:sz w:val="20"/>
          <w:szCs w:val="20"/>
          <w:color w:val="FF0000"/>
          <w:strike w:val="1"/>
        </w:rPr>
        <w:t xml:space="preserve"> Eurocurrency Rate </w:t>
      </w:r>
      <w:r>
        <w:rPr>
          <w:rFonts w:ascii="Times New Roman" w:cs="Times New Roman" w:eastAsia="Times New Roman" w:hAnsi="Times New Roman"/>
          <w:sz w:val="20"/>
          <w:szCs w:val="20"/>
          <w:color w:val="008000"/>
          <w:strike w:val="1"/>
        </w:rPr>
        <w:t>Loans denominated in any Alternative Currency</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shall, at the Company’s election prior to such day: (A) be prepaid by the </w:t>
      </w:r>
      <w:r>
        <w:rPr>
          <w:rFonts w:ascii="Times New Roman" w:cs="Times New Roman" w:eastAsia="Times New Roman" w:hAnsi="Times New Roman"/>
          <w:sz w:val="20"/>
          <w:szCs w:val="20"/>
          <w:color w:val="FF0000"/>
          <w:strike w:val="1"/>
        </w:rPr>
        <w:t>Company</w:t>
      </w:r>
      <w:r>
        <w:rPr>
          <w:rFonts w:ascii="Times New Roman" w:cs="Times New Roman" w:eastAsia="Times New Roman" w:hAnsi="Times New Roman"/>
          <w:sz w:val="20"/>
          <w:szCs w:val="20"/>
          <w:color w:val="008000"/>
          <w:strike w:val="1"/>
        </w:rPr>
        <w:t xml:space="preserve"> on such day or (B) solely for the purpose of calculating the interest rate applicable to such </w:t>
      </w:r>
      <w:r>
        <w:rPr>
          <w:rFonts w:ascii="Times New Roman" w:cs="Times New Roman" w:eastAsia="Times New Roman" w:hAnsi="Times New Roman"/>
          <w:sz w:val="20"/>
          <w:szCs w:val="20"/>
          <w:color w:val="FF0000"/>
          <w:strike w:val="1"/>
        </w:rPr>
        <w:t>Eurocurrency Rate Loan, such Eurocurrency Rate</w:t>
      </w:r>
      <w:r>
        <w:rPr>
          <w:rFonts w:ascii="Times New Roman" w:cs="Times New Roman" w:eastAsia="Times New Roman" w:hAnsi="Times New Roman"/>
          <w:sz w:val="20"/>
          <w:szCs w:val="20"/>
          <w:color w:val="008000"/>
          <w:strike w:val="1"/>
        </w:rPr>
        <w:t xml:space="preserve"> Loan denominated in any Alternative Currency shall be deemed to be a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8000"/>
          <w:strike w:val="1"/>
        </w:rPr>
        <w:t xml:space="preserve"> Loan denominated in Dollars and shall accrue interest at the same interest rate applicable to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 xml:space="preserve">Rate </w:t>
      </w:r>
      <w:r>
        <w:rPr>
          <w:rFonts w:ascii="Times New Roman" w:cs="Times New Roman" w:eastAsia="Times New Roman" w:hAnsi="Times New Roman"/>
          <w:sz w:val="20"/>
          <w:szCs w:val="20"/>
          <w:color w:val="008000"/>
          <w:strike w:val="1"/>
        </w:rPr>
        <w:t>Loans denominated in Dollars at such time</w:t>
      </w: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color w:val="FF0000"/>
          <w:strike w:val="1"/>
        </w:rPr>
        <w:t xml:space="preserve"> and (3</w:t>
      </w:r>
      <w:r>
        <w:rPr>
          <w:rFonts w:ascii="Times New Roman" w:cs="Times New Roman" w:eastAsia="Times New Roman" w:hAnsi="Times New Roman"/>
          <w:sz w:val="20"/>
          <w:szCs w:val="20"/>
          <w:color w:val="008000"/>
          <w:strike w:val="1"/>
        </w:rPr>
        <w:t>) if such RFR Loan is denominated in any Alternative Currency, then such</w:t>
      </w:r>
      <w:r>
        <w:rPr>
          <w:rFonts w:ascii="Times New Roman" w:cs="Times New Roman" w:eastAsia="Times New Roman" w:hAnsi="Times New Roman"/>
          <w:sz w:val="20"/>
          <w:szCs w:val="20"/>
          <w:color w:val="FF0000"/>
          <w:strike w:val="1"/>
        </w:rPr>
        <w:t xml:space="preserve"> RFR </w:t>
      </w:r>
      <w:r>
        <w:rPr>
          <w:rFonts w:ascii="Times New Roman" w:cs="Times New Roman" w:eastAsia="Times New Roman" w:hAnsi="Times New Roman"/>
          <w:sz w:val="20"/>
          <w:szCs w:val="20"/>
          <w:color w:val="008000"/>
          <w:strike w:val="1"/>
        </w:rPr>
        <w:t>Loan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shall bear interest at the Central Bank Rate for the applicable </w:t>
      </w:r>
      <w:r>
        <w:rPr>
          <w:rFonts w:ascii="Times New Roman" w:cs="Times New Roman" w:eastAsia="Times New Roman" w:hAnsi="Times New Roman"/>
          <w:sz w:val="20"/>
          <w:szCs w:val="20"/>
          <w:color w:val="FF0000"/>
          <w:strike w:val="1"/>
        </w:rPr>
        <w:t>Alternative</w:t>
      </w:r>
      <w:r>
        <w:rPr>
          <w:rFonts w:ascii="Times New Roman" w:cs="Times New Roman" w:eastAsia="Times New Roman" w:hAnsi="Times New Roman"/>
          <w:sz w:val="20"/>
          <w:szCs w:val="20"/>
          <w:color w:val="008000"/>
          <w:strike w:val="1"/>
        </w:rPr>
        <w:t xml:space="preserve"> Currency plus the Applicable Rate; </w:t>
      </w:r>
      <w:r>
        <w:rPr>
          <w:rFonts w:ascii="Times New Roman" w:cs="Times New Roman" w:eastAsia="Times New Roman" w:hAnsi="Times New Roman"/>
          <w:sz w:val="20"/>
          <w:szCs w:val="20"/>
          <w:u w:val="single" w:color="auto"/>
          <w:color w:val="008000"/>
          <w:strike w:val="1"/>
        </w:rPr>
        <w:t>provided</w:t>
      </w:r>
      <w:r>
        <w:rPr>
          <w:rFonts w:ascii="Times New Roman" w:cs="Times New Roman" w:eastAsia="Times New Roman" w:hAnsi="Times New Roman"/>
          <w:sz w:val="20"/>
          <w:szCs w:val="20"/>
          <w:color w:val="008000"/>
          <w:strike w:val="1"/>
        </w:rPr>
        <w:t xml:space="preserve"> that, if the Administrative Agent determines reasonably and in good faith (which determination shall be conclusive and binding absent demonstrable error) that the Central Bank Rate for the applicable </w:t>
      </w:r>
      <w:r>
        <w:rPr>
          <w:rFonts w:ascii="Times New Roman" w:cs="Times New Roman" w:eastAsia="Times New Roman" w:hAnsi="Times New Roman"/>
          <w:sz w:val="20"/>
          <w:szCs w:val="20"/>
          <w:color w:val="FF0000"/>
          <w:strike w:val="1"/>
        </w:rPr>
        <w:t>Alternative</w:t>
      </w:r>
      <w:r>
        <w:rPr>
          <w:rFonts w:ascii="Times New Roman" w:cs="Times New Roman" w:eastAsia="Times New Roman" w:hAnsi="Times New Roman"/>
          <w:sz w:val="20"/>
          <w:szCs w:val="20"/>
          <w:color w:val="008000"/>
          <w:strike w:val="1"/>
        </w:rPr>
        <w:t xml:space="preserve"> Currency cannot be determined, any outstanding affected RFR Loans denominated in any Alternative Currency, at the Company’s election, shall either (</w:t>
      </w:r>
      <w:r>
        <w:rPr>
          <w:rFonts w:ascii="Times New Roman" w:cs="Times New Roman" w:eastAsia="Times New Roman" w:hAnsi="Times New Roman"/>
          <w:sz w:val="20"/>
          <w:szCs w:val="20"/>
          <w:color w:val="FF0000"/>
          <w:strike w:val="1"/>
        </w:rPr>
        <w:t>x</w:t>
      </w:r>
      <w:r>
        <w:rPr>
          <w:rFonts w:ascii="Times New Roman" w:cs="Times New Roman" w:eastAsia="Times New Roman" w:hAnsi="Times New Roman"/>
          <w:sz w:val="20"/>
          <w:szCs w:val="20"/>
          <w:color w:val="008000"/>
          <w:strike w:val="1"/>
        </w:rPr>
        <w:t xml:space="preserve">) be converted into Base Rate Loans denominated in Dollars (in an amount equal to the Dollar Equivalent of such </w:t>
      </w:r>
      <w:r>
        <w:rPr>
          <w:rFonts w:ascii="Times New Roman" w:cs="Times New Roman" w:eastAsia="Times New Roman" w:hAnsi="Times New Roman"/>
          <w:sz w:val="20"/>
          <w:szCs w:val="20"/>
          <w:color w:val="FF0000"/>
          <w:strike w:val="1"/>
        </w:rPr>
        <w:t>Alternative Currency) on the last day of the applicable Interest Period (or the</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next succeeding Business Day if such day is not a Business Day) or (y) be prepaid in full on the last day of the applicable Interest Period (or the next succeeding Business Day if such day is not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-2037715</wp:posOffset>
            </wp:positionV>
            <wp:extent cx="31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6" w:lineRule="exact"/>
        <w:rPr>
          <w:sz w:val="20"/>
          <w:szCs w:val="20"/>
          <w:color w:val="auto"/>
        </w:rPr>
      </w:pPr>
    </w:p>
    <w:p>
      <w:pPr>
        <w:jc w:val="both"/>
        <w:ind w:firstLine="656"/>
        <w:spacing w:after="0" w:line="249" w:lineRule="auto"/>
        <w:tabs>
          <w:tab w:leader="none" w:pos="1284" w:val="left"/>
        </w:tabs>
        <w:numPr>
          <w:ilvl w:val="0"/>
          <w:numId w:val="95"/>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Notwithstanding the foregoing, if at any time the Administrative Agent determines (which determination shall be conclusive absent demonstrable error), or the Company notifies the Administrative Agent that the Company has determined, that (i) the circumstances set forth in </w:t>
      </w:r>
      <w:r>
        <w:rPr>
          <w:rFonts w:ascii="Times New Roman" w:cs="Times New Roman" w:eastAsia="Times New Roman" w:hAnsi="Times New Roman"/>
          <w:sz w:val="20"/>
          <w:szCs w:val="20"/>
          <w:u w:val="single" w:color="auto"/>
          <w:color w:val="FF0000"/>
          <w:strike w:val="1"/>
        </w:rPr>
        <w:t>Section 3.03(a)(i)</w:t>
      </w:r>
      <w:r>
        <w:rPr>
          <w:rFonts w:ascii="Times New Roman" w:cs="Times New Roman" w:eastAsia="Times New Roman" w:hAnsi="Times New Roman"/>
          <w:sz w:val="20"/>
          <w:szCs w:val="20"/>
          <w:color w:val="FF0000"/>
          <w:strike w:val="1"/>
        </w:rPr>
        <w:t xml:space="preserve"> have arisen and such circumstances are unlikely to be temporary or (ii) the circumstances set forth in </w:t>
      </w:r>
      <w:r>
        <w:rPr>
          <w:rFonts w:ascii="Times New Roman" w:cs="Times New Roman" w:eastAsia="Times New Roman" w:hAnsi="Times New Roman"/>
          <w:sz w:val="20"/>
          <w:szCs w:val="20"/>
          <w:u w:val="single" w:color="auto"/>
          <w:color w:val="FF0000"/>
          <w:strike w:val="1"/>
        </w:rPr>
        <w:t>Section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FF0000"/>
          <w:strike w:val="1"/>
        </w:rPr>
        <w:t xml:space="preserve">3.03(a)(i) </w:t>
      </w:r>
      <w:r>
        <w:rPr>
          <w:rFonts w:ascii="Times New Roman" w:cs="Times New Roman" w:eastAsia="Times New Roman" w:hAnsi="Times New Roman"/>
          <w:sz w:val="20"/>
          <w:szCs w:val="20"/>
          <w:color w:val="FF0000"/>
          <w:strike w:val="1"/>
        </w:rPr>
        <w:t>have not arisen but (w) the supervisor for the administrator of the Relevant Screen Rate has made a public statement that the</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administrator of the Relevant Screen Rate is insolvent (and there is no successor administrator that will continue publication of the Relevant Screen Rate), (x) the administrator of the Relevant Screen Rate has made a public statement identifying a specific date after which such Relevant Screen Rate will permanently or indefinitely cease to be published by it (and there is no successor administrator that will continue publication of such Relevant Screen Rate), (y) the supervisor for the administrator of the Relevant Screen Rate has made a public statement identifying a specific date after which such Relevant Screen Rate will permanently or indefinitely cease to be published or (z) the supervisor for the administrator of the Relevant Screen Rate or a Governmental Authority having jurisdiction over the Administrative Agent has made a public statement identifying a specific date after which such Relevant Screen Rate may no longer be used for determining interest rates for loans, then the Administrative Agent and the Company shall endeavor to establish an alternate rate of interest to the LIBO Rate (or the EURIBO Rate or TIBO Rate, as applicable)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provided that, if such alternate rate of interest as so determined would be less than zero, such rate shall be deemed to be zero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13" w:right="339" w:bottom="1440" w:gutter="0" w:footer="0" w:header="0"/>
        </w:sectPr>
      </w:pPr>
    </w:p>
    <w:bookmarkStart w:id="104" w:name="page105"/>
    <w:bookmarkEnd w:id="104"/>
    <w:p>
      <w:pPr>
        <w:jc w:val="both"/>
        <w:spacing w:after="0" w:line="251" w:lineRule="auto"/>
        <w:rPr>
          <w:sz w:val="20"/>
          <w:szCs w:val="20"/>
          <w:color w:val="auto"/>
        </w:rPr>
      </w:pPr>
      <w:r>
        <w:rPr>
          <w:rFonts w:ascii="Times New Roman" w:cs="Times New Roman" w:eastAsia="Times New Roman" w:hAnsi="Times New Roman"/>
          <w:sz w:val="20"/>
          <w:szCs w:val="20"/>
          <w:color w:val="FF0000"/>
          <w:strike w:val="1"/>
        </w:rPr>
        <w:t xml:space="preserve">purposes of this Agreement. Notwithstanding anything to the contrary in </w:t>
      </w:r>
      <w:r>
        <w:rPr>
          <w:rFonts w:ascii="Times New Roman" w:cs="Times New Roman" w:eastAsia="Times New Roman" w:hAnsi="Times New Roman"/>
          <w:sz w:val="20"/>
          <w:szCs w:val="20"/>
          <w:u w:val="single" w:color="auto"/>
          <w:color w:val="FF0000"/>
          <w:strike w:val="1"/>
        </w:rPr>
        <w:t>Section 11.01</w:t>
      </w:r>
      <w:r>
        <w:rPr>
          <w:rFonts w:ascii="Times New Roman" w:cs="Times New Roman" w:eastAsia="Times New Roman" w:hAnsi="Times New Roman"/>
          <w:sz w:val="20"/>
          <w:szCs w:val="20"/>
          <w:color w:val="FF0000"/>
          <w:strike w:val="1"/>
        </w:rPr>
        <w:t xml:space="preserve">, such amendment shall become effective without any further action or consent of any other party to this Agreement (other than the Administrative Agent and the Company) so long as the Administrative Agent shall not have received, within five (5) Business Days of the date notice of such alternate rate of interest is provided by the Administrative Agent to the Lenders, a written notice from the Required Lenders stating that such Required Lenders object to such amendment and the basis for such objection. Notwithstanding anything to the contrary in this Agreement, until an alternate rate of interest shall be determined in accordance with this </w:t>
      </w:r>
      <w:r>
        <w:rPr>
          <w:rFonts w:ascii="Times New Roman" w:cs="Times New Roman" w:eastAsia="Times New Roman" w:hAnsi="Times New Roman"/>
          <w:sz w:val="20"/>
          <w:szCs w:val="20"/>
          <w:u w:val="single" w:color="auto"/>
          <w:color w:val="FF0000"/>
          <w:strike w:val="1"/>
        </w:rPr>
        <w:t>Section 3.03(b)</w:t>
      </w:r>
      <w:r>
        <w:rPr>
          <w:rFonts w:ascii="Times New Roman" w:cs="Times New Roman" w:eastAsia="Times New Roman" w:hAnsi="Times New Roman"/>
          <w:sz w:val="20"/>
          <w:szCs w:val="20"/>
          <w:color w:val="FF0000"/>
          <w:strike w:val="1"/>
        </w:rPr>
        <w:t xml:space="preserve"> (but, in the case of the circumstances described in clause (ii)(w), clause (ii)(x) or clause (ii)(y) of the first sentence of this </w:t>
      </w:r>
      <w:r>
        <w:rPr>
          <w:rFonts w:ascii="Times New Roman" w:cs="Times New Roman" w:eastAsia="Times New Roman" w:hAnsi="Times New Roman"/>
          <w:sz w:val="20"/>
          <w:szCs w:val="20"/>
          <w:u w:val="single" w:color="auto"/>
          <w:color w:val="FF0000"/>
          <w:strike w:val="1"/>
        </w:rPr>
        <w:t>Section 3.03(b)</w:t>
      </w:r>
      <w:r>
        <w:rPr>
          <w:rFonts w:ascii="Times New Roman" w:cs="Times New Roman" w:eastAsia="Times New Roman" w:hAnsi="Times New Roman"/>
          <w:sz w:val="20"/>
          <w:szCs w:val="20"/>
          <w:color w:val="FF0000"/>
          <w:strike w:val="1"/>
        </w:rPr>
        <w:t>, only to the extent the Relevant Screen Rate for the applicable currency and such Interest Period is not available or published at such time on a current basis), (x) any Loan Notice that requests the conversion of any Borrowing to, or continuation of any Borrowing as, a Eurocurrency Borrowing in the applicable currency or for the applicable Interest Period, as the case may be, shall be ineffective, (y) if any Loan Notice requests a Eurocurrency Borrowing in Dollars, such Borrowing shall be made as a Base Rate Loan and (z) if any Loan Notice requests a Eurocurrency Borrowing in an Alternative Currency, then such request shall be ineffective.</w:t>
      </w:r>
    </w:p>
    <w:p>
      <w:pPr>
        <w:spacing w:after="0" w:line="178"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u w:val="single" w:color="auto"/>
          <w:color w:val="0000FF"/>
        </w:rPr>
        <w:t>3.03</w:t>
      </w:r>
      <w:r>
        <w:rPr>
          <w:sz w:val="20"/>
          <w:szCs w:val="20"/>
          <w:color w:val="auto"/>
        </w:rPr>
        <w:tab/>
      </w:r>
      <w:r>
        <w:rPr>
          <w:rFonts w:ascii="Times New Roman" w:cs="Times New Roman" w:eastAsia="Times New Roman" w:hAnsi="Times New Roman"/>
          <w:sz w:val="19"/>
          <w:szCs w:val="19"/>
          <w:u w:val="single" w:color="auto"/>
          <w:color w:val="0000FF"/>
        </w:rPr>
        <w:t>[Reserved].</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3.04</w:t>
      </w:r>
      <w:r>
        <w:rPr>
          <w:sz w:val="20"/>
          <w:szCs w:val="20"/>
          <w:color w:val="auto"/>
        </w:rPr>
        <w:tab/>
      </w:r>
      <w:r>
        <w:rPr>
          <w:rFonts w:ascii="Times New Roman" w:cs="Times New Roman" w:eastAsia="Times New Roman" w:hAnsi="Times New Roman"/>
          <w:sz w:val="19"/>
          <w:szCs w:val="19"/>
          <w:u w:val="single" w:color="auto"/>
          <w:color w:val="auto"/>
        </w:rPr>
        <w:t>Increased Cost and Reduced Return; Capital Adequacy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60" w:hanging="404"/>
        <w:spacing w:after="0"/>
        <w:tabs>
          <w:tab w:leader="none" w:pos="10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6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reflected in the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auto"/>
        </w:rPr>
        <w:t xml:space="preserve"> Rate) or the L/C Issuer;</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29"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67"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87"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 on any Lender or the L/C Issuer or the </w:t>
      </w:r>
      <w:r>
        <w:rPr>
          <w:rFonts w:ascii="Times New Roman" w:cs="Times New Roman" w:eastAsia="Times New Roman" w:hAnsi="Times New Roman"/>
          <w:sz w:val="20"/>
          <w:szCs w:val="20"/>
          <w:color w:val="FF0000"/>
          <w:strike w:val="1"/>
        </w:rPr>
        <w:t>London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applicable offshore</w:t>
      </w:r>
      <w:r>
        <w:rPr>
          <w:rFonts w:ascii="Times New Roman" w:cs="Times New Roman" w:eastAsia="Times New Roman" w:hAnsi="Times New Roman"/>
          <w:sz w:val="20"/>
          <w:szCs w:val="20"/>
          <w:color w:val="auto"/>
        </w:rPr>
        <w:t xml:space="preserve"> interbank market </w:t>
      </w:r>
      <w:r>
        <w:rPr>
          <w:rFonts w:ascii="Times New Roman" w:cs="Times New Roman" w:eastAsia="Times New Roman" w:hAnsi="Times New Roman"/>
          <w:sz w:val="20"/>
          <w:szCs w:val="20"/>
          <w:u w:val="single" w:color="auto"/>
          <w:color w:val="0000FF"/>
        </w:rPr>
        <w:t>for the applicable Agreed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Currency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any other condition, cost or expense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(other than Taxes)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affecting this Agreement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made by such Lender or any Letter of Credit or participation therein;</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and the result of any of the foregoing shall be to increase the cost to such Lender of making, converting to, continuing or maintaining any Loan the interest on which is determined by reference to the </w:t>
      </w:r>
      <w:r>
        <w:rPr>
          <w:rFonts w:ascii="Times New Roman" w:cs="Times New Roman" w:eastAsia="Times New Roman" w:hAnsi="Times New Roman"/>
          <w:sz w:val="20"/>
          <w:szCs w:val="20"/>
          <w:color w:val="FF0000"/>
          <w:strike w:val="1"/>
        </w:rPr>
        <w:t>Eurocurrency Base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auto"/>
        </w:rPr>
        <w:t xml:space="preserve">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within thirty days after receipt of the request of such Lender or the L/C Issuer (accompanied by a certificate as contemplated by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the Borrowers will pay to such Lender or the L/C Issuer, as the case may be, such additional amount or amounts as will compensate such Lender or the L/C Issuer, as the case may be, for such additional costs incurred or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13" w:right="339" w:bottom="1440" w:gutter="0" w:footer="0" w:header="0"/>
        </w:sectPr>
      </w:pPr>
    </w:p>
    <w:bookmarkStart w:id="105" w:name="page106"/>
    <w:bookmarkEnd w:id="105"/>
    <w:p>
      <w:pPr>
        <w:jc w:val="both"/>
        <w:ind w:firstLine="656"/>
        <w:spacing w:after="0" w:line="250" w:lineRule="auto"/>
        <w:tabs>
          <w:tab w:leader="none" w:pos="111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xml:space="preserve">. If any Lender or the L/C Issuer determines that any Change in Law affecting such Lender or the L/C Issuer or any Lending Office of such Lender or such Lender’s or the L/C Issuer’s holding company, if any, regarding capital or liquidity requirements has had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Borrowers will pay to such Lender or the L/C Issuer, as the case may be, within thirty days after receipt of the request of such Lender or the L/C Issuer (accompanied by a certificate as contemplated by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such additional amount or amounts as will compensate such Lender or the L/C Issuer or such Lender’s or the L/C Issuer’s holding company for any such reduction suffered.</w:t>
      </w:r>
    </w:p>
    <w:p>
      <w:pPr>
        <w:spacing w:after="0" w:line="199" w:lineRule="exact"/>
        <w:rPr>
          <w:rFonts w:ascii="Times New Roman" w:cs="Times New Roman" w:eastAsia="Times New Roman" w:hAnsi="Times New Roman"/>
          <w:sz w:val="20"/>
          <w:szCs w:val="20"/>
          <w:color w:val="auto"/>
        </w:rPr>
      </w:pPr>
    </w:p>
    <w:p>
      <w:pPr>
        <w:jc w:val="both"/>
        <w:ind w:firstLine="656"/>
        <w:spacing w:after="0" w:line="251" w:lineRule="auto"/>
        <w:tabs>
          <w:tab w:leader="none" w:pos="115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shall not be required to compensate a Lender or the L/C Issuer pursuant to the foregoing provisions of this Section for any increased costs incurred or reductions suffered more than 120 days prior to the date that such Lender or the L/C Issuer, as the case may be, demands compensation pursuant to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in respect of the Change in Law giving rise to such increased costs or reductions (except that, if the Change in Law giving rise to such increased costs or reductions is retroactive, then the 120 day period referred to above shall be extended to include the period of retroactive effect thereof).</w:t>
      </w:r>
    </w:p>
    <w:p>
      <w:pPr>
        <w:spacing w:after="0" w:line="192" w:lineRule="exact"/>
        <w:rPr>
          <w:rFonts w:ascii="Times New Roman" w:cs="Times New Roman" w:eastAsia="Times New Roman" w:hAnsi="Times New Roman"/>
          <w:sz w:val="20"/>
          <w:szCs w:val="20"/>
          <w:color w:val="auto"/>
        </w:rPr>
      </w:pPr>
    </w:p>
    <w:p>
      <w:pPr>
        <w:ind w:firstLine="656"/>
        <w:spacing w:after="0" w:line="269" w:lineRule="auto"/>
        <w:tabs>
          <w:tab w:leader="none" w:pos="105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A Lender shall not be entitled to any compensation pursuant to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to the extent such Lender is not generally imposing such charges or requesting such compensation from other similarly situated borrowers under similar circumstances.</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3.05</w:t>
      </w:r>
      <w:r>
        <w:rPr>
          <w:sz w:val="20"/>
          <w:szCs w:val="20"/>
          <w:color w:val="auto"/>
        </w:rPr>
        <w:tab/>
      </w:r>
      <w:r>
        <w:rPr>
          <w:rFonts w:ascii="Times New Roman" w:cs="Times New Roman" w:eastAsia="Times New Roman" w:hAnsi="Times New Roman"/>
          <w:sz w:val="19"/>
          <w:szCs w:val="19"/>
          <w:u w:val="single" w:color="auto"/>
          <w:color w:val="auto"/>
        </w:rPr>
        <w:t>Compensation for Losses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Within 30 days after written demand of any Lender (with a copy to the Administrative Agent) from time to time, the Borrowers shall compensate such Lender for and hold such Lender harmless from any loss, cost or expense incurred by it as a result of:</w:t>
      </w:r>
    </w:p>
    <w:p>
      <w:pPr>
        <w:spacing w:after="0" w:line="160" w:lineRule="exact"/>
        <w:rPr>
          <w:sz w:val="20"/>
          <w:szCs w:val="20"/>
          <w:color w:val="auto"/>
        </w:rPr>
      </w:pPr>
    </w:p>
    <w:p>
      <w:pPr>
        <w:ind w:firstLine="656"/>
        <w:spacing w:after="0" w:line="269" w:lineRule="auto"/>
        <w:tabs>
          <w:tab w:leader="none" w:pos="106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Borrower (for a reason other than the failure of such Lender to make a Loan) to prepay, borrow, continue or convert any Loan other than a Base Rate Loan on the date or in the amount notified by such Borrower </w:t>
      </w:r>
      <w:r>
        <w:rPr>
          <w:rFonts w:ascii="Times New Roman" w:cs="Times New Roman" w:eastAsia="Times New Roman" w:hAnsi="Times New Roman"/>
          <w:sz w:val="20"/>
          <w:szCs w:val="20"/>
          <w:color w:val="0000FF"/>
        </w:rPr>
        <w:t>(and not revoked in accordance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terms hereof)</w:t>
      </w:r>
      <w:r>
        <w:rPr>
          <w:rFonts w:ascii="Times New Roman" w:cs="Times New Roman" w:eastAsia="Times New Roman" w:hAnsi="Times New Roman"/>
          <w:sz w:val="20"/>
          <w:szCs w:val="20"/>
          <w:color w:val="000000"/>
        </w:rPr>
        <w:t>;</w:t>
      </w:r>
    </w:p>
    <w:p>
      <w:pPr>
        <w:spacing w:after="0" w:line="181" w:lineRule="exact"/>
        <w:rPr>
          <w:rFonts w:ascii="Times New Roman" w:cs="Times New Roman" w:eastAsia="Times New Roman" w:hAnsi="Times New Roman"/>
          <w:sz w:val="20"/>
          <w:szCs w:val="20"/>
          <w:color w:val="auto"/>
        </w:rPr>
      </w:pPr>
    </w:p>
    <w:p>
      <w:pPr>
        <w:ind w:right="20" w:firstLine="656"/>
        <w:spacing w:after="0" w:line="269" w:lineRule="auto"/>
        <w:tabs>
          <w:tab w:leader="none" w:pos="115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Borrower to make payment of any Loan or drawing under any Letter of Credit (or interest due thereon) denominated in an Alternative Currency on its scheduled due date or any payment thereof in a different currency; or</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05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 on a day other than the last day of the Interest Period therefor as a result of a request by the Company pursuant to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5233035</wp:posOffset>
            </wp:positionH>
            <wp:positionV relativeFrom="paragraph">
              <wp:posOffset>-1075055</wp:posOffset>
            </wp:positionV>
            <wp:extent cx="18973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97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13" w:right="339" w:bottom="1440" w:gutter="0" w:footer="0" w:header="0"/>
        </w:sectPr>
      </w:pPr>
    </w:p>
    <w:bookmarkStart w:id="106" w:name="page107"/>
    <w:bookmarkEnd w:id="106"/>
    <w:p>
      <w:pPr>
        <w:jc w:val="both"/>
        <w:spacing w:after="0" w:line="258" w:lineRule="auto"/>
        <w:rPr>
          <w:sz w:val="20"/>
          <w:szCs w:val="20"/>
          <w:color w:val="auto"/>
        </w:rPr>
      </w:pPr>
      <w:r>
        <w:rPr>
          <w:rFonts w:ascii="Times New Roman" w:cs="Times New Roman" w:eastAsia="Times New Roman" w:hAnsi="Times New Roman"/>
          <w:sz w:val="20"/>
          <w:szCs w:val="20"/>
          <w:color w:val="auto"/>
        </w:rPr>
        <w:t>including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and excluding any loss of anticipated profits. The Borrowers shall also pay any customary administrative fees charged by such Lender in connection with the foregoing.</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Borrowers to the Lenders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each Lender shall be deemed to have funded each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 made by it at the </w:t>
      </w:r>
      <w:r>
        <w:rPr>
          <w:rFonts w:ascii="Times New Roman" w:cs="Times New Roman" w:eastAsia="Times New Roman" w:hAnsi="Times New Roman"/>
          <w:sz w:val="20"/>
          <w:szCs w:val="20"/>
          <w:color w:val="FF0000"/>
          <w:strike w:val="1"/>
        </w:rPr>
        <w:t>Eurocurrency Base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auto"/>
        </w:rPr>
        <w:t xml:space="preserve"> Rate used in determining the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for such Loan by a matching deposit or other borrowing in the offshore interbank market for such currency for 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comparable amount and for a comparable period, whether or not such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 was in fact so funded.</w:t>
      </w:r>
    </w:p>
    <w:p>
      <w:pPr>
        <w:spacing w:after="0" w:line="1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3.06</w:t>
      </w:r>
      <w:r>
        <w:rPr>
          <w:sz w:val="20"/>
          <w:szCs w:val="20"/>
          <w:color w:val="auto"/>
        </w:rPr>
        <w:tab/>
      </w:r>
      <w:r>
        <w:rPr>
          <w:rFonts w:ascii="Times New Roman" w:cs="Times New Roman" w:eastAsia="Times New Roman" w:hAnsi="Times New Roman"/>
          <w:sz w:val="19"/>
          <w:szCs w:val="19"/>
          <w:u w:val="single" w:color="auto"/>
          <w:color w:val="auto"/>
        </w:rPr>
        <w:t>Matters Applicable to all Requests for Compensation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69" w:lineRule="auto"/>
        <w:tabs>
          <w:tab w:leader="none" w:pos="1048"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of the Administrative Agent, any Lender or the L/C Issuer claiming compensation under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and setting forth, in reasonable detail, the basis of any loss, cost or expense and the additional amount or amounts to be paid to it hereunder shall be conclusive in the absence of demonstrable error. In determining such amount, the Administrative Agent, such Lender or the L/C Issuer (i) may use reasonable averaging and attribution methods and (ii) shall act in good faith (and not on an arbitrary or capricious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none of the Administrative Agent, such Lender or the L/C Issuer, as applicable, shall be required to disclose any confidential or proprietary information in connection therewith. Any claim for compensation under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must be accompanied by such certificate.</w:t>
      </w:r>
    </w:p>
    <w:p>
      <w:pPr>
        <w:spacing w:after="0" w:line="177" w:lineRule="exact"/>
        <w:rPr>
          <w:rFonts w:ascii="Times New Roman" w:cs="Times New Roman" w:eastAsia="Times New Roman" w:hAnsi="Times New Roman"/>
          <w:sz w:val="19"/>
          <w:szCs w:val="19"/>
          <w:color w:val="auto"/>
        </w:rPr>
      </w:pPr>
    </w:p>
    <w:p>
      <w:pPr>
        <w:jc w:val="both"/>
        <w:ind w:firstLine="656"/>
        <w:spacing w:after="0" w:line="249" w:lineRule="auto"/>
        <w:tabs>
          <w:tab w:leader="none" w:pos="113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may make any Credit Extension to a Borrower through any Lending Office, provided that the exercise of this option shall not affect the obligation of such Borrower to repay the Credit Extension in accordance with the terms of this Agreement. If any Lender or the L/C Issuer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any Borrower is required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at the request of the Company,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Borrowers hereby agree to pay all reasonable costs and expenses incurred by any Lender or the L/C Issuer in connection with any such designation or assignment.</w:t>
      </w:r>
    </w:p>
    <w:p>
      <w:pPr>
        <w:spacing w:after="0" w:line="201" w:lineRule="exact"/>
        <w:rPr>
          <w:rFonts w:ascii="Times New Roman" w:cs="Times New Roman" w:eastAsia="Times New Roman" w:hAnsi="Times New Roman"/>
          <w:sz w:val="20"/>
          <w:szCs w:val="20"/>
          <w:color w:val="auto"/>
        </w:rPr>
      </w:pPr>
    </w:p>
    <w:p>
      <w:pPr>
        <w:ind w:right="20" w:firstLine="656"/>
        <w:spacing w:after="0" w:line="283" w:lineRule="auto"/>
        <w:tabs>
          <w:tab w:leader="none" w:pos="104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Lender’s making a claim for compensation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or giving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 Company may replace such Lender in accordance with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FF0000"/>
          <w:strike w:val="1"/>
        </w:rPr>
        <w:t>3.07</w:t>
      </w:r>
      <w:r>
        <w:rPr>
          <w:sz w:val="20"/>
          <w:szCs w:val="20"/>
          <w:color w:val="auto"/>
        </w:rPr>
        <w:tab/>
      </w:r>
      <w:r>
        <w:rPr>
          <w:rFonts w:ascii="Times New Roman" w:cs="Times New Roman" w:eastAsia="Times New Roman" w:hAnsi="Times New Roman"/>
          <w:sz w:val="19"/>
          <w:szCs w:val="19"/>
          <w:u w:val="single" w:color="auto"/>
          <w:color w:val="FF0000"/>
          <w:strike w:val="1"/>
        </w:rPr>
        <w:t>Effect of Benchmark Transition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13" w:right="339" w:bottom="1440" w:gutter="0" w:footer="0" w:header="0"/>
        </w:sectPr>
      </w:pPr>
    </w:p>
    <w:bookmarkStart w:id="107" w:name="page108"/>
    <w:bookmarkEnd w:id="107"/>
    <w:p>
      <w:pPr>
        <w:spacing w:after="0"/>
        <w:tabs>
          <w:tab w:leader="none" w:pos="520" w:val="left"/>
        </w:tabs>
        <w:rPr>
          <w:sz w:val="20"/>
          <w:szCs w:val="20"/>
          <w:color w:val="auto"/>
        </w:rPr>
      </w:pPr>
      <w:r>
        <w:rPr>
          <w:rFonts w:ascii="Times New Roman" w:cs="Times New Roman" w:eastAsia="Times New Roman" w:hAnsi="Times New Roman"/>
          <w:sz w:val="20"/>
          <w:szCs w:val="20"/>
          <w:u w:val="single" w:color="auto"/>
          <w:color w:val="0000FF"/>
        </w:rPr>
        <w:t>3.07</w:t>
      </w:r>
      <w:r>
        <w:rPr>
          <w:sz w:val="20"/>
          <w:szCs w:val="20"/>
          <w:color w:val="auto"/>
        </w:rPr>
        <w:tab/>
      </w:r>
      <w:r>
        <w:rPr>
          <w:rFonts w:ascii="Times New Roman" w:cs="Times New Roman" w:eastAsia="Times New Roman" w:hAnsi="Times New Roman"/>
          <w:sz w:val="19"/>
          <w:szCs w:val="19"/>
          <w:u w:val="single" w:color="auto"/>
          <w:color w:val="0000FF"/>
        </w:rPr>
        <w:t>Alternate Rate of Interest.</w:t>
      </w:r>
    </w:p>
    <w:p>
      <w:pPr>
        <w:spacing w:after="0" w:line="229" w:lineRule="exact"/>
        <w:rPr>
          <w:sz w:val="20"/>
          <w:szCs w:val="20"/>
          <w:color w:val="auto"/>
        </w:rPr>
      </w:pPr>
    </w:p>
    <w:p>
      <w:pPr>
        <w:ind w:left="1340" w:hanging="684"/>
        <w:spacing w:after="0"/>
        <w:tabs>
          <w:tab w:leader="none" w:pos="1340" w:val="left"/>
        </w:tabs>
        <w:numPr>
          <w:ilvl w:val="0"/>
          <w:numId w:val="10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Subject to clauses (b), (c), (d), (e) and (f) of this Section 3.07:</w:t>
      </w:r>
    </w:p>
    <w:p>
      <w:pPr>
        <w:spacing w:after="0" w:line="215" w:lineRule="exact"/>
        <w:rPr>
          <w:rFonts w:ascii="Times New Roman" w:cs="Times New Roman" w:eastAsia="Times New Roman" w:hAnsi="Times New Roman"/>
          <w:sz w:val="20"/>
          <w:szCs w:val="20"/>
          <w:u w:val="single" w:color="auto"/>
          <w:color w:val="0000FF"/>
        </w:rPr>
      </w:pPr>
    </w:p>
    <w:p>
      <w:pPr>
        <w:jc w:val="both"/>
        <w:ind w:left="660" w:firstLine="644"/>
        <w:spacing w:after="0" w:line="257" w:lineRule="auto"/>
        <w:tabs>
          <w:tab w:leader="none" w:pos="1954" w:val="left"/>
        </w:tabs>
        <w:numPr>
          <w:ilvl w:val="1"/>
          <w:numId w:val="10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if the Administrative Agent determines (which determination shall be conclusive absent demonstrable error) (A) prior to the commencement of any Interest Period for a Term Benchmark Borrowing, that adequate and reasonable means do not exist for ascertaining any Relevant Rate (including </w:t>
      </w:r>
      <w:r>
        <w:rPr>
          <w:rFonts w:ascii="Times New Roman" w:cs="Times New Roman" w:eastAsia="Times New Roman" w:hAnsi="Times New Roman"/>
          <w:sz w:val="20"/>
          <w:szCs w:val="20"/>
          <w:u w:val="single" w:color="auto"/>
          <w:color w:val="008000"/>
        </w:rPr>
        <w:t>because the Relevant Screen Rate is not available or published on a current basis),</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for </w:t>
      </w:r>
      <w:r>
        <w:rPr>
          <w:rFonts w:ascii="Times New Roman" w:cs="Times New Roman" w:eastAsia="Times New Roman" w:hAnsi="Times New Roman"/>
          <w:sz w:val="20"/>
          <w:szCs w:val="20"/>
          <w:u w:val="single" w:color="auto"/>
          <w:color w:val="0000FF"/>
        </w:rPr>
        <w:t>the applicable Agreed Currency and such Interest Period or (B) at any time,</w:t>
      </w:r>
      <w:r>
        <w:rPr>
          <w:rFonts w:ascii="Times New Roman" w:cs="Times New Roman" w:eastAsia="Times New Roman" w:hAnsi="Times New Roman"/>
          <w:sz w:val="20"/>
          <w:szCs w:val="20"/>
          <w:u w:val="single" w:color="auto"/>
          <w:color w:val="008000"/>
        </w:rPr>
        <w:t xml:space="preserve"> that adequate and reasonable means do not exist for ascertaining the </w:t>
      </w:r>
      <w:r>
        <w:rPr>
          <w:rFonts w:ascii="Times New Roman" w:cs="Times New Roman" w:eastAsia="Times New Roman" w:hAnsi="Times New Roman"/>
          <w:sz w:val="20"/>
          <w:szCs w:val="20"/>
          <w:u w:val="single" w:color="auto"/>
          <w:color w:val="0000FF"/>
        </w:rPr>
        <w:t>applicable Daily Simple SONIA or RFR for the applicable Agreed Currency; or</w:t>
      </w:r>
    </w:p>
    <w:p>
      <w:pPr>
        <w:spacing w:after="0" w:line="172" w:lineRule="exact"/>
        <w:rPr>
          <w:rFonts w:ascii="Times New Roman" w:cs="Times New Roman" w:eastAsia="Times New Roman" w:hAnsi="Times New Roman"/>
          <w:sz w:val="20"/>
          <w:szCs w:val="20"/>
          <w:u w:val="single" w:color="auto"/>
          <w:color w:val="0000FF"/>
        </w:rPr>
      </w:pPr>
    </w:p>
    <w:p>
      <w:pPr>
        <w:jc w:val="both"/>
        <w:ind w:left="660" w:firstLine="644"/>
        <w:spacing w:after="0" w:line="253" w:lineRule="auto"/>
        <w:tabs>
          <w:tab w:leader="none" w:pos="2011" w:val="left"/>
        </w:tabs>
        <w:numPr>
          <w:ilvl w:val="1"/>
          <w:numId w:val="10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0000FF"/>
        </w:rPr>
        <w:t xml:space="preserve">if </w:t>
      </w:r>
      <w:r>
        <w:rPr>
          <w:rFonts w:ascii="Times New Roman" w:cs="Times New Roman" w:eastAsia="Times New Roman" w:hAnsi="Times New Roman"/>
          <w:sz w:val="20"/>
          <w:szCs w:val="20"/>
          <w:u w:val="single" w:color="auto"/>
          <w:color w:val="008000"/>
        </w:rPr>
        <w:t>the Administrative Agent is advised by the Required Lenders that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 prior to the commencement of any Interest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 xml:space="preserve">Period for a Term Benchmark Borrowing, the Relevant Rate for the applicable Agreed Currency and such </w:t>
      </w:r>
      <w:r>
        <w:rPr>
          <w:rFonts w:ascii="Times New Roman" w:cs="Times New Roman" w:eastAsia="Times New Roman" w:hAnsi="Times New Roman"/>
          <w:sz w:val="20"/>
          <w:szCs w:val="20"/>
          <w:u w:val="single" w:color="auto"/>
          <w:color w:val="008000"/>
        </w:rPr>
        <w:t>Interest Period will not</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adequately and fairly reflect the cost to such Lenders (or Lender) of making or maintaining their Loans (or its Loan) included in such Borrowing for the applicable </w:t>
      </w:r>
      <w:r>
        <w:rPr>
          <w:rFonts w:ascii="Times New Roman" w:cs="Times New Roman" w:eastAsia="Times New Roman" w:hAnsi="Times New Roman"/>
          <w:sz w:val="20"/>
          <w:szCs w:val="20"/>
          <w:u w:val="single" w:color="auto"/>
          <w:color w:val="0000FF"/>
        </w:rPr>
        <w:t>Agreed Currency and such Interest Period or (B) at any time, the applicable Daily Simple SONIA or</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RFR for the applicable Agreed Currency will not adequately and fairly reflect the cost to such Lenders (or Lender) of making or maintaining their Loans (or its Loan) included in such Borrowing for the applicable Agreed Currency,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-788670</wp:posOffset>
            </wp:positionV>
            <wp:extent cx="1479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7955" cy="8890"/>
                    </a:xfrm>
                    <a:prstGeom prst="rect">
                      <a:avLst/>
                    </a:prstGeom>
                    <a:noFill/>
                  </pic:spPr>
                </pic:pic>
              </a:graphicData>
            </a:graphic>
          </wp:anchor>
        </w:drawing>
      </w:r>
    </w:p>
    <w:p>
      <w:pPr>
        <w:spacing w:after="0" w:line="172"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u w:val="single" w:color="auto"/>
          <w:color w:val="008000"/>
        </w:rPr>
        <w:t xml:space="preserve">then the Administrative Agent shall give notice </w:t>
      </w:r>
      <w:r>
        <w:rPr>
          <w:rFonts w:ascii="Times New Roman" w:cs="Times New Roman" w:eastAsia="Times New Roman" w:hAnsi="Times New Roman"/>
          <w:sz w:val="20"/>
          <w:szCs w:val="20"/>
          <w:u w:val="single" w:color="auto"/>
          <w:color w:val="0000FF"/>
        </w:rPr>
        <w:t>thereof</w:t>
      </w:r>
      <w:r>
        <w:rPr>
          <w:rFonts w:ascii="Times New Roman" w:cs="Times New Roman" w:eastAsia="Times New Roman" w:hAnsi="Times New Roman"/>
          <w:sz w:val="20"/>
          <w:szCs w:val="20"/>
          <w:u w:val="single" w:color="auto"/>
          <w:color w:val="008000"/>
        </w:rPr>
        <w:t xml:space="preserve"> to the Company and the Lenders </w:t>
      </w:r>
      <w:r>
        <w:rPr>
          <w:rFonts w:ascii="Times New Roman" w:cs="Times New Roman" w:eastAsia="Times New Roman" w:hAnsi="Times New Roman"/>
          <w:sz w:val="20"/>
          <w:szCs w:val="20"/>
          <w:u w:val="single" w:color="auto"/>
          <w:color w:val="0000FF"/>
        </w:rPr>
        <w:t>by telephone, telecopy or electronic mail</w:t>
      </w:r>
      <w:r>
        <w:rPr>
          <w:rFonts w:ascii="Times New Roman" w:cs="Times New Roman" w:eastAsia="Times New Roman" w:hAnsi="Times New Roman"/>
          <w:sz w:val="20"/>
          <w:szCs w:val="20"/>
          <w:u w:val="single" w:color="auto"/>
          <w:color w:val="008000"/>
        </w:rPr>
        <w:t xml:space="preserve"> as promptly as practicable thereafter and, until the Administrative Agent notifies the Company and the Lenders that the circumstances giving rise to such notice no longer exist </w:t>
      </w:r>
      <w:r>
        <w:rPr>
          <w:rFonts w:ascii="Times New Roman" w:cs="Times New Roman" w:eastAsia="Times New Roman" w:hAnsi="Times New Roman"/>
          <w:sz w:val="20"/>
          <w:szCs w:val="20"/>
          <w:u w:val="single" w:color="auto"/>
          <w:color w:val="0000FF"/>
        </w:rPr>
        <w:t>with respect to the relevant Benchmark (which notice shall be given by the Administrative</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Agent promptly after such circumstances cease to exist), (A</w:t>
      </w:r>
      <w:r>
        <w:rPr>
          <w:rFonts w:ascii="Times New Roman" w:cs="Times New Roman" w:eastAsia="Times New Roman" w:hAnsi="Times New Roman"/>
          <w:sz w:val="20"/>
          <w:szCs w:val="20"/>
          <w:u w:val="single" w:color="auto"/>
          <w:color w:val="008000"/>
        </w:rPr>
        <w:t>) any Loan Notice that requests the conversion of any Borrowing to, or</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continuation of any Borrowing as, a </w:t>
      </w:r>
      <w:r>
        <w:rPr>
          <w:rFonts w:ascii="Times New Roman" w:cs="Times New Roman" w:eastAsia="Times New Roman" w:hAnsi="Times New Roman"/>
          <w:sz w:val="20"/>
          <w:szCs w:val="20"/>
          <w:u w:val="single" w:color="auto"/>
          <w:color w:val="0000FF"/>
        </w:rPr>
        <w:t>Term Benchmark Borrowing shall be ineffective, (B</w:t>
      </w:r>
      <w:r>
        <w:rPr>
          <w:rFonts w:ascii="Times New Roman" w:cs="Times New Roman" w:eastAsia="Times New Roman" w:hAnsi="Times New Roman"/>
          <w:sz w:val="20"/>
          <w:szCs w:val="20"/>
          <w:u w:val="single" w:color="auto"/>
          <w:color w:val="008000"/>
        </w:rPr>
        <w:t xml:space="preserve">) if any Loan Notice requests a </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 xml:space="preserve">Benchmark </w:t>
      </w:r>
      <w:r>
        <w:rPr>
          <w:rFonts w:ascii="Times New Roman" w:cs="Times New Roman" w:eastAsia="Times New Roman" w:hAnsi="Times New Roman"/>
          <w:sz w:val="20"/>
          <w:szCs w:val="20"/>
          <w:u w:val="single" w:color="auto"/>
          <w:color w:val="008000"/>
        </w:rPr>
        <w:t>Borrowing in Dollars, such Borrowing shall be made as a Base Rate Loan and (</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u w:val="single" w:color="auto"/>
          <w:color w:val="008000"/>
        </w:rPr>
        <w:t>) if any Loan Notice requests a</w:t>
      </w:r>
      <w:r>
        <w:rPr>
          <w:rFonts w:ascii="Times New Roman" w:cs="Times New Roman" w:eastAsia="Times New Roman" w:hAnsi="Times New Roman"/>
          <w:sz w:val="20"/>
          <w:szCs w:val="20"/>
          <w:u w:val="single" w:color="auto"/>
          <w:color w:val="0000FF"/>
        </w:rPr>
        <w:t xml:space="preserve"> Term Benchmark </w:t>
      </w:r>
      <w:r>
        <w:rPr>
          <w:rFonts w:ascii="Times New Roman" w:cs="Times New Roman" w:eastAsia="Times New Roman" w:hAnsi="Times New Roman"/>
          <w:sz w:val="20"/>
          <w:szCs w:val="20"/>
          <w:u w:val="single" w:color="auto"/>
          <w:color w:val="008000"/>
        </w:rPr>
        <w:t>Borrowing or an RFR Borrowing for the relevant rate above in an</w:t>
      </w:r>
      <w:r>
        <w:rPr>
          <w:rFonts w:ascii="Times New Roman" w:cs="Times New Roman" w:eastAsia="Times New Roman" w:hAnsi="Times New Roman"/>
          <w:sz w:val="20"/>
          <w:szCs w:val="20"/>
          <w:u w:val="single" w:color="auto"/>
          <w:color w:val="0000FF"/>
        </w:rPr>
        <w:t xml:space="preserve"> Applicable </w:t>
      </w:r>
      <w:r>
        <w:rPr>
          <w:rFonts w:ascii="Times New Roman" w:cs="Times New Roman" w:eastAsia="Times New Roman" w:hAnsi="Times New Roman"/>
          <w:sz w:val="20"/>
          <w:szCs w:val="20"/>
          <w:u w:val="single" w:color="auto"/>
          <w:color w:val="008000"/>
        </w:rPr>
        <w:t>Currency, then such request shall be</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ineffective; provided that if the circumstances giving rise to such notice affect only one Type of Borrowing, then </w:t>
      </w:r>
      <w:r>
        <w:rPr>
          <w:rFonts w:ascii="Times New Roman" w:cs="Times New Roman" w:eastAsia="Times New Roman" w:hAnsi="Times New Roman"/>
          <w:sz w:val="20"/>
          <w:szCs w:val="20"/>
          <w:u w:val="single" w:color="auto"/>
          <w:color w:val="0000FF"/>
        </w:rPr>
        <w:t>all other Types</w:t>
      </w:r>
      <w:r>
        <w:rPr>
          <w:rFonts w:ascii="Times New Roman" w:cs="Times New Roman" w:eastAsia="Times New Roman" w:hAnsi="Times New Roman"/>
          <w:sz w:val="20"/>
          <w:szCs w:val="20"/>
          <w:u w:val="single" w:color="auto"/>
          <w:color w:val="008000"/>
        </w:rPr>
        <w:t xml:space="preserve"> of Borrowings shall be permitted. Furthermore, if any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u w:val="single" w:color="auto"/>
          <w:color w:val="008000"/>
        </w:rPr>
        <w:t xml:space="preserve"> Loan or RFR Loan in any Agreed Currency is outstanding on the date of the Company’s receipt of the notice from the Administrative Agent referred to in this Section </w:t>
      </w:r>
      <w:r>
        <w:rPr>
          <w:rFonts w:ascii="Times New Roman" w:cs="Times New Roman" w:eastAsia="Times New Roman" w:hAnsi="Times New Roman"/>
          <w:sz w:val="20"/>
          <w:szCs w:val="20"/>
          <w:u w:val="single" w:color="auto"/>
          <w:color w:val="0000FF"/>
        </w:rPr>
        <w:t>3.07 (a)</w:t>
      </w:r>
      <w:r>
        <w:rPr>
          <w:rFonts w:ascii="Times New Roman" w:cs="Times New Roman" w:eastAsia="Times New Roman" w:hAnsi="Times New Roman"/>
          <w:sz w:val="20"/>
          <w:szCs w:val="20"/>
          <w:u w:val="single" w:color="auto"/>
          <w:color w:val="008000"/>
        </w:rPr>
        <w:t xml:space="preserve"> with respect to a Relevant Rate applicable to such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u w:val="single" w:color="auto"/>
          <w:color w:val="008000"/>
        </w:rPr>
        <w:t xml:space="preserve"> Loan or RFR Loan, then until the Administrative Agent notifies the Company and the Lenders that the circumstances giving rise to such notice no longer exist </w:t>
      </w:r>
      <w:r>
        <w:rPr>
          <w:rFonts w:ascii="Times New Roman" w:cs="Times New Roman" w:eastAsia="Times New Roman" w:hAnsi="Times New Roman"/>
          <w:sz w:val="20"/>
          <w:szCs w:val="20"/>
          <w:u w:val="single" w:color="auto"/>
          <w:color w:val="0000FF"/>
        </w:rPr>
        <w:t>with respect to the relevant Benchmark (which notice</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 xml:space="preserve">shall be given by the Administrative Agent </w:t>
      </w:r>
      <w:r>
        <w:rPr>
          <w:rFonts w:ascii="Times New Roman" w:cs="Times New Roman" w:eastAsia="Times New Roman" w:hAnsi="Times New Roman"/>
          <w:sz w:val="20"/>
          <w:szCs w:val="20"/>
          <w:u w:val="single" w:color="auto"/>
          <w:color w:val="008000"/>
        </w:rPr>
        <w:t>promptly after such circumstances cease to exist), (</w:t>
      </w:r>
      <w:r>
        <w:rPr>
          <w:rFonts w:ascii="Times New Roman" w:cs="Times New Roman" w:eastAsia="Times New Roman" w:hAnsi="Times New Roman"/>
          <w:sz w:val="20"/>
          <w:szCs w:val="20"/>
          <w:u w:val="single" w:color="auto"/>
          <w:color w:val="0000FF"/>
        </w:rPr>
        <w:t xml:space="preserve">i) if such Term Benchmark </w:t>
      </w:r>
      <w:r>
        <w:rPr>
          <w:rFonts w:ascii="Times New Roman" w:cs="Times New Roman" w:eastAsia="Times New Roman" w:hAnsi="Times New Roman"/>
          <w:sz w:val="20"/>
          <w:szCs w:val="20"/>
          <w:u w:val="single" w:color="auto"/>
          <w:color w:val="008000"/>
        </w:rPr>
        <w:t>Loan is</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denominated in Dollars, then on the last day of the Interest Period applicable to such Loan (or the next succeeding Business Day if such day is not a Business Day), such Loan shall be converted by the Administrative Agent to, and shall constitute, a Base Rate Loan denominated in Dollars on such day, (</w:t>
      </w:r>
      <w:r>
        <w:rPr>
          <w:rFonts w:ascii="Times New Roman" w:cs="Times New Roman" w:eastAsia="Times New Roman" w:hAnsi="Times New Roman"/>
          <w:sz w:val="20"/>
          <w:szCs w:val="20"/>
          <w:u w:val="single" w:color="auto"/>
          <w:color w:val="0000FF"/>
        </w:rPr>
        <w:t>ii) if such Term Benchmark Loan is denominated in any</w:t>
      </w:r>
      <w:r>
        <w:rPr>
          <w:rFonts w:ascii="Times New Roman" w:cs="Times New Roman" w:eastAsia="Times New Roman" w:hAnsi="Times New Roman"/>
          <w:sz w:val="20"/>
          <w:szCs w:val="20"/>
          <w:u w:val="single" w:color="auto"/>
          <w:color w:val="008000"/>
        </w:rPr>
        <w:t xml:space="preserve"> Alternative Currency, then such Loan shall, on the last day of the Interest Period applicable to such Loan (or the next succeeding Business Day if such day is not a Business Day) bear interest at the Central Bank Rate for the applicable </w:t>
      </w:r>
      <w:r>
        <w:rPr>
          <w:rFonts w:ascii="Times New Roman" w:cs="Times New Roman" w:eastAsia="Times New Roman" w:hAnsi="Times New Roman"/>
          <w:sz w:val="20"/>
          <w:szCs w:val="20"/>
          <w:u w:val="single" w:color="auto"/>
          <w:color w:val="0000FF"/>
        </w:rPr>
        <w:t>Agreed</w:t>
      </w:r>
      <w:r>
        <w:rPr>
          <w:rFonts w:ascii="Times New Roman" w:cs="Times New Roman" w:eastAsia="Times New Roman" w:hAnsi="Times New Roman"/>
          <w:sz w:val="20"/>
          <w:szCs w:val="20"/>
          <w:u w:val="single" w:color="auto"/>
          <w:color w:val="008000"/>
        </w:rPr>
        <w:t xml:space="preserve"> Currency plus the Applicable Rate; provided that, if the Administrative Agent determines reasonably and in good faith (which determination shall be conclusive and binding absent demonstrable error) that the Central Bank Rate for the applicable </w:t>
      </w:r>
      <w:r>
        <w:rPr>
          <w:rFonts w:ascii="Times New Roman" w:cs="Times New Roman" w:eastAsia="Times New Roman" w:hAnsi="Times New Roman"/>
          <w:sz w:val="20"/>
          <w:szCs w:val="20"/>
          <w:u w:val="single" w:color="auto"/>
          <w:color w:val="0000FF"/>
        </w:rPr>
        <w:t>Agreed</w:t>
      </w:r>
      <w:r>
        <w:rPr>
          <w:rFonts w:ascii="Times New Roman" w:cs="Times New Roman" w:eastAsia="Times New Roman" w:hAnsi="Times New Roman"/>
          <w:sz w:val="20"/>
          <w:szCs w:val="20"/>
          <w:u w:val="single" w:color="auto"/>
          <w:color w:val="008000"/>
        </w:rPr>
        <w:t xml:space="preser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13" w:right="339" w:bottom="1440" w:gutter="0" w:footer="0" w:header="0"/>
        </w:sectPr>
      </w:pPr>
    </w:p>
    <w:bookmarkStart w:id="108" w:name="page109"/>
    <w:bookmarkEnd w:id="108"/>
    <w:p>
      <w:pPr>
        <w:jc w:val="both"/>
        <w:ind w:left="660"/>
        <w:spacing w:after="0" w:line="250" w:lineRule="auto"/>
        <w:rPr>
          <w:sz w:val="20"/>
          <w:szCs w:val="20"/>
          <w:color w:val="auto"/>
        </w:rPr>
      </w:pPr>
      <w:r>
        <w:rPr>
          <w:rFonts w:ascii="Times New Roman" w:cs="Times New Roman" w:eastAsia="Times New Roman" w:hAnsi="Times New Roman"/>
          <w:sz w:val="20"/>
          <w:szCs w:val="20"/>
          <w:u w:val="single" w:color="auto"/>
          <w:color w:val="008000"/>
        </w:rPr>
        <w:t xml:space="preserve">cannot be determined, any outstanding affected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u w:val="single" w:color="auto"/>
          <w:color w:val="008000"/>
        </w:rPr>
        <w:t xml:space="preserve"> Loans denominated in any Alternative Currency shall, at the Company’s election prior to such day: (A) be prepaid by the </w:t>
      </w:r>
      <w:r>
        <w:rPr>
          <w:rFonts w:ascii="Times New Roman" w:cs="Times New Roman" w:eastAsia="Times New Roman" w:hAnsi="Times New Roman"/>
          <w:sz w:val="20"/>
          <w:szCs w:val="20"/>
          <w:u w:val="single" w:color="auto"/>
          <w:color w:val="0000FF"/>
        </w:rPr>
        <w:t>applicable Borrower</w:t>
      </w:r>
      <w:r>
        <w:rPr>
          <w:rFonts w:ascii="Times New Roman" w:cs="Times New Roman" w:eastAsia="Times New Roman" w:hAnsi="Times New Roman"/>
          <w:sz w:val="20"/>
          <w:szCs w:val="20"/>
          <w:u w:val="single" w:color="auto"/>
          <w:color w:val="008000"/>
        </w:rPr>
        <w:t xml:space="preserve"> on such day or (B) solely for the purpose of calculating the interest rate applicable to such </w:t>
      </w:r>
      <w:r>
        <w:rPr>
          <w:rFonts w:ascii="Times New Roman" w:cs="Times New Roman" w:eastAsia="Times New Roman" w:hAnsi="Times New Roman"/>
          <w:sz w:val="20"/>
          <w:szCs w:val="20"/>
          <w:u w:val="single" w:color="auto"/>
          <w:color w:val="0000FF"/>
        </w:rPr>
        <w:t>Term Benchmark Loan, such Term Benchmark</w:t>
      </w:r>
      <w:r>
        <w:rPr>
          <w:rFonts w:ascii="Times New Roman" w:cs="Times New Roman" w:eastAsia="Times New Roman" w:hAnsi="Times New Roman"/>
          <w:sz w:val="20"/>
          <w:szCs w:val="20"/>
          <w:u w:val="single" w:color="auto"/>
          <w:color w:val="008000"/>
        </w:rPr>
        <w:t xml:space="preserve"> Loan denominated in any Alternative Currency shall be deemed to be a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u w:val="single" w:color="auto"/>
          <w:color w:val="008000"/>
        </w:rPr>
        <w:t xml:space="preserve"> Loan denominated in Dollars and shall accrue interest at the same interest rate applicable to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u w:val="single" w:color="auto"/>
          <w:color w:val="008000"/>
        </w:rPr>
        <w:t xml:space="preserve"> Loans denominated in Dollars at such time </w:t>
      </w:r>
      <w:r>
        <w:rPr>
          <w:rFonts w:ascii="Times New Roman" w:cs="Times New Roman" w:eastAsia="Times New Roman" w:hAnsi="Times New Roman"/>
          <w:sz w:val="20"/>
          <w:szCs w:val="20"/>
          <w:u w:val="single" w:color="auto"/>
          <w:color w:val="0000FF"/>
        </w:rPr>
        <w:t>or (iii)</w:t>
      </w:r>
      <w:r>
        <w:rPr>
          <w:rFonts w:ascii="Times New Roman" w:cs="Times New Roman" w:eastAsia="Times New Roman" w:hAnsi="Times New Roman"/>
          <w:sz w:val="20"/>
          <w:szCs w:val="20"/>
          <w:u w:val="single" w:color="auto"/>
          <w:color w:val="008000"/>
        </w:rPr>
        <w:t xml:space="preserve"> if such RFR Loan is denominated in any Alternative Currency, then such Loan shall bear interest at the Central Bank Rate for the applicable </w:t>
      </w:r>
      <w:r>
        <w:rPr>
          <w:rFonts w:ascii="Times New Roman" w:cs="Times New Roman" w:eastAsia="Times New Roman" w:hAnsi="Times New Roman"/>
          <w:sz w:val="20"/>
          <w:szCs w:val="20"/>
          <w:u w:val="single" w:color="auto"/>
          <w:color w:val="0000FF"/>
        </w:rPr>
        <w:t>Agreed</w:t>
      </w:r>
      <w:r>
        <w:rPr>
          <w:rFonts w:ascii="Times New Roman" w:cs="Times New Roman" w:eastAsia="Times New Roman" w:hAnsi="Times New Roman"/>
          <w:sz w:val="20"/>
          <w:szCs w:val="20"/>
          <w:u w:val="single" w:color="auto"/>
          <w:color w:val="008000"/>
        </w:rPr>
        <w:t xml:space="preserve"> Currency plus the Applicable Rate; provided that, if the Administrative Agent determines reasonably and in good faith (which determination shall be conclusive and binding absent demonstrable error) that the Central Bank Rate for the applicable </w:t>
      </w:r>
      <w:r>
        <w:rPr>
          <w:rFonts w:ascii="Times New Roman" w:cs="Times New Roman" w:eastAsia="Times New Roman" w:hAnsi="Times New Roman"/>
          <w:sz w:val="20"/>
          <w:szCs w:val="20"/>
          <w:u w:val="single" w:color="auto"/>
          <w:color w:val="0000FF"/>
        </w:rPr>
        <w:t>Agreed</w:t>
      </w:r>
      <w:r>
        <w:rPr>
          <w:rFonts w:ascii="Times New Roman" w:cs="Times New Roman" w:eastAsia="Times New Roman" w:hAnsi="Times New Roman"/>
          <w:sz w:val="20"/>
          <w:szCs w:val="20"/>
          <w:u w:val="single" w:color="auto"/>
          <w:color w:val="008000"/>
        </w:rPr>
        <w:t xml:space="preserve"> Currency cannot be determined, any outstanding affected RFR Loans denominated in any Alternative Currency, at the Company’s election, shall either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u w:val="single" w:color="auto"/>
          <w:color w:val="008000"/>
        </w:rPr>
        <w:t xml:space="preserve">) be converted into Base Rate Loans denominated in Dollars (in an amount equal to the Dollar Equivalent of such </w:t>
      </w:r>
      <w:r>
        <w:rPr>
          <w:rFonts w:ascii="Times New Roman" w:cs="Times New Roman" w:eastAsia="Times New Roman" w:hAnsi="Times New Roman"/>
          <w:sz w:val="20"/>
          <w:szCs w:val="20"/>
          <w:u w:val="single" w:color="auto"/>
          <w:color w:val="0000FF"/>
        </w:rPr>
        <w:t>Applicable</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Currency) immediately or (B) be prepaid in full immediately</w:t>
      </w:r>
    </w:p>
    <w:p>
      <w:pPr>
        <w:spacing w:after="0" w:line="200" w:lineRule="exact"/>
        <w:rPr>
          <w:sz w:val="20"/>
          <w:szCs w:val="20"/>
          <w:color w:val="auto"/>
        </w:rPr>
      </w:pPr>
    </w:p>
    <w:p>
      <w:pPr>
        <w:jc w:val="both"/>
        <w:ind w:firstLine="656"/>
        <w:spacing w:after="0" w:line="238" w:lineRule="exact"/>
        <w:tabs>
          <w:tab w:leader="none" w:pos="1284" w:val="left"/>
        </w:tabs>
        <w:numPr>
          <w:ilvl w:val="0"/>
          <w:numId w:val="10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color w:val="000000"/>
        </w:rPr>
        <w:t>Notwithstanding anything to the contrary herein or in any other Loan Document (and any Hedging Agreement shall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deemed not to be a “Loan Document” for purposes of this Section 3.07), </w:t>
      </w:r>
      <w:r>
        <w:rPr>
          <w:rFonts w:ascii="Times New Roman" w:cs="Times New Roman" w:eastAsia="Times New Roman" w:hAnsi="Times New Roman"/>
          <w:sz w:val="20"/>
          <w:szCs w:val="20"/>
          <w:color w:val="FF0000"/>
          <w:strike w:val="1"/>
        </w:rPr>
        <w:t>including, without limitation,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FF0000"/>
          <w:strike w:val="1"/>
        </w:rPr>
        <w:t>Section 3.03(b)</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0000"/>
        </w:rPr>
        <w:t xml:space="preserve"> if a Benchmark Transition Event</w:t>
      </w:r>
      <w:r>
        <w:rPr>
          <w:rFonts w:ascii="Times New Roman" w:cs="Times New Roman" w:eastAsia="Times New Roman" w:hAnsi="Times New Roman"/>
          <w:sz w:val="20"/>
          <w:szCs w:val="20"/>
          <w:color w:val="FF0000"/>
          <w:strike w:val="1"/>
        </w:rPr>
        <w:t>, an Early Opt</w:t>
      </w:r>
      <w:r>
        <w:rPr>
          <w:rFonts w:ascii="MS PGothic" w:cs="MS PGothic" w:eastAsia="MS PGothic" w:hAnsi="MS PGothic"/>
          <w:sz w:val="20"/>
          <w:szCs w:val="20"/>
          <w:color w:val="FF0000"/>
          <w:strike w:val="1"/>
        </w:rPr>
        <w:t>‐</w:t>
      </w:r>
      <w:r>
        <w:rPr>
          <w:rFonts w:ascii="Times New Roman" w:cs="Times New Roman" w:eastAsia="Times New Roman" w:hAnsi="Times New Roman"/>
          <w:sz w:val="20"/>
          <w:szCs w:val="20"/>
          <w:color w:val="FF0000"/>
          <w:strike w:val="1"/>
        </w:rPr>
        <w:t>in Election or an Other Benchmark Rate Election, as applicable,</w:t>
      </w:r>
      <w:r>
        <w:rPr>
          <w:rFonts w:ascii="Times New Roman" w:cs="Times New Roman" w:eastAsia="Times New Roman" w:hAnsi="Times New Roman"/>
          <w:sz w:val="20"/>
          <w:szCs w:val="20"/>
          <w:color w:val="000000"/>
        </w:rPr>
        <w:t xml:space="preserve"> and its related Benchmark Replacement Date have occurred prior to the Reference Time in respect of any setting of the then</w:t>
      </w:r>
      <w:r>
        <w:rPr>
          <w:rFonts w:ascii="MS PGothic" w:cs="MS PGothic" w:eastAsia="MS PGothic" w:hAnsi="MS PGothic"/>
          <w:sz w:val="20"/>
          <w:szCs w:val="20"/>
          <w:color w:val="000000"/>
        </w:rPr>
        <w:t>‐</w:t>
      </w:r>
      <w:r>
        <w:rPr>
          <w:rFonts w:ascii="Times New Roman" w:cs="Times New Roman" w:eastAsia="Times New Roman" w:hAnsi="Times New Roman"/>
          <w:sz w:val="20"/>
          <w:szCs w:val="20"/>
          <w:color w:val="000000"/>
        </w:rPr>
        <w:t xml:space="preserve">current Benchmark, then (x) if a Benchmark Replacement is determined in accordance with clause (1) </w:t>
      </w:r>
      <w:r>
        <w:rPr>
          <w:rFonts w:ascii="Times New Roman" w:cs="Times New Roman" w:eastAsia="Times New Roman" w:hAnsi="Times New Roman"/>
          <w:sz w:val="20"/>
          <w:szCs w:val="20"/>
          <w:color w:val="FF0000"/>
          <w:strike w:val="1"/>
        </w:rPr>
        <w:t>or (2)</w:t>
      </w:r>
      <w:r>
        <w:rPr>
          <w:rFonts w:ascii="Times New Roman" w:cs="Times New Roman" w:eastAsia="Times New Roman" w:hAnsi="Times New Roman"/>
          <w:sz w:val="20"/>
          <w:szCs w:val="20"/>
          <w:color w:val="000000"/>
        </w:rPr>
        <w:t xml:space="preserve"> of the definition of “Benchmark Replacement” </w:t>
      </w:r>
      <w:r>
        <w:rPr>
          <w:rFonts w:ascii="Times New Roman" w:cs="Times New Roman" w:eastAsia="Times New Roman" w:hAnsi="Times New Roman"/>
          <w:sz w:val="20"/>
          <w:szCs w:val="20"/>
          <w:u w:val="single" w:color="auto"/>
          <w:color w:val="0000FF"/>
        </w:rPr>
        <w:t>with respect to Dollars</w:t>
      </w:r>
      <w:r>
        <w:rPr>
          <w:rFonts w:ascii="Times New Roman" w:cs="Times New Roman" w:eastAsia="Times New Roman" w:hAnsi="Times New Roman"/>
          <w:sz w:val="20"/>
          <w:szCs w:val="20"/>
          <w:color w:val="000000"/>
        </w:rPr>
        <w:t xml:space="preserve">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Times New Roman" w:cs="Times New Roman" w:eastAsia="Times New Roman" w:hAnsi="Times New Roman"/>
          <w:sz w:val="20"/>
          <w:szCs w:val="20"/>
          <w:color w:val="FF0000"/>
          <w:strike w:val="1"/>
        </w:rPr>
        <w:t>3</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000000"/>
        </w:rPr>
        <w:t xml:space="preserve">) of the definition of “Benchmark Replacement” </w:t>
      </w:r>
      <w:r>
        <w:rPr>
          <w:rFonts w:ascii="Times New Roman" w:cs="Times New Roman" w:eastAsia="Times New Roman" w:hAnsi="Times New Roman"/>
          <w:sz w:val="20"/>
          <w:szCs w:val="20"/>
          <w:u w:val="single" w:color="auto"/>
          <w:color w:val="0000FF"/>
        </w:rPr>
        <w:t>with respect to any Agreed Currency</w:t>
      </w:r>
      <w:r>
        <w:rPr>
          <w:rFonts w:ascii="Times New Roman" w:cs="Times New Roman" w:eastAsia="Times New Roman" w:hAnsi="Times New Roman"/>
          <w:sz w:val="20"/>
          <w:szCs w:val="20"/>
          <w:color w:val="000000"/>
        </w:rPr>
        <w:t xml:space="preserve"> for such Benchmark Replacement Date, such Benchmark Replacement will replace such Benchmark for all purposes hereunder and under any Loan Document in respect of any Benchmark setting at or after 5:00 p.m. (Chicago time) on the 5th Business Day after the date notice of such Benchmark Replacement is provided by the Administrative Agent to the Lenders and the Company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10" w:lineRule="exact"/>
        <w:rPr>
          <w:sz w:val="20"/>
          <w:szCs w:val="20"/>
          <w:color w:val="auto"/>
        </w:rPr>
      </w:pPr>
    </w:p>
    <w:p>
      <w:pPr>
        <w:jc w:val="both"/>
        <w:ind w:firstLine="656"/>
        <w:spacing w:after="0" w:line="239" w:lineRule="exact"/>
        <w:tabs>
          <w:tab w:leader="none" w:pos="1284" w:val="left"/>
        </w:tabs>
        <w:numPr>
          <w:ilvl w:val="0"/>
          <w:numId w:val="102"/>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008000"/>
          <w:strike w:val="1"/>
        </w:rPr>
        <w:t>Notwithstanding anything to the contrary herein or in any other Loan Document</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FF0000"/>
        </w:rPr>
        <w:t>and subject to the proviso below in this</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FF0000"/>
          <w:strike w:val="1"/>
        </w:rPr>
        <w:t>paragraph, (x) with respect to Loans denominated in Dollars, if a Term SOFR Transition Event and its related Benchmark Replacement Date or (y) with respect to Loans denominated in euro, if a Term ESTR Transition Event and its related Benchmark Replacement Date, as applicable, have occurred prior to the Reference Time in respect of any setting of the then</w:t>
      </w:r>
      <w:r>
        <w:rPr>
          <w:rFonts w:ascii="MS PGothic" w:cs="MS PGothic" w:eastAsia="MS PGothic" w:hAnsi="MS PGothic"/>
          <w:sz w:val="20"/>
          <w:szCs w:val="20"/>
          <w:color w:val="FF0000"/>
          <w:strike w:val="1"/>
        </w:rPr>
        <w:t>‐</w:t>
      </w:r>
      <w:r>
        <w:rPr>
          <w:rFonts w:ascii="Times New Roman" w:cs="Times New Roman" w:eastAsia="Times New Roman" w:hAnsi="Times New Roman"/>
          <w:sz w:val="20"/>
          <w:szCs w:val="20"/>
          <w:color w:val="FF0000"/>
          <w:strike w:val="1"/>
        </w:rPr>
        <w:t>current Benchmark, then the applicable Benchmark Replacement will replace the then</w:t>
      </w:r>
      <w:r>
        <w:rPr>
          <w:rFonts w:ascii="MS PGothic" w:cs="MS PGothic" w:eastAsia="MS PGothic" w:hAnsi="MS PGothic"/>
          <w:sz w:val="20"/>
          <w:szCs w:val="20"/>
          <w:color w:val="FF0000"/>
          <w:strike w:val="1"/>
        </w:rPr>
        <w:t>‐</w:t>
      </w:r>
      <w:r>
        <w:rPr>
          <w:rFonts w:ascii="Times New Roman" w:cs="Times New Roman" w:eastAsia="Times New Roman" w:hAnsi="Times New Roman"/>
          <w:sz w:val="20"/>
          <w:szCs w:val="20"/>
          <w:color w:val="FF0000"/>
          <w:strike w:val="1"/>
        </w:rPr>
        <w:t xml:space="preserve">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this clause (b) shall not be effective unless the Administrative Agent has delivered to the Lenders and the Company a Term SOFR Notice or a Term ESTR Notice, as applicable. For the avoidance of doubt, the Administrative Agent shall not be required to deliver any (x) Term SOFR Notice after the occurrence of a Term SOFR Transition Event or (y) Term ESTR Notice after the occurrence of a Term ESTR Transition Event, and may do so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5012690</wp:posOffset>
            </wp:positionH>
            <wp:positionV relativeFrom="paragraph">
              <wp:posOffset>-1431290</wp:posOffset>
            </wp:positionV>
            <wp:extent cx="21228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22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13" w:right="339" w:bottom="1440" w:gutter="0" w:footer="0" w:header="0"/>
        </w:sectPr>
      </w:pPr>
    </w:p>
    <w:bookmarkStart w:id="109" w:name="page110"/>
    <w:bookmarkEnd w:id="109"/>
    <w:p>
      <w:pPr>
        <w:jc w:val="both"/>
        <w:ind w:firstLine="656"/>
        <w:spacing w:after="0" w:line="253" w:lineRule="auto"/>
        <w:tabs>
          <w:tab w:leader="none" w:pos="12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 xml:space="preserve">In connection with the implementation of a Benchmark Replacement, </w:t>
      </w:r>
      <w:r>
        <w:rPr>
          <w:rFonts w:ascii="Times New Roman" w:cs="Times New Roman" w:eastAsia="Times New Roman" w:hAnsi="Times New Roman"/>
          <w:sz w:val="20"/>
          <w:szCs w:val="20"/>
          <w:u w:val="single" w:color="auto"/>
          <w:color w:val="008000"/>
          <w:strike w:val="1"/>
        </w:rPr>
        <w:t>Notwithstanding anything to the contrary herein or in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8000"/>
          <w:strike w:val="1"/>
        </w:rPr>
        <w:t>any other Loan Document</w:t>
      </w:r>
      <w:r>
        <w:rPr>
          <w:rFonts w:ascii="Times New Roman" w:cs="Times New Roman" w:eastAsia="Times New Roman" w:hAnsi="Times New Roman"/>
          <w:sz w:val="20"/>
          <w:szCs w:val="20"/>
          <w:u w:val="single" w:color="auto"/>
          <w:color w:val="0000FF"/>
          <w:strike w:val="1"/>
        </w:rPr>
        <w:t>,</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000000"/>
          <w:strike w:val="1"/>
        </w:rPr>
        <w:t>the Administrative Agent will have the right to make Benchmark Replacement Conforming Changes from time to</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000000"/>
          <w:strike w:val="1"/>
        </w:rPr>
        <w:t>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 Loan Party shall be required to pay any “amendment fee” or other similar fee in connection with an amendment or other modification to this Agreement or any other Loan Document made solely in connection with the replacement of any Benchmark or any proposed Benchmark Replacement Conforming Changes related thereto.</w:t>
      </w:r>
    </w:p>
    <w:p>
      <w:pPr>
        <w:spacing w:after="0" w:line="179" w:lineRule="exact"/>
        <w:rPr>
          <w:rFonts w:ascii="Times New Roman" w:cs="Times New Roman" w:eastAsia="Times New Roman" w:hAnsi="Times New Roman"/>
          <w:sz w:val="20"/>
          <w:szCs w:val="20"/>
          <w:color w:val="auto"/>
        </w:rPr>
      </w:pPr>
    </w:p>
    <w:p>
      <w:pPr>
        <w:jc w:val="both"/>
        <w:ind w:firstLine="656"/>
        <w:spacing w:after="0" w:line="240" w:lineRule="exact"/>
        <w:tabs>
          <w:tab w:leader="none" w:pos="12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notify the Company and the Lenders of (i) any occurrence of a Benchmark Transition Event</w:t>
      </w:r>
      <w:r>
        <w:rPr>
          <w:rFonts w:ascii="Times New Roman" w:cs="Times New Roman" w:eastAsia="Times New Roman" w:hAnsi="Times New Roman"/>
          <w:sz w:val="20"/>
          <w:szCs w:val="20"/>
          <w:color w:val="FF0000"/>
          <w:strike w:val="1"/>
        </w:rPr>
        <w:t>, Term SOFR Transition Event, Term ESTR Transition Event, Early Opt</w:t>
      </w:r>
      <w:r>
        <w:rPr>
          <w:rFonts w:ascii="MS PGothic" w:cs="MS PGothic" w:eastAsia="MS PGothic" w:hAnsi="MS PGothic"/>
          <w:sz w:val="20"/>
          <w:szCs w:val="20"/>
          <w:color w:val="FF0000"/>
          <w:strike w:val="1"/>
        </w:rPr>
        <w:t>‐</w:t>
      </w:r>
      <w:r>
        <w:rPr>
          <w:rFonts w:ascii="Times New Roman" w:cs="Times New Roman" w:eastAsia="Times New Roman" w:hAnsi="Times New Roman"/>
          <w:sz w:val="20"/>
          <w:szCs w:val="20"/>
          <w:color w:val="FF0000"/>
          <w:strike w:val="1"/>
        </w:rPr>
        <w:t>in Election or Other Benchmark Rate Election,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applicable, and its related Benchmark Replacement Date</w:t>
      </w:r>
      <w:r>
        <w:rPr>
          <w:rFonts w:ascii="Times New Roman" w:cs="Times New Roman" w:eastAsia="Times New Roman" w:hAnsi="Times New Roman"/>
          <w:sz w:val="20"/>
          <w:szCs w:val="20"/>
          <w:color w:val="000000"/>
        </w:rPr>
        <w:t>, (ii) the implementation of any Benchmark Replacement, (iii) the effectiveness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000000"/>
        </w:rPr>
        <w:t>Section 3.07</w:t>
      </w:r>
      <w:r>
        <w:rPr>
          <w:rFonts w:ascii="Times New Roman" w:cs="Times New Roman" w:eastAsia="Times New Roman" w:hAnsi="Times New Roman"/>
          <w:sz w:val="20"/>
          <w:szCs w:val="20"/>
          <w:color w:val="000000"/>
        </w:rPr>
        <w:t>, including any determination with respect to a tenor, rate or adjustment or of the occurrence or non</w:t>
      </w:r>
      <w:r>
        <w:rPr>
          <w:rFonts w:ascii="MS PGothic" w:cs="MS PGothic" w:eastAsia="MS PGothic" w:hAnsi="MS PGothic"/>
          <w:sz w:val="20"/>
          <w:szCs w:val="20"/>
          <w:color w:val="000000"/>
        </w:rPr>
        <w:t>‐</w:t>
      </w:r>
      <w:r>
        <w:rPr>
          <w:rFonts w:ascii="Times New Roman" w:cs="Times New Roman" w:eastAsia="Times New Roman" w:hAnsi="Times New Roman"/>
          <w:sz w:val="20"/>
          <w:szCs w:val="20"/>
          <w:color w:val="000000"/>
        </w:rPr>
        <w:t xml:space="preserve">occurrence of an event, circumstance or date and any decision to take or refrain from taking any action or any selection, will be conclusive and binding absent demonstrable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000000"/>
        </w:rPr>
        <w:t>Section 3.07</w:t>
      </w:r>
      <w:r>
        <w:rPr>
          <w:rFonts w:ascii="Times New Roman" w:cs="Times New Roman" w:eastAsia="Times New Roman" w:hAnsi="Times New Roman"/>
          <w:sz w:val="20"/>
          <w:szCs w:val="20"/>
          <w:color w:val="000000"/>
        </w:rPr>
        <w:t>.</w:t>
      </w:r>
    </w:p>
    <w:p>
      <w:pPr>
        <w:spacing w:after="0" w:line="196" w:lineRule="exact"/>
        <w:rPr>
          <w:rFonts w:ascii="Times New Roman" w:cs="Times New Roman" w:eastAsia="Times New Roman" w:hAnsi="Times New Roman"/>
          <w:sz w:val="20"/>
          <w:szCs w:val="20"/>
          <w:color w:val="auto"/>
        </w:rPr>
      </w:pPr>
    </w:p>
    <w:p>
      <w:pPr>
        <w:jc w:val="both"/>
        <w:ind w:firstLine="656"/>
        <w:spacing w:after="0" w:line="239" w:lineRule="exact"/>
        <w:tabs>
          <w:tab w:leader="none" w:pos="12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current Benchmark is a term rate (including </w:t>
      </w: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auto"/>
        </w:rPr>
        <w:t xml:space="preserve"> Term SOFR</w:t>
      </w:r>
      <w:r>
        <w:rPr>
          <w:rFonts w:ascii="Times New Roman" w:cs="Times New Roman" w:eastAsia="Times New Roman" w:hAnsi="Times New Roman"/>
          <w:sz w:val="20"/>
          <w:szCs w:val="20"/>
          <w:color w:val="FF0000"/>
          <w:strike w:val="1"/>
        </w:rPr>
        <w:t>, Term ESTR,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the LIBO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the EURIBO Rate</w:t>
      </w:r>
      <w:r>
        <w:rPr>
          <w:rFonts w:ascii="Times New Roman" w:cs="Times New Roman" w:eastAsia="Times New Roman" w:hAnsi="Times New Roman"/>
          <w:sz w:val="20"/>
          <w:szCs w:val="20"/>
          <w:u w:val="single" w:color="auto"/>
          <w:color w:val="0000FF"/>
        </w:rPr>
        <w:t>, the TIBO Rate, the CDOR Screen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TIBO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BBSY Screen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and either (A) any tenor for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Benchmark is not displayed on a screen or other information service that publishes such rate from time to time as selected by the Administrative Agent in its reasonable discretion </w:t>
      </w:r>
      <w:r>
        <w:rPr>
          <w:rFonts w:ascii="Times New Roman" w:cs="Times New Roman" w:eastAsia="Times New Roman" w:hAnsi="Times New Roman"/>
          <w:sz w:val="20"/>
          <w:szCs w:val="20"/>
          <w:u w:val="single" w:color="auto"/>
          <w:color w:val="0000FF"/>
        </w:rPr>
        <w:t>and consistent with such selection generally under other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8000"/>
        </w:rPr>
        <w:t>syndicated credit facilities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for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which BMO acts as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(B) the regulatory supervisor for the administrator of such Benchmark has provided a public</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w:t>
      </w:r>
      <w:r>
        <w:rPr>
          <w:rFonts w:ascii="MS PGothic" w:cs="MS PGothic" w:eastAsia="MS PGothic" w:hAnsi="MS PGothic"/>
          <w:sz w:val="20"/>
          <w:szCs w:val="20"/>
          <w:color w:val="000000"/>
        </w:rPr>
        <w:t>‐</w:t>
      </w:r>
      <w:r>
        <w:rPr>
          <w:rFonts w:ascii="Times New Roman" w:cs="Times New Roman" w:eastAsia="Times New Roman" w:hAnsi="Times New Roman"/>
          <w:sz w:val="20"/>
          <w:szCs w:val="20"/>
          <w:color w:val="000000"/>
        </w:rPr>
        <w:t>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Company’s receipt of notice from the Administrative Agent of the commencement of a Benchmark Unavailability Period and until a Benchmark Replacement is determined in accordance with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for (i) Dollars, the Company may revoke any request for a borrowing of, conversion to or continuation of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 Loans or RFR</w:t>
      </w:r>
      <w:r>
        <w:rPr>
          <w:rFonts w:ascii="Times New Roman" w:cs="Times New Roman" w:eastAsia="Times New Roman" w:hAnsi="Times New Roman"/>
          <w:sz w:val="20"/>
          <w:szCs w:val="20"/>
          <w:color w:val="auto"/>
        </w:rPr>
        <w:t xml:space="preserve"> Loans to be made, converted or continued during any such Benchmark Unavailability Period and, failing that, the Company will be deemed to have converted any such request into a request for a Borrowing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13" w:right="339" w:bottom="1440" w:gutter="0" w:footer="0" w:header="0"/>
        </w:sectPr>
      </w:pPr>
    </w:p>
    <w:bookmarkStart w:id="110" w:name="page111"/>
    <w:bookmarkEnd w:id="110"/>
    <w:p>
      <w:pPr>
        <w:jc w:val="both"/>
        <w:spacing w:after="0" w:line="238" w:lineRule="exact"/>
        <w:rPr>
          <w:sz w:val="20"/>
          <w:szCs w:val="20"/>
          <w:color w:val="auto"/>
        </w:rPr>
      </w:pPr>
      <w:r>
        <w:rPr>
          <w:rFonts w:ascii="Times New Roman" w:cs="Times New Roman" w:eastAsia="Times New Roman" w:hAnsi="Times New Roman"/>
          <w:sz w:val="20"/>
          <w:szCs w:val="20"/>
          <w:color w:val="auto"/>
        </w:rPr>
        <w:t>conversion to Base Rate Loans and (ii) any other Agreed Currency, the obligation of the Lenders to make or maintain Loans in such Agreed Currency shall be suspended (and the Company may revoke any request for a Borrowing of, conversion to or continuation of Loans to be made in such Agreed Currency during the Benchmark Unavailability Period). During any Benchmark Unavailability Period for Dollars or at any time that a tenor for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for Dollars is not an Available Tenor, the component of Base Rate based upon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current Benchmark or such tenor for such Benchmark, as applicable, will not be used in any determination of Base Rate. Furthermore, if any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in any Alternative Currency is outstanding on the date of the Company’s receipt of notice of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commencement of a Benchmark Unavailability Period with respect to a Relevant Rate applicable to such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then (until such time as a benchmark replacement for such Alternative Currency is implemented pursuant to this Section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3.07) such Loan shall, on the last day of the Interest Period applicable to such Loan (or the next succeeding Business Day if such day is not a Business Day), at the Company’s election prior to such day: (A) be prepaid by the </w:t>
      </w:r>
      <w:r>
        <w:rPr>
          <w:rFonts w:ascii="Times New Roman" w:cs="Times New Roman" w:eastAsia="Times New Roman" w:hAnsi="Times New Roman"/>
          <w:sz w:val="20"/>
          <w:szCs w:val="20"/>
          <w:color w:val="FF0000"/>
          <w:strike w:val="1"/>
        </w:rPr>
        <w:t>Company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applicable Borrower</w:t>
      </w:r>
      <w:r>
        <w:rPr>
          <w:rFonts w:ascii="Times New Roman" w:cs="Times New Roman" w:eastAsia="Times New Roman" w:hAnsi="Times New Roman"/>
          <w:sz w:val="20"/>
          <w:szCs w:val="20"/>
          <w:color w:val="000000"/>
        </w:rPr>
        <w:t xml:space="preserve"> on such day or (B) be converted by the Administrative Agent to, and shall constitute, a Base Rate Loan denominated in Dollars (in an amount equal to the Dollar Equivalent of such Agreed Currency) on such day (it being understood and agreed that if the Company does not so prepay such Loan on such day by 2:00 p.m., local time, the Administrative Agent is authorized to effect such conversion of such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000000"/>
        </w:rPr>
        <w:t xml:space="preserve"> Loan into a Base Rate Loan denominated in Dollars). If any RFR Loan is outstanding on the date of the Company’s receipt of notice of the commencement of a Benchmark Unavailability Period with respect to a Relevant Rate applicable to such RFR Loan, then such Loan shall, on the next Interest Payment Date applicable to such Loan (or the next succeeding Business Day if such day is not a Business Day), bear interest at the Central Bank Rate for Sterling plus the Applicable Rate; provided that, if the Administrative Agent determines </w:t>
      </w:r>
      <w:r>
        <w:rPr>
          <w:rFonts w:ascii="Times New Roman" w:cs="Times New Roman" w:eastAsia="Times New Roman" w:hAnsi="Times New Roman"/>
          <w:sz w:val="20"/>
          <w:szCs w:val="20"/>
          <w:u w:val="single" w:color="auto"/>
          <w:color w:val="0000FF"/>
        </w:rPr>
        <w:t>reasonably and in good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faith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(which determination shall be conclusive and binding absent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manifest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demonstrable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error) that the Central Bank Rate for Sterling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cannot be determined, any outstanding affected RFR Loans denominated in Sterling, at the Company’s election, shall either (A) be converted into Base Rate Loans denominated in Dollars (in an amount equal to the Dollar Equivalent of Sterling) on the next applicable Interest Payment Date (or the next succeeding Business Day if such day is not a Business Day) or (B) be prepaid in full immediately on the next applicable Interest Payment Date (or the next succeeding Business Day if such day is not a Business Day).</w:t>
      </w:r>
    </w:p>
    <w:p>
      <w:pPr>
        <w:spacing w:after="0" w:line="21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3.08</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All of the Loan Parties’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Revolving Commitments and repayment of all other Obligations hereunder and resignation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13" w:right="3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GUARANTY</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4.01</w:t>
      </w:r>
      <w:r>
        <w:rPr>
          <w:sz w:val="20"/>
          <w:szCs w:val="20"/>
          <w:color w:val="auto"/>
        </w:rPr>
        <w:tab/>
      </w:r>
      <w:r>
        <w:rPr>
          <w:rFonts w:ascii="Times New Roman" w:cs="Times New Roman" w:eastAsia="Times New Roman" w:hAnsi="Times New Roman"/>
          <w:sz w:val="19"/>
          <w:szCs w:val="19"/>
          <w:u w:val="single" w:color="auto"/>
          <w:color w:val="auto"/>
        </w:rPr>
        <w:t>The Guaranty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Each of the Guarantors hereby jointly and severally guarantees to each Lender, each Affiliate of a Lender that enters into a Hedging Agreement or a Treasury Management Agreement with a Loan Party, and the Administrative Agent and each of the holders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are not paid in full when due (after giving effect to any grace or cure period) (whether at stated maturity, as a mandatory prepayment, by acceleration, as a mandatory cash collateralization or otherwise), the Guarantors will promptly, jointly and severally, </w:t>
      </w:r>
      <w:r>
        <w:rPr>
          <w:rFonts w:ascii="Times New Roman" w:cs="Times New Roman" w:eastAsia="Times New Roman" w:hAnsi="Times New Roman"/>
          <w:sz w:val="20"/>
          <w:szCs w:val="20"/>
          <w:color w:val="FF0000"/>
          <w:strike w:val="1"/>
        </w:rPr>
        <w:t>promptly</w:t>
      </w:r>
      <w:r>
        <w:rPr>
          <w:rFonts w:ascii="Times New Roman" w:cs="Times New Roman" w:eastAsia="Times New Roman" w:hAnsi="Times New Roman"/>
          <w:sz w:val="20"/>
          <w:szCs w:val="20"/>
          <w:color w:val="auto"/>
        </w:rPr>
        <w:t xml:space="preserve"> pay the same, without any demand or notice,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any provision to the contrary contained herein or in any other of the Loan Documents, Hedging Agreements or Treasury Management Agreements, the obligations of each Guarantor (in its capacity as such) under this Agreement and the other Loan Documents shall be limited to an aggregate amount equal to the largest amount that would not render such obligations subject to avoidance under applicable Debtor Relief Laws or any comparable provisions of any applicable Law.</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4.02</w:t>
      </w:r>
      <w:r>
        <w:rPr>
          <w:sz w:val="20"/>
          <w:szCs w:val="20"/>
          <w:color w:val="auto"/>
        </w:rPr>
        <w:tab/>
      </w:r>
      <w:r>
        <w:rPr>
          <w:rFonts w:ascii="Times New Roman" w:cs="Times New Roman" w:eastAsia="Times New Roman" w:hAnsi="Times New Roman"/>
          <w:sz w:val="19"/>
          <w:szCs w:val="19"/>
          <w:u w:val="single" w:color="auto"/>
          <w:color w:val="auto"/>
        </w:rPr>
        <w:t>Obligations Unconditional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obligations of the Guarantors under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joint and several, absolute and unconditional, irrespective of the value, genuineness, validity, regularity or enforceability of any of the Loan Documents, Hedging Agreements or Treasury Management Agreements,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Borrowers or any other Guarantor for amounts paid under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until such time as the Obligations (other than contingent obligations that survive termination of this Agreement)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201" w:lineRule="exact"/>
        <w:rPr>
          <w:sz w:val="20"/>
          <w:szCs w:val="20"/>
          <w:color w:val="auto"/>
        </w:rPr>
      </w:pPr>
    </w:p>
    <w:p>
      <w:pPr>
        <w:ind w:firstLine="656"/>
        <w:spacing w:after="0" w:line="269" w:lineRule="auto"/>
        <w:tabs>
          <w:tab w:leader="none" w:pos="108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or from time to time, without notice to any Guarantor, the time for any performance of or compliance with any of the Obligations shall be extended, or such performance or compliance shall be waived;</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1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acts mentioned in any of the provisions of any of the Loan Documents, any Hedging Agreement or Treasury Management Agreement between any Loan Party and any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13" w:right="339" w:bottom="1440" w:gutter="0" w:footer="0" w:header="0"/>
        </w:sectPr>
      </w:pPr>
    </w:p>
    <w:bookmarkStart w:id="112" w:name="page113"/>
    <w:bookmarkEnd w:id="112"/>
    <w:p>
      <w:pPr>
        <w:ind w:right="20"/>
        <w:spacing w:after="0" w:line="283" w:lineRule="auto"/>
        <w:rPr>
          <w:sz w:val="20"/>
          <w:szCs w:val="20"/>
          <w:color w:val="auto"/>
        </w:rPr>
      </w:pPr>
      <w:r>
        <w:rPr>
          <w:rFonts w:ascii="Times New Roman" w:cs="Times New Roman" w:eastAsia="Times New Roman" w:hAnsi="Times New Roman"/>
          <w:sz w:val="20"/>
          <w:szCs w:val="20"/>
          <w:color w:val="auto"/>
        </w:rPr>
        <w:t>any Affiliate of a Lender, or any other agreement or instrument referred to in the Loan Documents, such Hedging Agreements or such Treasury Management Agreements shall be done or omitted;</w:t>
      </w:r>
    </w:p>
    <w:p>
      <w:pPr>
        <w:spacing w:after="0" w:line="146" w:lineRule="exact"/>
        <w:rPr>
          <w:sz w:val="20"/>
          <w:szCs w:val="20"/>
          <w:color w:val="auto"/>
        </w:rPr>
      </w:pPr>
    </w:p>
    <w:p>
      <w:pPr>
        <w:jc w:val="both"/>
        <w:ind w:firstLine="656"/>
        <w:spacing w:after="0" w:line="253" w:lineRule="auto"/>
        <w:tabs>
          <w:tab w:leader="none" w:pos="115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of any of the Obligations shall be accelerated, or any of the Obligations shall be modified, supplemented or amended in any respect, or any right under any of the Loan Documents, any Hedging Agreement or Treasury Management Agreement between any Loan Party and any Lender, or any Affiliate of a Lender, or any other agreement or instrument referred to in the Loan Documents, such Hedging Agreements or such Treasury Management Agreements shall be waived or any other guarantee of any of the Obligations or any security therefor shall be released, impaired or exchanged in whole or in part or otherwise dealt with (except to the extent such Guarantor has been expressly released in writing from its obligations under this Guaranty by the requisite Lenders in accordance with the express terms of this Agreement);</w:t>
      </w:r>
    </w:p>
    <w:p>
      <w:pPr>
        <w:spacing w:after="0" w:line="179" w:lineRule="exact"/>
        <w:rPr>
          <w:rFonts w:ascii="Times New Roman" w:cs="Times New Roman" w:eastAsia="Times New Roman" w:hAnsi="Times New Roman"/>
          <w:sz w:val="20"/>
          <w:szCs w:val="20"/>
          <w:color w:val="auto"/>
        </w:rPr>
      </w:pPr>
    </w:p>
    <w:p>
      <w:pPr>
        <w:ind w:firstLine="656"/>
        <w:spacing w:after="0" w:line="283" w:lineRule="auto"/>
        <w:tabs>
          <w:tab w:leader="none" w:pos="107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granted to, or in favor of, the Administrative Agent or any holder of Obligations as security for any of the Obligations shall fail to attach or be perfected; or</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04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With respect to its obligations hereunder, each Guarantor hereby expressly waives diligence, presentment, demand of payment, protest and all notices whatsoever (other than any notice any Guarantor has the express right to receive under any Loan Document), and any requirement that the Administrative Agent or any holder of the Obligations exhaust any right, power or remedy or proceed against any Person under any of the Loan Documents, any Hedging Agreement or any Treasury Management Agreement between any Loan Party and any Lender, or any Affiliate of a Lender, or any other agreement or instrument referred to in the Loan Documents, such Hedging Agreements or such Treasury Management Agreements, or against any other Person under any other guarantee of, or security for, any of the Obligations.</w:t>
      </w:r>
    </w:p>
    <w:p>
      <w:pPr>
        <w:spacing w:after="0" w:line="16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4.03</w:t>
      </w:r>
      <w:r>
        <w:rPr>
          <w:sz w:val="20"/>
          <w:szCs w:val="20"/>
          <w:color w:val="auto"/>
        </w:rPr>
        <w:tab/>
      </w:r>
      <w:r>
        <w:rPr>
          <w:rFonts w:ascii="Times New Roman" w:cs="Times New Roman" w:eastAsia="Times New Roman" w:hAnsi="Times New Roman"/>
          <w:sz w:val="19"/>
          <w:szCs w:val="19"/>
          <w:u w:val="single" w:color="auto"/>
          <w:color w:val="auto"/>
        </w:rPr>
        <w:t>Reinstatement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The obligations of the Guarantors under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holder of the Obligations on demand for all reasonable costs and expenses (including, without limitation, the reasonable and documented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4.04</w:t>
      </w:r>
      <w:r>
        <w:rPr>
          <w:sz w:val="20"/>
          <w:szCs w:val="20"/>
          <w:color w:val="auto"/>
        </w:rPr>
        <w:tab/>
      </w:r>
      <w:r>
        <w:rPr>
          <w:rFonts w:ascii="Times New Roman" w:cs="Times New Roman" w:eastAsia="Times New Roman" w:hAnsi="Times New Roman"/>
          <w:sz w:val="19"/>
          <w:szCs w:val="19"/>
          <w:u w:val="single" w:color="auto"/>
          <w:color w:val="auto"/>
        </w:rPr>
        <w:t>Certain Additional Waivers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Each Guarantor agrees that such Guarantor shall have no right of recourse to security for the Obligations, except through the exercise of rights of subrogation pursuant to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through the exercise of rights of contribution pursuant to </w:t>
      </w:r>
      <w:r>
        <w:rPr>
          <w:rFonts w:ascii="Times New Roman" w:cs="Times New Roman" w:eastAsia="Times New Roman" w:hAnsi="Times New Roman"/>
          <w:sz w:val="20"/>
          <w:szCs w:val="20"/>
          <w:u w:val="single" w:color="auto"/>
          <w:color w:val="auto"/>
        </w:rPr>
        <w:t>Section 4.06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13" w:right="339" w:bottom="1440" w:gutter="0" w:footer="0" w:header="0"/>
        </w:sectPr>
      </w:pPr>
    </w:p>
    <w:bookmarkStart w:id="113" w:name="page114"/>
    <w:bookmarkEnd w:id="113"/>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4.05</w:t>
      </w:r>
      <w:r>
        <w:rPr>
          <w:sz w:val="20"/>
          <w:szCs w:val="20"/>
          <w:color w:val="auto"/>
        </w:rPr>
        <w:tab/>
      </w: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The Guarantors agree that, to the fullest extent permitted by Law, as between the Guarantors, on the one hand, and the holders of the Obligations, on the other hand, the Obligations may be declared to be forthwith due and payable as 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(and shall be deemed to have become automatically due and payable in the circumstances provided in said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4.06</w:t>
      </w:r>
      <w:r>
        <w:rPr>
          <w:sz w:val="20"/>
          <w:szCs w:val="20"/>
          <w:color w:val="auto"/>
        </w:rPr>
        <w:tab/>
      </w:r>
      <w:r>
        <w:rPr>
          <w:rFonts w:ascii="Times New Roman" w:cs="Times New Roman" w:eastAsia="Times New Roman" w:hAnsi="Times New Roman"/>
          <w:sz w:val="19"/>
          <w:szCs w:val="19"/>
          <w:u w:val="single" w:color="auto"/>
          <w:color w:val="auto"/>
        </w:rPr>
        <w:t>Rights of Contribution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(other than contingent obligations that survive the termination of this Agreement) have been paid in full and the Commitments have terminated.</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4.07</w:t>
      </w:r>
      <w:r>
        <w:rPr>
          <w:sz w:val="20"/>
          <w:szCs w:val="20"/>
          <w:color w:val="auto"/>
        </w:rPr>
        <w:tab/>
      </w:r>
      <w:r>
        <w:rPr>
          <w:rFonts w:ascii="Times New Roman" w:cs="Times New Roman" w:eastAsia="Times New Roman" w:hAnsi="Times New Roman"/>
          <w:sz w:val="19"/>
          <w:szCs w:val="19"/>
          <w:u w:val="single" w:color="auto"/>
          <w:color w:val="auto"/>
        </w:rPr>
        <w:t>Guarantee of Payment; Continuing Guarantee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656"/>
        <w:spacing w:after="0" w:line="283" w:lineRule="auto"/>
        <w:tabs>
          <w:tab w:leader="none" w:pos="106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guarantee in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a guaranty of payment and not of collection, is a continuing guarantee, and shall apply to all Obligations whenever arising.</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 Guarantor shall automatically be released from its obligations hereunder and its Guaranty shall be automatically released upon (i) such Subsidiary becoming an Excluded Subsidiary and receipt by the Administrative Agent of written notice thereof from the Company, (ii) the dissolution, liquidation or winding up of such Subsidiary as permitted hereunder or (iii) the consummation of any transaction permitted hereunder as a result of which such Guarantor ceases to be a Subsidiary. In connection with any such release, the Administrative Agent shall execute and deliver to any such Guarantor, at such Guarantor’s expense, all documents that such Guarantor shall reasonably request to evidence termination or release.</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4.08</w:t>
      </w:r>
      <w:r>
        <w:rPr>
          <w:sz w:val="20"/>
          <w:szCs w:val="20"/>
          <w:color w:val="auto"/>
        </w:rPr>
        <w:tab/>
      </w:r>
      <w:r>
        <w:rPr>
          <w:rFonts w:ascii="Times New Roman" w:cs="Times New Roman" w:eastAsia="Times New Roman" w:hAnsi="Times New Roman"/>
          <w:sz w:val="19"/>
          <w:szCs w:val="19"/>
          <w:u w:val="single" w:color="auto"/>
          <w:color w:val="auto"/>
        </w:rPr>
        <w:t>Keepwell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Each Loan Party that is a Qualified ECP Guarantor at the time the Guaranty in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by any Loan Party that is not then an “eligible contract participant” under the Commodity Exchange Act (a “</w:t>
      </w:r>
      <w:r>
        <w:rPr>
          <w:rFonts w:ascii="Times New Roman" w:cs="Times New Roman" w:eastAsia="Times New Roman" w:hAnsi="Times New Roman"/>
          <w:sz w:val="20"/>
          <w:szCs w:val="20"/>
          <w:u w:val="single" w:color="auto"/>
          <w:color w:val="auto"/>
        </w:rPr>
        <w:t>Specified Loan Party</w:t>
      </w:r>
      <w:r>
        <w:rPr>
          <w:rFonts w:ascii="Times New Roman" w:cs="Times New Roman" w:eastAsia="Times New Roman" w:hAnsi="Times New Roman"/>
          <w:sz w:val="20"/>
          <w:szCs w:val="20"/>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voidable under applicable Debtor Relief Laws, and not for any greater amount). The obligations and undertakings of each Qualified ECP Guarantor under this Section shall remain in full force and effect until the Obligations have been paid and performed in full. Each Loan Party intends this Section to constitute, and this Section shall be deemed to constitute, a “keepwell, support,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1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color w:val="auto"/>
        </w:rPr>
        <w:t>agreement” for the benefit of each Specified Loan Party for all purposes of the Commodity Exchange Act.</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V</w:t>
      </w:r>
    </w:p>
    <w:p>
      <w:pPr>
        <w:spacing w:after="0" w:line="21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CONDITIONS PRECEDENT TO CREDIT EXTENSIONS</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5.01</w:t>
      </w:r>
      <w:r>
        <w:rPr>
          <w:sz w:val="20"/>
          <w:szCs w:val="20"/>
          <w:color w:val="auto"/>
        </w:rPr>
        <w:tab/>
      </w:r>
      <w:r>
        <w:rPr>
          <w:rFonts w:ascii="Times New Roman" w:cs="Times New Roman" w:eastAsia="Times New Roman" w:hAnsi="Times New Roman"/>
          <w:sz w:val="19"/>
          <w:szCs w:val="19"/>
          <w:u w:val="single" w:color="auto"/>
          <w:color w:val="auto"/>
        </w:rPr>
        <w:t>Conditions of Initial Credit Extension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 obligation of each Lender to make its initial Credit Extension hereunder is subject to satisfaction of the following conditions precedent:</w:t>
      </w:r>
    </w:p>
    <w:p>
      <w:pPr>
        <w:spacing w:after="0" w:line="160" w:lineRule="exact"/>
        <w:rPr>
          <w:sz w:val="20"/>
          <w:szCs w:val="20"/>
          <w:color w:val="auto"/>
        </w:rPr>
      </w:pPr>
    </w:p>
    <w:p>
      <w:pPr>
        <w:ind w:firstLine="656"/>
        <w:spacing w:after="0" w:line="269" w:lineRule="auto"/>
        <w:tabs>
          <w:tab w:leader="none" w:pos="119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Receipt by the Administrative Agent of executed counterparts of this Agreement and the other Loan Documents, each properly executed by a Responsible Officer of the signing Loan Party and, in the case of this Agreement, by each Lender.</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Receipt by the Administrative Agent of favorable opinions of legal counsel to the Loan Parties, addressed to the Administrative Agent and each Lender, dated as of the Closing Date, and in form and substance reasonably satisfactory to the Administrative Agent.</w:t>
      </w:r>
    </w:p>
    <w:p>
      <w:pPr>
        <w:spacing w:after="0" w:line="181"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129"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Change</w:t>
      </w:r>
      <w:r>
        <w:rPr>
          <w:rFonts w:ascii="Times New Roman" w:cs="Times New Roman" w:eastAsia="Times New Roman" w:hAnsi="Times New Roman"/>
          <w:sz w:val="20"/>
          <w:szCs w:val="20"/>
          <w:color w:val="auto"/>
        </w:rPr>
        <w:t>. There shall not have occurred a material adverse change since July 31, 2018 in the business, assets, liabilities (actual or contingent), operations or condition (financial or otherwise) of the Company and its Subsidiaries, taken as a whole.</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1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shall not exist any action, suit, investigation or proceeding pending or threatened in writing against the Company or any of its Subsidiaries in any court or before an arbitrator or Governmental Authority that could reasonably be expected to have a Material Adverse Effect.</w:t>
      </w:r>
    </w:p>
    <w:p>
      <w:pPr>
        <w:spacing w:after="0" w:line="16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5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Documents, Resolutions, Etc</w:t>
      </w:r>
      <w:r>
        <w:rPr>
          <w:rFonts w:ascii="Times New Roman" w:cs="Times New Roman" w:eastAsia="Times New Roman" w:hAnsi="Times New Roman"/>
          <w:sz w:val="20"/>
          <w:szCs w:val="20"/>
          <w:color w:val="auto"/>
        </w:rPr>
        <w:t>. Receipt by the Administrative Agent of the following, each of which shall be originals or .pdf or facsimiles (in each case, followed promptly by originals), in form and substance satisfactory to the Administrative Agent and its legal counsel:</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29"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756"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consolidated articles of association of each Luxembourg Loan Party, certified to be true and complete as of a recent date by a manager or director (where applicable) of such Luxembourg Loan Party;</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47"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or the equivalent with respect to any non-U.S. jurisdiction (including, with respect to a Luxembourg Loan Party, a true and complete copy of an extract from the Luxembourg Companies Register dated no earlier than one (1) day before the Closing Date, and a true and complete copy of a certificate of non-registration of judgments (</w:t>
      </w:r>
      <w:r>
        <w:rPr>
          <w:rFonts w:ascii="Times New Roman" w:cs="Times New Roman" w:eastAsia="Times New Roman" w:hAnsi="Times New Roman"/>
          <w:sz w:val="20"/>
          <w:szCs w:val="20"/>
          <w:i w:val="1"/>
          <w:iCs w:val="1"/>
          <w:color w:val="auto"/>
        </w:rPr>
        <w:t>certificat de non-inscription d’une décision judiciaire ou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certificat négatif</w:t>
      </w:r>
      <w:r>
        <w:rPr>
          <w:rFonts w:ascii="Times New Roman" w:cs="Times New Roman" w:eastAsia="Times New Roman" w:hAnsi="Times New Roman"/>
          <w:sz w:val="20"/>
          <w:szCs w:val="20"/>
          <w:color w:val="auto"/>
        </w:rPr>
        <w:t>), issued by the Luxembourg Companies Register on the date of this agreement and reflecting the situation of one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 prior to the date of this agreement, stating that such Luxembourg Loan Party incorporated in Luxembourg has not been declared bankrupt (</w:t>
      </w:r>
      <w:r>
        <w:rPr>
          <w:rFonts w:ascii="Times New Roman" w:cs="Times New Roman" w:eastAsia="Times New Roman" w:hAnsi="Times New Roman"/>
          <w:sz w:val="20"/>
          <w:szCs w:val="20"/>
          <w:i w:val="1"/>
          <w:iCs w:val="1"/>
          <w:color w:val="auto"/>
        </w:rPr>
        <w:t>en faillite</w:t>
      </w:r>
      <w:r>
        <w:rPr>
          <w:rFonts w:ascii="Times New Roman" w:cs="Times New Roman" w:eastAsia="Times New Roman" w:hAnsi="Times New Roman"/>
          <w:sz w:val="20"/>
          <w:szCs w:val="20"/>
          <w:color w:val="auto"/>
        </w:rPr>
        <w:t>) and that it has not applied for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13" w:right="339" w:bottom="1440" w:gutter="0" w:footer="0" w:header="0"/>
        </w:sectPr>
      </w:pPr>
    </w:p>
    <w:bookmarkStart w:id="115" w:name="page116"/>
    <w:bookmarkEnd w:id="115"/>
    <w:p>
      <w:pPr>
        <w:jc w:val="both"/>
        <w:ind w:left="660"/>
        <w:spacing w:after="0" w:line="270" w:lineRule="auto"/>
        <w:rPr>
          <w:sz w:val="20"/>
          <w:szCs w:val="20"/>
          <w:color w:val="auto"/>
        </w:rPr>
      </w:pPr>
      <w:r>
        <w:rPr>
          <w:rFonts w:ascii="Times New Roman" w:cs="Times New Roman" w:eastAsia="Times New Roman" w:hAnsi="Times New Roman"/>
          <w:sz w:val="19"/>
          <w:szCs w:val="19"/>
          <w:color w:val="auto"/>
        </w:rPr>
        <w:t>settlement or composition with creditors (</w:t>
      </w:r>
      <w:r>
        <w:rPr>
          <w:rFonts w:ascii="Times New Roman" w:cs="Times New Roman" w:eastAsia="Times New Roman" w:hAnsi="Times New Roman"/>
          <w:sz w:val="19"/>
          <w:szCs w:val="19"/>
          <w:i w:val="1"/>
          <w:iCs w:val="1"/>
          <w:color w:val="auto"/>
        </w:rPr>
        <w:t>concordat préventif de faillite</w:t>
      </w:r>
      <w:r>
        <w:rPr>
          <w:rFonts w:ascii="Times New Roman" w:cs="Times New Roman" w:eastAsia="Times New Roman" w:hAnsi="Times New Roman"/>
          <w:sz w:val="19"/>
          <w:szCs w:val="19"/>
          <w:color w:val="auto"/>
        </w:rPr>
        <w:t>), controlled management (</w:t>
      </w:r>
      <w:r>
        <w:rPr>
          <w:rFonts w:ascii="Times New Roman" w:cs="Times New Roman" w:eastAsia="Times New Roman" w:hAnsi="Times New Roman"/>
          <w:sz w:val="19"/>
          <w:szCs w:val="19"/>
          <w:i w:val="1"/>
          <w:iCs w:val="1"/>
          <w:color w:val="auto"/>
        </w:rPr>
        <w:t>gestion contrôlée</w:t>
      </w:r>
      <w:r>
        <w:rPr>
          <w:rFonts w:ascii="Times New Roman" w:cs="Times New Roman" w:eastAsia="Times New Roman" w:hAnsi="Times New Roman"/>
          <w:sz w:val="19"/>
          <w:szCs w:val="19"/>
          <w:color w:val="auto"/>
        </w:rPr>
        <w:t>) or reprieve from payment (</w:t>
      </w:r>
      <w:r>
        <w:rPr>
          <w:rFonts w:ascii="Times New Roman" w:cs="Times New Roman" w:eastAsia="Times New Roman" w:hAnsi="Times New Roman"/>
          <w:sz w:val="19"/>
          <w:szCs w:val="19"/>
          <w:i w:val="1"/>
          <w:iCs w:val="1"/>
          <w:color w:val="auto"/>
        </w:rPr>
        <w:t>sursis de paiement</w:t>
      </w:r>
      <w:r>
        <w:rPr>
          <w:rFonts w:ascii="Times New Roman" w:cs="Times New Roman" w:eastAsia="Times New Roman" w:hAnsi="Times New Roman"/>
          <w:sz w:val="19"/>
          <w:szCs w:val="19"/>
          <w:color w:val="auto"/>
        </w:rPr>
        <w:t>) or such other proceedings listed at Article 13, items 2 to 11 and Article 14 of the Luxembourg Act dated 19 December 2002 on the Register of Commerce and Companies, on Accounting and on Annual Accounts of the Companies (as amended from time to time)),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 the approval by the board of managers of a Luxembourg Loan Party for such Luxembourg Loan Party to enter into this Agreement and the other Loan Documents to which it is a party; and</w:t>
      </w:r>
    </w:p>
    <w:p>
      <w:pPr>
        <w:spacing w:after="0" w:line="160" w:lineRule="exact"/>
        <w:rPr>
          <w:sz w:val="20"/>
          <w:szCs w:val="20"/>
          <w:color w:val="auto"/>
        </w:rPr>
      </w:pPr>
    </w:p>
    <w:p>
      <w:pPr>
        <w:jc w:val="both"/>
        <w:ind w:left="660" w:firstLine="644"/>
        <w:spacing w:after="0" w:line="261" w:lineRule="auto"/>
        <w:tabs>
          <w:tab w:leader="none" w:pos="185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 may reasonably require to evidence that each Loan Party is duly organized or formed, and is validly existing, in good standing (or similar status) and qualified to engage in business in its state of organization or formation.</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13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w:t>
      </w:r>
      <w:r>
        <w:rPr>
          <w:rFonts w:ascii="Times New Roman" w:cs="Times New Roman" w:eastAsia="Times New Roman" w:hAnsi="Times New Roman"/>
          <w:sz w:val="20"/>
          <w:szCs w:val="20"/>
          <w:color w:val="auto"/>
        </w:rPr>
        <w:t xml:space="preserve">. Receipt by the Administrative Agent of a certificate signed by a Responsible Officer of the Company certifying that the conditions specified in </w:t>
      </w:r>
      <w:r>
        <w:rPr>
          <w:rFonts w:ascii="Times New Roman" w:cs="Times New Roman" w:eastAsia="Times New Roman" w:hAnsi="Times New Roman"/>
          <w:sz w:val="20"/>
          <w:szCs w:val="20"/>
          <w:u w:val="single" w:color="auto"/>
          <w:color w:val="auto"/>
        </w:rPr>
        <w:t>Sections 5.01(c)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5.02(a)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15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Existing Credit Agreement</w:t>
      </w:r>
      <w:r>
        <w:rPr>
          <w:rFonts w:ascii="Times New Roman" w:cs="Times New Roman" w:eastAsia="Times New Roman" w:hAnsi="Times New Roman"/>
          <w:sz w:val="20"/>
          <w:szCs w:val="20"/>
          <w:color w:val="auto"/>
        </w:rPr>
        <w:t>. Receipt by the Administrative Agent of evidence reasonably satisfactory to the Administrative Agent that all obligations (other than contingent obligations surviving the termination of the Existing Credit Agreement) owing under the Existing Credit Agreement have been repaid in full, all commitments thereunder have been terminated and all Liens (if any) in connection therewith have been released.</w:t>
      </w:r>
    </w:p>
    <w:p>
      <w:pPr>
        <w:spacing w:after="0" w:line="185"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Receipt by the Administrative Agent, the Arrangers and the Lenders of any fees required to be paid on or before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 Date.</w:t>
      </w:r>
    </w:p>
    <w:p>
      <w:pPr>
        <w:spacing w:after="0" w:line="207" w:lineRule="exact"/>
        <w:rPr>
          <w:rFonts w:ascii="Times New Roman" w:cs="Times New Roman" w:eastAsia="Times New Roman" w:hAnsi="Times New Roman"/>
          <w:sz w:val="20"/>
          <w:szCs w:val="20"/>
          <w:color w:val="auto"/>
        </w:rPr>
      </w:pPr>
    </w:p>
    <w:p>
      <w:pPr>
        <w:jc w:val="both"/>
        <w:ind w:firstLine="656"/>
        <w:spacing w:after="0" w:line="253" w:lineRule="auto"/>
        <w:tabs>
          <w:tab w:leader="none" w:pos="105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Unless waived by the Administrative Agent, the Company shall have paid all the reasonable fees, charges and disbursements of counsel of the Administrative Agent to the extent invoices have been received at least one Business Day in advance prior to the Closing Date, plus such additional amounts of such fees, charges and disbursements of such counsel as shall constitute its reasonable estimate of such fees, charges and disbursements of such counsel incurred or to be incurred by it through the closing proceedings (provided that such estimate shall not thereafter preclude a final settling of accounts between the Company and the Administrative Agent).</w:t>
      </w:r>
    </w:p>
    <w:p>
      <w:pPr>
        <w:spacing w:after="0" w:line="191"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KYC Information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81" w:lineRule="auto"/>
        <w:tabs>
          <w:tab w:leader="none" w:pos="1729"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reasonable request of any Lender made at least 15 days prior to the Closing Date, the Company shall have provided to such Lender the documentation and other information so requested in connection with applicable “know your customer” and anti-money-laundering rules and regulations, including the Act, in each case at least five days prior to the Closing Date.</w:t>
      </w:r>
    </w:p>
    <w:p>
      <w:pPr>
        <w:spacing w:after="0" w:line="164" w:lineRule="exact"/>
        <w:rPr>
          <w:rFonts w:ascii="Times New Roman" w:cs="Times New Roman" w:eastAsia="Times New Roman" w:hAnsi="Times New Roman"/>
          <w:sz w:val="19"/>
          <w:szCs w:val="19"/>
          <w:color w:val="auto"/>
        </w:rPr>
      </w:pPr>
    </w:p>
    <w:p>
      <w:pPr>
        <w:ind w:left="660" w:firstLine="644"/>
        <w:spacing w:after="0" w:line="283" w:lineRule="auto"/>
        <w:tabs>
          <w:tab w:leader="none" w:pos="178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days prior to the Closing Date, if a Borrower qualifies as a “legal entity customer” under the Beneficial Ownership Regulation, it shall deliver a Beneficial Ownership Certification in relation to such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09" w:right="339" w:bottom="1440" w:gutter="0" w:footer="0" w:header="0"/>
        </w:sectPr>
      </w:pPr>
    </w:p>
    <w:bookmarkStart w:id="116" w:name="page117"/>
    <w:bookmarkEnd w:id="116"/>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Lenders that are parties to the Existing Credit Agreement (and which constitute “Required Lenders” under and as defined in the Existing Credit Agreement) hereby waive any advance notice requirement for terminating the commitments under the Existing Credit Agreement, and the Borrowers and the applicable Lenders agree that the Existing Credit Agreement and the commitments thereunder shall be terminated on the date hereof (except for any provisions thereof which by their terms survive termination thereof).</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5.02</w:t>
      </w:r>
      <w:r>
        <w:rPr>
          <w:sz w:val="20"/>
          <w:szCs w:val="20"/>
          <w:color w:val="auto"/>
        </w:rPr>
        <w:tab/>
      </w:r>
      <w:r>
        <w:rPr>
          <w:rFonts w:ascii="Times New Roman" w:cs="Times New Roman" w:eastAsia="Times New Roman" w:hAnsi="Times New Roman"/>
          <w:sz w:val="19"/>
          <w:szCs w:val="19"/>
          <w:u w:val="single" w:color="auto"/>
          <w:color w:val="auto"/>
        </w:rPr>
        <w:t>Conditions to all Credit Extensions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obligation of each Lender and the L/C Issuer to honor any Request for Credit Extension is subject to the following conditions precedent:</w:t>
      </w:r>
    </w:p>
    <w:p>
      <w:pPr>
        <w:spacing w:after="0" w:line="146" w:lineRule="exact"/>
        <w:rPr>
          <w:sz w:val="20"/>
          <w:szCs w:val="20"/>
          <w:color w:val="auto"/>
        </w:rPr>
      </w:pPr>
    </w:p>
    <w:p>
      <w:pPr>
        <w:jc w:val="both"/>
        <w:ind w:firstLine="656"/>
        <w:spacing w:after="0" w:line="257" w:lineRule="auto"/>
        <w:tabs>
          <w:tab w:leader="none" w:pos="111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Loan Parties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(excluding, except in the case of the Closing Date, the representation and warranty contained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or any other Loan Document, or which are contained in any document furnished at any time under or in connection herewith or therewith,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w:t>
      </w:r>
    </w:p>
    <w:p>
      <w:pPr>
        <w:spacing w:after="0" w:line="17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107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L/C Issuer or the Swing Line Lender shall have received a Request for Credit Extension in accordance with the requirements hereof.</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139"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applicable Borrower is a Designated Borrower, such Borrower shall have been designated as a Designated Borrower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0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a conversion of the Loans to another Type or a continuation of </w:t>
      </w:r>
      <w:r>
        <w:rPr>
          <w:rFonts w:ascii="Times New Roman" w:cs="Times New Roman" w:eastAsia="Times New Roman" w:hAnsi="Times New Roman"/>
          <w:sz w:val="20"/>
          <w:szCs w:val="20"/>
          <w:color w:val="FF0000"/>
          <w:strike w:val="1"/>
        </w:rPr>
        <w:t>Eurocurrency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Benchmark</w:t>
      </w:r>
      <w:r>
        <w:rPr>
          <w:rFonts w:ascii="Times New Roman" w:cs="Times New Roman" w:eastAsia="Times New Roman" w:hAnsi="Times New Roman"/>
          <w:sz w:val="20"/>
          <w:szCs w:val="20"/>
          <w:color w:val="auto"/>
        </w:rPr>
        <w:t xml:space="preserve"> Loans) submitted by a Borrower shall be deemed to be a representation and warranty that the conditions specified in </w:t>
      </w:r>
      <w:r>
        <w:rPr>
          <w:rFonts w:ascii="Times New Roman" w:cs="Times New Roman" w:eastAsia="Times New Roman" w:hAnsi="Times New Roman"/>
          <w:sz w:val="20"/>
          <w:szCs w:val="20"/>
          <w:u w:val="single" w:color="auto"/>
          <w:color w:val="auto"/>
        </w:rPr>
        <w:t>Sections 5.02(a)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13" w:right="339" w:bottom="1440" w:gutter="0" w:footer="0" w:header="0"/>
        </w:sectPr>
      </w:pPr>
    </w:p>
    <w:bookmarkStart w:id="117" w:name="page118"/>
    <w:bookmarkEnd w:id="117"/>
    <w:p>
      <w:pPr>
        <w:jc w:val="center"/>
        <w:ind w:right="40"/>
        <w:spacing w:after="0"/>
        <w:rPr>
          <w:sz w:val="20"/>
          <w:szCs w:val="20"/>
          <w:color w:val="auto"/>
        </w:rPr>
      </w:pPr>
      <w:r>
        <w:rPr>
          <w:rFonts w:ascii="Times New Roman" w:cs="Times New Roman" w:eastAsia="Times New Roman" w:hAnsi="Times New Roman"/>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To induce the Administrative Agent and the Lenders to enter into this Agreement and to induce the Lenders to make Loans and issue or participate in Letters of Credit hereunder, the Loan Parties represent and warrant to the Administrative Agent and the Lenders that:</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6.01</w:t>
      </w:r>
      <w:r>
        <w:rPr>
          <w:sz w:val="20"/>
          <w:szCs w:val="20"/>
          <w:color w:val="auto"/>
        </w:rPr>
        <w:tab/>
      </w:r>
      <w:r>
        <w:rPr>
          <w:rFonts w:ascii="Times New Roman" w:cs="Times New Roman" w:eastAsia="Times New Roman" w:hAnsi="Times New Roman"/>
          <w:sz w:val="19"/>
          <w:szCs w:val="19"/>
          <w:u w:val="single" w:color="auto"/>
          <w:color w:val="auto"/>
        </w:rPr>
        <w:t>Organization, etc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is a corporation duly organized, validly existing and in good standing (or equivalent status) under the Laws of the State of Wisconsin; each Designated Borrower and Significant Subsidiary is duly organized, validly existing and in good standing (or equivalent status) under the Laws of the jurisdiction of its organization; and the Company, each Designated Borrower and each Significant Subsidiary is duly qualified to do business in each jurisdiction where the nature of its business makes such qualification necessary (except to the extent the failure to be so qualified or in good standing could not reasonably be expected to have a Material Adverse Effect) and has full power and authority to own its property and conduct its business as presently conducted by it (except to the extent the failure to have such authority could not reasonably be expected to have a Material Adverse Effect).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6.02</w:t>
      </w:r>
      <w:r>
        <w:rPr>
          <w:sz w:val="20"/>
          <w:szCs w:val="20"/>
          <w:color w:val="auto"/>
        </w:rPr>
        <w:tab/>
      </w:r>
      <w:r>
        <w:rPr>
          <w:rFonts w:ascii="Times New Roman" w:cs="Times New Roman" w:eastAsia="Times New Roman" w:hAnsi="Times New Roman"/>
          <w:sz w:val="19"/>
          <w:szCs w:val="19"/>
          <w:u w:val="single" w:color="auto"/>
          <w:color w:val="auto"/>
        </w:rPr>
        <w:t>Authorization; No Conflict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 execution, delivery and performance by each Loan Party of each Loan Document to which it is a party and the Credit Extensions hereunder (a) are within the organizational powers of the Company and each Loan Party, (b) have been duly authorized by all necessary organizational action on the part of such Loan Party (including any necessary shareholder, partner or member action), (c) have received all necessary governmental and other third-party approvals (if any shall be required) the failure of which to obtain could reasonably be expected to have a Material Adverse Effect, and (d) do not and will not (i) violate any provision of Law or any order, decree or judgment of any court or other Governmental Authority which is binding on the Company or any other Loan Party, (ii) contravene or conflict with, or result in a breach of, any provision of the Organization Documents of the Company or any other Loan Party or (iii) contravene or conflict with, or result in a Lien under, any material agreement, indenture, instrument or other document which is binding on the Company or any other Loan Party.</w:t>
      </w:r>
    </w:p>
    <w:p>
      <w:pPr>
        <w:spacing w:after="0" w:line="16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6.03</w:t>
      </w:r>
      <w:r>
        <w:rPr>
          <w:sz w:val="20"/>
          <w:szCs w:val="20"/>
          <w:color w:val="auto"/>
        </w:rPr>
        <w:tab/>
      </w:r>
      <w:r>
        <w:rPr>
          <w:rFonts w:ascii="Times New Roman" w:cs="Times New Roman" w:eastAsia="Times New Roman" w:hAnsi="Times New Roman"/>
          <w:sz w:val="19"/>
          <w:szCs w:val="19"/>
          <w:u w:val="single" w:color="auto"/>
          <w:color w:val="auto"/>
        </w:rPr>
        <w:t>Validity and Binding Nature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Each Loan Document to which a Loan Party is a party is the legal, valid and binding obligation of such Loan Party, enforceable against such Loan Party in accordance with its terms, subject to Debtor Relief Laws and to general principles of equity.</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6.04</w:t>
      </w:r>
      <w:r>
        <w:rPr>
          <w:sz w:val="20"/>
          <w:szCs w:val="20"/>
          <w:color w:val="auto"/>
        </w:rPr>
        <w:tab/>
      </w:r>
      <w:r>
        <w:rPr>
          <w:rFonts w:ascii="Times New Roman" w:cs="Times New Roman" w:eastAsia="Times New Roman" w:hAnsi="Times New Roman"/>
          <w:sz w:val="19"/>
          <w:szCs w:val="19"/>
          <w:u w:val="single" w:color="auto"/>
          <w:color w:val="auto"/>
        </w:rPr>
        <w:t>Financial Condition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Audited Financial Statements were prepared in accordance with GAAP and present fairly in all material respects the consolidated financial condition of the Company and its Subsidiaries as at such date and the results of their operations for the period then ended, except as may be expressly noted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13" w:right="339" w:bottom="1440" w:gutter="0" w:footer="0" w:header="0"/>
        </w:sectPr>
      </w:pPr>
    </w:p>
    <w:bookmarkStart w:id="118" w:name="page119"/>
    <w:bookmarkEnd w:id="118"/>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6.05</w:t>
      </w:r>
      <w:r>
        <w:rPr>
          <w:sz w:val="20"/>
          <w:szCs w:val="20"/>
          <w:color w:val="auto"/>
        </w:rPr>
        <w:tab/>
      </w:r>
      <w:r>
        <w:rPr>
          <w:rFonts w:ascii="Times New Roman" w:cs="Times New Roman" w:eastAsia="Times New Roman" w:hAnsi="Times New Roman"/>
          <w:sz w:val="19"/>
          <w:szCs w:val="19"/>
          <w:u w:val="single" w:color="auto"/>
          <w:color w:val="auto"/>
        </w:rPr>
        <w:t>No Material Adverse Change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Since July 31, 2018, there has been no material adverse change in the financial condition, operations, assets, business or properties of the Company and its Subsidiaries taken as a whole.</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6.06</w:t>
      </w:r>
      <w:r>
        <w:rPr>
          <w:sz w:val="20"/>
          <w:szCs w:val="20"/>
          <w:color w:val="auto"/>
        </w:rPr>
        <w:tab/>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No litigation (including derivative actions), arbitration proceeding, labor controversy or governmental investigation or proceeding is pending or, to the Company’s knowledge, threatened in writing against the Company or any Significant Subsidiary which could reasonably be expected to (a) have a Material Adverse Effect; (b) materially and adversely affect the ability of the Borrowers or any Guarantor to perform its obligations under the Loan Documents; or (c) materially and adversely affect the rights and remedies of the Administrative Agent or the Lenders under the Loan Documents.</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6.07</w:t>
      </w:r>
      <w:r>
        <w:rPr>
          <w:sz w:val="20"/>
          <w:szCs w:val="20"/>
          <w:color w:val="auto"/>
        </w:rPr>
        <w:tab/>
      </w:r>
      <w:r>
        <w:rPr>
          <w:rFonts w:ascii="Times New Roman" w:cs="Times New Roman" w:eastAsia="Times New Roman" w:hAnsi="Times New Roman"/>
          <w:sz w:val="19"/>
          <w:szCs w:val="19"/>
          <w:u w:val="single" w:color="auto"/>
          <w:color w:val="auto"/>
        </w:rPr>
        <w:t>Ownership of Properties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of the Company and each Significant Subsidiary owns good and, in the case of real property, indefeasible title to all of its properties and assets, real and personal, tangible and intangible, of any nature whatsoever (including patents, trademarks, trade names, service marks and copyrights), except for such defects in title or interest that could not reasonably be expected to have a Material Adverse Effect.</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6.08</w:t>
      </w:r>
      <w:r>
        <w:rPr>
          <w:sz w:val="20"/>
          <w:szCs w:val="20"/>
          <w:color w:val="auto"/>
        </w:rPr>
        <w:tab/>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As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the Company has no Subsidiaries except those listed in </w:t>
      </w:r>
      <w:r>
        <w:rPr>
          <w:rFonts w:ascii="Times New Roman" w:cs="Times New Roman" w:eastAsia="Times New Roman" w:hAnsi="Times New Roman"/>
          <w:sz w:val="20"/>
          <w:szCs w:val="20"/>
          <w:u w:val="single" w:color="auto"/>
          <w:color w:val="auto"/>
        </w:rPr>
        <w:t>Schedule 6.08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6.09</w:t>
      </w:r>
      <w:r>
        <w:rPr>
          <w:sz w:val="20"/>
          <w:szCs w:val="20"/>
          <w:color w:val="auto"/>
        </w:rPr>
        <w:tab/>
      </w:r>
      <w:r>
        <w:rPr>
          <w:rFonts w:ascii="Times New Roman" w:cs="Times New Roman" w:eastAsia="Times New Roman" w:hAnsi="Times New Roman"/>
          <w:sz w:val="19"/>
          <w:szCs w:val="19"/>
          <w:u w:val="single" w:color="auto"/>
          <w:color w:val="auto"/>
        </w:rPr>
        <w:t>Pension Plans and Plan Assets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8" w:lineRule="auto"/>
        <w:tabs>
          <w:tab w:leader="none" w:pos="1075"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twelve-consecutive-month period prior to the Closing Date or the making of any Credit Extension hereunder, (i) no steps have been taken to terminate any Pension Plan other than a “standard termination” in accordance with Section 4041(b) of ERISA and</w:t>
      </w:r>
    </w:p>
    <w:p>
      <w:pPr>
        <w:ind w:left="300" w:hanging="292"/>
        <w:spacing w:after="0"/>
        <w:tabs>
          <w:tab w:leader="none" w:pos="30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contribution failure has occurred with respect to any Pension Plan sufficient to give rise to a Lien under Section 303(k) of ERISA. No</w:t>
      </w:r>
    </w:p>
    <w:p>
      <w:pPr>
        <w:spacing w:after="0" w:line="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condition exists or event or transaction has occurred with respect to any Pension Plan which could reasonably be expected to have a Material Adverse Effect.</w:t>
      </w:r>
    </w:p>
    <w:p>
      <w:pPr>
        <w:spacing w:after="0" w:line="188" w:lineRule="exact"/>
        <w:rPr>
          <w:sz w:val="20"/>
          <w:szCs w:val="20"/>
          <w:color w:val="auto"/>
        </w:rPr>
      </w:pPr>
    </w:p>
    <w:p>
      <w:pPr>
        <w:jc w:val="both"/>
        <w:ind w:firstLine="656"/>
        <w:spacing w:after="0" w:line="250" w:lineRule="auto"/>
        <w:tabs>
          <w:tab w:leader="none" w:pos="1085"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contributions (if any) have been made to any Multiemployer Pension Plan that are required to be made by the Company or any other member of the Controlled Group under the terms of the plan or of any collective bargaining agreement or by applicable Law; neither the Company nor any member of the Controlled Group has withdrawn or partially withdrawn from any Multiemployer Pension Plan, incurred any material withdrawal liability with respect to any such plan or received notice of any claim or demand for material withdrawal liability or partial withdrawal liability from any such plan; and neither the Company nor any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Internal Revenue Code, that any such plan is or may be involuntarily terminated, or that any such plan is or may become insolvent; except, in each case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to the extent that the facts and circumstances causing such representation and warranty to be inaccurate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13" w:right="339" w:bottom="1440" w:gutter="0" w:footer="0" w:header="0"/>
        </w:sectPr>
      </w:pPr>
    </w:p>
    <w:bookmarkStart w:id="119" w:name="page120"/>
    <w:bookmarkEnd w:id="119"/>
    <w:p>
      <w:pPr>
        <w:ind w:right="3240" w:firstLine="656"/>
        <w:spacing w:after="0" w:line="471" w:lineRule="auto"/>
        <w:tabs>
          <w:tab w:leader="none" w:pos="104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Company nor any other Loan Party is an entity deemed to hold Plan Assets. 6.10 </w:t>
      </w: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Neither the Company nor any Subsidiary is an “investment company” or a company “controlled” by an “investment company”, within the meaning of the Investment Company Act of 1940.</w:t>
      </w:r>
    </w:p>
    <w:p>
      <w:pPr>
        <w:spacing w:after="0" w:line="14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u w:val="single" w:color="auto"/>
          <w:color w:val="auto"/>
        </w:rPr>
        <w:t>Regulation U</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 Borrower is engaged principally, or as one of its important activities, in the business of extending credit for the purpose of purchasing or carrying Margin Stock.</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Each of the Company and each Significant Subsidiary has filed all federal tax returns and other tax returns and tax reports required by Law to have been filed by it and has paid all taxes and governmental charges thereby shown to be owing, except for any of the following:</w:t>
      </w:r>
    </w:p>
    <w:p>
      <w:pPr>
        <w:spacing w:after="0" w:line="2" w:lineRule="exact"/>
        <w:rPr>
          <w:sz w:val="20"/>
          <w:szCs w:val="20"/>
          <w:color w:val="auto"/>
        </w:rPr>
      </w:pPr>
    </w:p>
    <w:p>
      <w:pPr>
        <w:jc w:val="both"/>
        <w:ind w:firstLine="8"/>
        <w:spacing w:after="0" w:line="253" w:lineRule="auto"/>
        <w:tabs>
          <w:tab w:leader="none" w:pos="257"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taxes or charges which are being diligently contested in good faith by appropriate action and for which adequate reserves in accordance with GAAP shall have been set aside on its books and/or (ii) where failure of which to file and/or pay (as the case may be) could not reasonably be expected to have a Material Adverse Effect.</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Company conducts, in the ordinary course of business (in a manner sufficient to enable the Company to make the representation and warranty set forth in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 review of the effect of existing Environmental Laws (excluding health, safety and land use matters) and existing Environmental Claims (excluding health, safety and land use matters) on its and its Significant Subsidiaries’ business, operation and properties, and as a result thereof, the Company has reasonably concluded that, except for matters for which adequate reserves are maintained, the aggregate effect of such Environmental Laws and Environmental Claims, could not reasonably be expected to have a Material Adverse Effect.</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All information heretofore or contemporaneously herewith furnished in writing by the Company or any Subsidiary to the Administrative Agent or any Lender pursuant to this Agreement and the other Loan Documents hereby is, and all written information hereafter furnished by or on behalf of the Company or any Subsidiary to any Lender pursuant hereto, when taken as a whole, will be true and accurate in every material respect on the date as of which such information is dated or certified, and none of such information is or will be incomplete by omitting to state any material fact necessary to make such information not materially misleading in light of the circumstances under which made (it being recognized by the Administrative Agent and the Lenders that (a) any projections and forecasts provided by the Company or any Subsidiary are based on good faith estimates and assumptions believed by the Company or such Subsidiary to be reasonable as of the date of the applicable projections or assumptions and that actual results during the period or periods covered by any such projections and forecasts will likely differ from projected or forecasted results and (b) any information provided by the Company or any Subsidiary with respect to any Person or assets acquired or to be acquired by the Company or any Subsidiary shall, for all periods prior to the date of such Acquisition, be limited to the knowledge of the Company or the acquiring Subsidiary after reasonable inquiry).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13" w:right="339" w:bottom="1440" w:gutter="0" w:footer="0" w:header="0"/>
        </w:sectPr>
      </w:pPr>
    </w:p>
    <w:bookmarkStart w:id="120" w:name="page121"/>
    <w:bookmarkEnd w:id="120"/>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 Default has occurred and is continuing or would result from the consummation of any transaction contemplated by this Agreement or any other Loan Document.</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6.16</w:t>
      </w:r>
      <w:r>
        <w:rPr>
          <w:sz w:val="20"/>
          <w:szCs w:val="20"/>
          <w:color w:val="auto"/>
        </w:rPr>
        <w:tab/>
      </w:r>
      <w:r>
        <w:rPr>
          <w:rFonts w:ascii="Times New Roman" w:cs="Times New Roman" w:eastAsia="Times New Roman" w:hAnsi="Times New Roman"/>
          <w:sz w:val="19"/>
          <w:szCs w:val="19"/>
          <w:u w:val="single" w:color="auto"/>
          <w:color w:val="auto"/>
        </w:rPr>
        <w:t>Designated Borrower Joinder Agreement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as long as any Subsidiary shall be a Borrower, the representations and warranties of such Subsidiary in such Borrower’s Designated Borrower Joinder Agreement are true and correct in all material respects as of the date such representations and warranties are made or deemed to be made, except to the extent such representations and warranties expressly relate to an earlier date in which case they shall be true and correct in all material respects as of such earlier date.</w:t>
      </w:r>
    </w:p>
    <w:p>
      <w:pPr>
        <w:spacing w:after="0" w:line="1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None of the Loan Parties, nor any of their Subsidiaries, nor, to the knowledge of the Loan Parties and their Subsidiaries, any director, officer, employee or Affiliate thereof, nor, to the knowledge of the Loan Parties, any agent of the Borrowers or any Subsidiary that will act as agent on behalf of the Borrowers or such Subsidiary in connection with the credit facility established hereby,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6.18</w:t>
      </w:r>
      <w:r>
        <w:rPr>
          <w:sz w:val="20"/>
          <w:szCs w:val="20"/>
          <w:color w:val="auto"/>
        </w:rPr>
        <w:tab/>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Loan Parties and their Subsidiaries have conducted their businesses in compliance in all material respects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6.19</w:t>
      </w:r>
      <w:r>
        <w:rPr>
          <w:sz w:val="20"/>
          <w:szCs w:val="20"/>
          <w:color w:val="auto"/>
        </w:rPr>
        <w:tab/>
      </w:r>
      <w:r>
        <w:rPr>
          <w:rFonts w:ascii="Times New Roman" w:cs="Times New Roman" w:eastAsia="Times New Roman" w:hAnsi="Times New Roman"/>
          <w:sz w:val="19"/>
          <w:szCs w:val="19"/>
          <w:u w:val="single" w:color="auto"/>
          <w:color w:val="auto"/>
        </w:rPr>
        <w:t>Luxembourg Specific Representations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0" w:lineRule="auto"/>
        <w:tabs>
          <w:tab w:leader="none" w:pos="1129"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Luxembourg Loan Party is in compliance with the Luxembourg Law of 31 May 1999 governing the domiciliation of companies (as amended from time to time and all related regulations); (b) the head office (</w:t>
      </w:r>
      <w:r>
        <w:rPr>
          <w:rFonts w:ascii="Times New Roman" w:cs="Times New Roman" w:eastAsia="Times New Roman" w:hAnsi="Times New Roman"/>
          <w:sz w:val="20"/>
          <w:szCs w:val="20"/>
          <w:i w:val="1"/>
          <w:iCs w:val="1"/>
          <w:color w:val="auto"/>
        </w:rPr>
        <w:t>administration centrale</w:t>
      </w:r>
      <w:r>
        <w:rPr>
          <w:rFonts w:ascii="Times New Roman" w:cs="Times New Roman" w:eastAsia="Times New Roman" w:hAnsi="Times New Roman"/>
          <w:sz w:val="20"/>
          <w:szCs w:val="20"/>
          <w:color w:val="auto"/>
        </w:rPr>
        <w:t>), the place of effective management (</w:t>
      </w:r>
      <w:r>
        <w:rPr>
          <w:rFonts w:ascii="Times New Roman" w:cs="Times New Roman" w:eastAsia="Times New Roman" w:hAnsi="Times New Roman"/>
          <w:sz w:val="20"/>
          <w:szCs w:val="20"/>
          <w:i w:val="1"/>
          <w:iCs w:val="1"/>
          <w:color w:val="auto"/>
        </w:rPr>
        <w:t>siège de direction effective</w:t>
      </w:r>
      <w:r>
        <w:rPr>
          <w:rFonts w:ascii="Times New Roman" w:cs="Times New Roman" w:eastAsia="Times New Roman" w:hAnsi="Times New Roman"/>
          <w:sz w:val="20"/>
          <w:szCs w:val="20"/>
          <w:color w:val="auto"/>
        </w:rPr>
        <w:t>) and (for the purposes of the European Insolvency Regulation) the center of main interests (</w:t>
      </w:r>
      <w:r>
        <w:rPr>
          <w:rFonts w:ascii="Times New Roman" w:cs="Times New Roman" w:eastAsia="Times New Roman" w:hAnsi="Times New Roman"/>
          <w:sz w:val="20"/>
          <w:szCs w:val="20"/>
          <w:i w:val="1"/>
          <w:iCs w:val="1"/>
          <w:color w:val="auto"/>
        </w:rPr>
        <w:t>centre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des intérêts principaux</w:t>
      </w:r>
      <w:r>
        <w:rPr>
          <w:rFonts w:ascii="Times New Roman" w:cs="Times New Roman" w:eastAsia="Times New Roman" w:hAnsi="Times New Roman"/>
          <w:sz w:val="20"/>
          <w:szCs w:val="20"/>
          <w:color w:val="auto"/>
        </w:rPr>
        <w:t>) of each Luxembourg Loan Party in Luxembourg is located at the place of its registered office (</w:t>
      </w:r>
      <w:r>
        <w:rPr>
          <w:rFonts w:ascii="Times New Roman" w:cs="Times New Roman" w:eastAsia="Times New Roman" w:hAnsi="Times New Roman"/>
          <w:sz w:val="20"/>
          <w:szCs w:val="20"/>
          <w:i w:val="1"/>
          <w:iCs w:val="1"/>
          <w:color w:val="auto"/>
        </w:rPr>
        <w:t>siège statutaire</w:t>
      </w:r>
      <w:r>
        <w:rPr>
          <w:rFonts w:ascii="Times New Roman" w:cs="Times New Roman" w:eastAsia="Times New Roman" w:hAnsi="Times New Roman"/>
          <w:sz w:val="20"/>
          <w:szCs w:val="20"/>
          <w:color w:val="auto"/>
        </w:rPr>
        <w: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Luxembourg; (c) no Luxembourg Loan Party has filed and, to the best of its knowledge, no Person has filed a request with any competent court seeking that any Luxembourg Loan Party, be declared subject to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general settlement or composition with creditors (</w:t>
      </w:r>
      <w:r>
        <w:rPr>
          <w:rFonts w:ascii="Times New Roman" w:cs="Times New Roman" w:eastAsia="Times New Roman" w:hAnsi="Times New Roman"/>
          <w:sz w:val="20"/>
          <w:szCs w:val="20"/>
          <w:i w:val="1"/>
          <w:iCs w:val="1"/>
          <w:color w:val="auto"/>
        </w:rPr>
        <w:t>concordat préventif de faillite</w:t>
      </w:r>
      <w:r>
        <w:rPr>
          <w:rFonts w:ascii="Times New Roman" w:cs="Times New Roman" w:eastAsia="Times New Roman" w:hAnsi="Times New Roman"/>
          <w:sz w:val="20"/>
          <w:szCs w:val="20"/>
          <w:color w:val="auto"/>
        </w:rPr>
        <w:t>) controlled management (</w:t>
      </w:r>
      <w:r>
        <w:rPr>
          <w:rFonts w:ascii="Times New Roman" w:cs="Times New Roman" w:eastAsia="Times New Roman" w:hAnsi="Times New Roman"/>
          <w:sz w:val="20"/>
          <w:szCs w:val="20"/>
          <w:i w:val="1"/>
          <w:iCs w:val="1"/>
          <w:color w:val="auto"/>
        </w:rPr>
        <w:t>gestion contrôlée</w:t>
      </w:r>
      <w:r>
        <w:rPr>
          <w:rFonts w:ascii="Times New Roman" w:cs="Times New Roman" w:eastAsia="Times New Roman" w:hAnsi="Times New Roman"/>
          <w:sz w:val="20"/>
          <w:szCs w:val="20"/>
          <w:color w:val="auto"/>
        </w:rPr>
        <w:t>),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judicial or voluntary liquidation (</w:t>
      </w:r>
      <w:r>
        <w:rPr>
          <w:rFonts w:ascii="Times New Roman" w:cs="Times New Roman" w:eastAsia="Times New Roman" w:hAnsi="Times New Roman"/>
          <w:sz w:val="20"/>
          <w:szCs w:val="20"/>
          <w:i w:val="1"/>
          <w:iCs w:val="1"/>
          <w:color w:val="auto"/>
        </w:rPr>
        <w:t>liquidation judiciaire ou volontaire</w:t>
      </w:r>
      <w:r>
        <w:rPr>
          <w:rFonts w:ascii="Times New Roman" w:cs="Times New Roman" w:eastAsia="Times New Roman" w:hAnsi="Times New Roman"/>
          <w:sz w:val="20"/>
          <w:szCs w:val="20"/>
          <w:color w:val="auto"/>
        </w:rPr>
        <w:t xml:space="preserve">), such other proceedings listed at Article 13, items 2 to 11, 13 and Article 14 of the Luxembourg Law of 19 December 2002 on the register of commerce and companies, and the accounting and annual accounts of undertakings (as amended from time to time), (and which include foreign court decision as to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concordat</w:t>
      </w:r>
      <w:r>
        <w:rPr>
          <w:rFonts w:ascii="Times New Roman" w:cs="Times New Roman" w:eastAsia="Times New Roman" w:hAnsi="Times New Roman"/>
          <w:sz w:val="20"/>
          <w:szCs w:val="20"/>
          <w:color w:val="auto"/>
        </w:rPr>
        <w:t xml:space="preserve"> or analogous procedures according to the European Insolvency Regulation); and (d) each Luxembourg Loan Party is not, and will not, as a result of its entry into the Loan Documents or the performance of its obligations thereunder, be in a state of cessation of payments (</w:t>
      </w:r>
      <w:r>
        <w:rPr>
          <w:rFonts w:ascii="Times New Roman" w:cs="Times New Roman" w:eastAsia="Times New Roman" w:hAnsi="Times New Roman"/>
          <w:sz w:val="20"/>
          <w:szCs w:val="20"/>
          <w:i w:val="1"/>
          <w:iCs w:val="1"/>
          <w:color w:val="auto"/>
        </w:rPr>
        <w:t>cessation des paiements</w:t>
      </w:r>
      <w:r>
        <w:rPr>
          <w:rFonts w:ascii="Times New Roman" w:cs="Times New Roman" w:eastAsia="Times New Roman" w:hAnsi="Times New Roman"/>
          <w:sz w:val="20"/>
          <w:szCs w:val="20"/>
          <w:color w:val="auto"/>
        </w:rPr>
        <w:t>), or be deemed to be in a such state, and has not, and will not, as a result of its entry into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13" w:right="339" w:bottom="1440" w:gutter="0" w:footer="0" w:header="0"/>
        </w:sectPr>
      </w:pPr>
    </w:p>
    <w:bookmarkStart w:id="121" w:name="page122"/>
    <w:bookmarkEnd w:id="121"/>
    <w:p>
      <w:pPr>
        <w:jc w:val="both"/>
        <w:spacing w:after="0" w:line="287" w:lineRule="auto"/>
        <w:rPr>
          <w:sz w:val="20"/>
          <w:szCs w:val="20"/>
          <w:color w:val="auto"/>
        </w:rPr>
      </w:pPr>
      <w:r>
        <w:rPr>
          <w:rFonts w:ascii="Times New Roman" w:cs="Times New Roman" w:eastAsia="Times New Roman" w:hAnsi="Times New Roman"/>
          <w:sz w:val="20"/>
          <w:szCs w:val="20"/>
          <w:color w:val="auto"/>
        </w:rPr>
        <w:t>Loan Documents or the performance of its obligations thereunder, lose its creditworthiness (</w:t>
      </w:r>
      <w:r>
        <w:rPr>
          <w:rFonts w:ascii="Times New Roman" w:cs="Times New Roman" w:eastAsia="Times New Roman" w:hAnsi="Times New Roman"/>
          <w:sz w:val="20"/>
          <w:szCs w:val="20"/>
          <w:i w:val="1"/>
          <w:iCs w:val="1"/>
          <w:color w:val="auto"/>
        </w:rPr>
        <w:t>ébranlement de crédit</w:t>
      </w:r>
      <w:r>
        <w:rPr>
          <w:rFonts w:ascii="Times New Roman" w:cs="Times New Roman" w:eastAsia="Times New Roman" w:hAnsi="Times New Roman"/>
          <w:sz w:val="20"/>
          <w:szCs w:val="20"/>
          <w:color w:val="auto"/>
        </w:rPr>
        <w:t>), or be deemed to have lost such creditworthiness and is not aware, or may not reasonably be aware of such circumstances.</w:t>
      </w:r>
    </w:p>
    <w:p>
      <w:pPr>
        <w:spacing w:after="0" w:line="14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6.20 </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As of the Closing Date, the information included in the Beneficial Ownership Certification is true and correct in all respects.</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6.21</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COVENANTS</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Until the expiration or termination of the Commitments and thereafter until all Obligations of the Loan Parties hereunder and under the other Loan Documents (other than any contingent indemnification or similar obligations not yet due and payable) are paid in full and all Letters of Credit (other than any Letter of Credit that has been Cash Collateralized or with respect to which other arrangements satisfactory to the L/C Issuer have been made) have been terminated, the Loan Parties agree that, unless at any time the Required Lenders shall otherwise expressly consent in writing, they will:</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7.01</w:t>
      </w:r>
      <w:r>
        <w:rPr>
          <w:sz w:val="20"/>
          <w:szCs w:val="20"/>
          <w:color w:val="auto"/>
        </w:rPr>
        <w:tab/>
      </w:r>
      <w:r>
        <w:rPr>
          <w:rFonts w:ascii="Times New Roman" w:cs="Times New Roman" w:eastAsia="Times New Roman" w:hAnsi="Times New Roman"/>
          <w:sz w:val="19"/>
          <w:szCs w:val="19"/>
          <w:u w:val="single" w:color="auto"/>
          <w:color w:val="auto"/>
        </w:rPr>
        <w:t>Reports, Certificates and Other Information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Furnish to the Administrative Agent (for delivery to the Lenders):</w:t>
      </w:r>
    </w:p>
    <w:p>
      <w:pPr>
        <w:spacing w:after="0" w:line="216" w:lineRule="exact"/>
        <w:rPr>
          <w:sz w:val="20"/>
          <w:szCs w:val="20"/>
          <w:color w:val="auto"/>
        </w:rPr>
      </w:pPr>
    </w:p>
    <w:p>
      <w:pPr>
        <w:jc w:val="both"/>
        <w:ind w:firstLine="656"/>
        <w:spacing w:after="0" w:line="250" w:lineRule="auto"/>
        <w:tabs>
          <w:tab w:leader="none" w:pos="112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Report</w:t>
      </w:r>
      <w:r>
        <w:rPr>
          <w:rFonts w:ascii="Times New Roman" w:cs="Times New Roman" w:eastAsia="Times New Roman" w:hAnsi="Times New Roman"/>
          <w:sz w:val="20"/>
          <w:szCs w:val="20"/>
          <w:color w:val="auto"/>
        </w:rPr>
        <w:t>. Promptly when available, and in any event not later than the earlier of (i) five Business Days after the filing thereof with the SEC and (ii) 105 days after the end of each Fiscal Year (commencing with the Fiscal Year ending on or about July 31, 2019), a copy of the audited consolidated balance sheet of the Company and its consolidated Subsidiaries for such Fiscal Year together with audited consolidated statements of earnings and cash flows for such Fiscal Year, accompanied by the report of Deloitte &amp; Touche LLP or another nationally-recognized independent registered public accounting firm (the “</w:t>
      </w:r>
      <w:r>
        <w:rPr>
          <w:rFonts w:ascii="Times New Roman" w:cs="Times New Roman" w:eastAsia="Times New Roman" w:hAnsi="Times New Roman"/>
          <w:sz w:val="20"/>
          <w:szCs w:val="20"/>
          <w:u w:val="single" w:color="auto"/>
          <w:color w:val="auto"/>
        </w:rPr>
        <w:t>Independent Auditor</w:t>
      </w:r>
      <w:r>
        <w:rPr>
          <w:rFonts w:ascii="Times New Roman" w:cs="Times New Roman" w:eastAsia="Times New Roman" w:hAnsi="Times New Roman"/>
          <w:sz w:val="20"/>
          <w:szCs w:val="20"/>
          <w:color w:val="auto"/>
        </w:rPr>
        <w:t xml:space="preserve">”), which report shall (A) state that such consolidated financial statements present fairly in all material respects the financial position for the periods indicated in conformity with GAAP and (B) not be qualified or limited because of a restricted or limited examination by the Independent Auditor of any material portion of the Company’s or any Subsidiary’s records;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report of the Independent Auditor is a combined report (that is, one report containing an opinion on such consolidated financial statements, an opinion on internal controls over financial reporting and an opinion on management’s assessment of internal controls over financial reporting), then such report may include a qualification or limitation relating to the Company’s system of internal controls over financial reporting due to the exclusion of any acquired business from the scope of management’s assessment of internal controls over financial reporting to the extent such exclusion is permitted under provisions published by the Public Company Accounting Oversight Board, the SEC or another applicable Governmental Authority.</w:t>
      </w:r>
    </w:p>
    <w:p>
      <w:pPr>
        <w:spacing w:after="0" w:line="193" w:lineRule="exact"/>
        <w:rPr>
          <w:rFonts w:ascii="Times New Roman" w:cs="Times New Roman" w:eastAsia="Times New Roman" w:hAnsi="Times New Roman"/>
          <w:sz w:val="20"/>
          <w:szCs w:val="20"/>
          <w:color w:val="auto"/>
        </w:rPr>
      </w:pPr>
    </w:p>
    <w:p>
      <w:pPr>
        <w:jc w:val="both"/>
        <w:ind w:firstLine="656"/>
        <w:spacing w:after="0" w:line="264" w:lineRule="auto"/>
        <w:tabs>
          <w:tab w:leader="none" w:pos="1085"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Quarterly Reports</w:t>
      </w:r>
      <w:r>
        <w:rPr>
          <w:rFonts w:ascii="Times New Roman" w:cs="Times New Roman" w:eastAsia="Times New Roman" w:hAnsi="Times New Roman"/>
          <w:sz w:val="19"/>
          <w:szCs w:val="19"/>
          <w:color w:val="auto"/>
        </w:rPr>
        <w:t>. Promptly when available, and in any event not later than (i) five Business Days after the filing thereof with the SEC and (ii) 45 days after the end of each Fiscal Quarter (except the last Fiscal Quarter of each Fiscal Year), consolidated balance sheets of the Company and its consolidated Subsidiaries as of the end of such Fiscal Quarter, together with a consolidated statement of earnings for such Fiscal Quarter and consolidated statements of earnings and cash flows for the period beginning with the first day of such Fiscal Year and ending on the last day of such Fiscal Quarter, certified by an Executive Officer as fairly presenting in all material respects, in accordance with</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09" w:right="339" w:bottom="1440" w:gutter="0" w:footer="0" w:header="0"/>
        </w:sectPr>
      </w:pPr>
    </w:p>
    <w:bookmarkStart w:id="122" w:name="page123"/>
    <w:bookmarkEnd w:id="122"/>
    <w:p>
      <w:pPr>
        <w:ind w:right="20"/>
        <w:spacing w:after="0" w:line="283" w:lineRule="auto"/>
        <w:rPr>
          <w:sz w:val="20"/>
          <w:szCs w:val="20"/>
          <w:color w:val="auto"/>
        </w:rPr>
      </w:pPr>
      <w:r>
        <w:rPr>
          <w:rFonts w:ascii="Times New Roman" w:cs="Times New Roman" w:eastAsia="Times New Roman" w:hAnsi="Times New Roman"/>
          <w:sz w:val="20"/>
          <w:szCs w:val="20"/>
          <w:color w:val="auto"/>
        </w:rPr>
        <w:t>(subject to normal year-end audit adjustments and the absence of footnotes), the consolidated financial position and results of operations for the Company and its consolidated Subsidiaries for such periods.</w:t>
      </w:r>
    </w:p>
    <w:p>
      <w:pPr>
        <w:spacing w:after="0" w:line="146" w:lineRule="exact"/>
        <w:rPr>
          <w:sz w:val="20"/>
          <w:szCs w:val="20"/>
          <w:color w:val="auto"/>
        </w:rPr>
      </w:pPr>
    </w:p>
    <w:p>
      <w:pPr>
        <w:jc w:val="both"/>
        <w:ind w:firstLine="656"/>
        <w:spacing w:after="0" w:line="257" w:lineRule="auto"/>
        <w:tabs>
          <w:tab w:leader="none" w:pos="114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Certificates</w:t>
      </w:r>
      <w:r>
        <w:rPr>
          <w:rFonts w:ascii="Times New Roman" w:cs="Times New Roman" w:eastAsia="Times New Roman" w:hAnsi="Times New Roman"/>
          <w:sz w:val="20"/>
          <w:szCs w:val="20"/>
          <w:color w:val="auto"/>
        </w:rPr>
        <w:t xml:space="preserve">. Contemporaneously with the furnishing of a copy of each annual audit report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7.01(a)</w:t>
      </w:r>
      <w:r>
        <w:rPr>
          <w:rFonts w:ascii="Times New Roman" w:cs="Times New Roman" w:eastAsia="Times New Roman" w:hAnsi="Times New Roman"/>
          <w:sz w:val="20"/>
          <w:szCs w:val="20"/>
          <w:color w:val="auto"/>
        </w:rPr>
        <w:t xml:space="preserve"> and of each set of quarterly statements pursuant to </w:t>
      </w:r>
      <w:r>
        <w:rPr>
          <w:rFonts w:ascii="Times New Roman" w:cs="Times New Roman" w:eastAsia="Times New Roman" w:hAnsi="Times New Roman"/>
          <w:sz w:val="20"/>
          <w:szCs w:val="20"/>
          <w:u w:val="single" w:color="auto"/>
          <w:color w:val="auto"/>
        </w:rPr>
        <w:t>Section 7.01(b)</w:t>
      </w:r>
      <w:r>
        <w:rPr>
          <w:rFonts w:ascii="Times New Roman" w:cs="Times New Roman" w:eastAsia="Times New Roman" w:hAnsi="Times New Roman"/>
          <w:sz w:val="20"/>
          <w:szCs w:val="20"/>
          <w:color w:val="auto"/>
        </w:rPr>
        <w:t xml:space="preserve">, a duly completed Compliance Certificate, with appropriate insertions, dated the date of such annual report or such quarterly statements and signed by an Executive Officer, containing a computation of each of the financial covenants set forth in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and to the effect that such officer has not become aware of any Default that has occurred and is continuing or, if there is any such event, describing it and the steps, if any, being taken to cure it.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Reports to SEC and to Shareholders</w:t>
      </w:r>
      <w:r>
        <w:rPr>
          <w:rFonts w:ascii="Times New Roman" w:cs="Times New Roman" w:eastAsia="Times New Roman" w:hAnsi="Times New Roman"/>
          <w:sz w:val="20"/>
          <w:szCs w:val="20"/>
          <w:color w:val="auto"/>
        </w:rPr>
        <w:t xml:space="preserve">. Except as otherwise provided in </w:t>
      </w:r>
      <w:r>
        <w:rPr>
          <w:rFonts w:ascii="Times New Roman" w:cs="Times New Roman" w:eastAsia="Times New Roman" w:hAnsi="Times New Roman"/>
          <w:sz w:val="20"/>
          <w:szCs w:val="20"/>
          <w:u w:val="single" w:color="auto"/>
          <w:color w:val="auto"/>
        </w:rPr>
        <w:t>Sections 7.01(a)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within 15 days after the filing or sending thereof, copies of all reports on Form 10-K, 10-Q or 8-K (including any amendment thereto) of any Loan Party filed with the SEC (excluding exhibits thereto, provided that the Company shall promptly deliver any such exhibit to the Administrative Agent upon request therefor); copies of all registration statements of any Loan Party filed with the SEC (other than on Form S-8); and copies of all proxy statements or other communications made generally to shareholders as a whole concerning material developments in the business of any Loan Party.</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9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 Litigation and ERISA Matters</w:t>
      </w:r>
      <w:r>
        <w:rPr>
          <w:rFonts w:ascii="Times New Roman" w:cs="Times New Roman" w:eastAsia="Times New Roman" w:hAnsi="Times New Roman"/>
          <w:sz w:val="20"/>
          <w:szCs w:val="20"/>
          <w:color w:val="auto"/>
        </w:rPr>
        <w:t>. Promptly upon any Executive Officer becoming aware of any of the following, written notice describing the same and the steps being taken by the Company or the Subsidiary affected thereby with respect thereto:</w:t>
      </w:r>
    </w:p>
    <w:p>
      <w:pPr>
        <w:spacing w:after="0" w:line="181"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Default;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56"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litigation, arbitration or governmental investigation or proceeding not previously disclosed by the Company to the Lenders which involves an uninsured claim and has been instituted, or, to the knowledge of the Company, is threatened in writing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against the Company or any Significant Subsidiary or to which any of the properties of any thereof is subject</w:t>
      </w:r>
      <w:r>
        <w:rPr>
          <w:rFonts w:ascii="Times New Roman" w:cs="Times New Roman" w:eastAsia="Times New Roman" w:hAnsi="Times New Roman"/>
          <w:sz w:val="20"/>
          <w:szCs w:val="20"/>
          <w:u w:val="single" w:color="auto"/>
          <w:color w:val="0000FF"/>
        </w:rPr>
        <w:t>, in each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foregoing cases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which could reasonably be expected to have a Material Adverse Effect;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79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institution of any steps by any member of the Controlled Group or any other Person to terminate any Pension Plan other than a “standard termination” in accordance with Section 4041(b) of ERISA, or the failure of any member of the Controlled Group to make a required contribution to any Pension Plan (if such failure is sufficient to give rise to a lien under Section 303(k) of ERISA) or to any Multiemployer Pension Plan (in each case if such failure could reasonably be expected to have a Material Adverse Effect), or the taking of any action with respect to a Pension Plan which could reasonably be expected to result in the requirement that the Company furnish a bond or other security to the PBGC or such Pension Plan, or the occurrence of any event with respect to any Pension Plan or Multiemployer Pension Plan which could reasonably be expected to have a Material Adverse Effect, or any notice that any Multiemployer Pension Plan is in reorganization, that material increased contributions may be required to avoid a reduction in plan benefits or the imposition of an excise tax, that any such plan is or has been funded at a rate less materially than that required under Section 412 of the Internal Revenue Code, that any such plan is or may be involuntarily terminated, or that any such plan is or may become insolvent;</w:t>
      </w:r>
    </w:p>
    <w:p>
      <w:pPr>
        <w:spacing w:after="0" w:line="199"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becomes an entity deemed to hold Plan Assets;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-2445385</wp:posOffset>
            </wp:positionV>
            <wp:extent cx="400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13" w:right="339" w:bottom="1440" w:gutter="0" w:footer="0" w:header="0"/>
        </w:sectPr>
      </w:pPr>
    </w:p>
    <w:bookmarkStart w:id="123" w:name="page124"/>
    <w:bookmarkEnd w:id="123"/>
    <w:p>
      <w:pPr>
        <w:ind w:left="660" w:firstLine="644"/>
        <w:spacing w:after="0" w:line="283" w:lineRule="auto"/>
        <w:tabs>
          <w:tab w:leader="none" w:pos="1718"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(including any violation of any Environmental Law or the assertion of any Environmental Claim) which could reasonably be expected to have a Material Adverse Effect.</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08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From time to time (i) 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anti-money laundering laws and (ii) such other information concerning the Company and its Subsidiaries (including material financial and management reports submitted to the Company by independent auditors in connection with each annual or interim audit made by such auditors of the books of the Company) as the Administrative Agent or any Lender through the Administrative Agent may reasonably request.</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7.01(d)</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or publicly files such documents with the SEC; or (ii) on which such documents are (A) available on the website of the SEC at </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 xml:space="preserve"> or (B) posted on a Borrower’s behalf on an Internet or intranet website, if any, to which each Lender and the Administrative Agent have access (whether a commercial, third 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documents that are not available on </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 the Company shall notify (which may be by facsimile or electronic mail) the Administrative Agent (which shall notify each Lender) of the posting of any such document and, promptly upon request by the Administrative Agent, provide to the Administrative Agent by electronic mail an electronic version (i.e., a soft copy) of any such document specifically requested by the Administrative Agent.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hereby acknowledges that (a) the Administrative Agent and/or the Arrangers may, but shall not be obligated to, make available to the Lenders and the L/C Issuer materials and/or information provided by or on behalf of the Company hereunder (collectively,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Materials</w:t>
      </w:r>
      <w:r>
        <w:rPr>
          <w:rFonts w:ascii="Times New Roman" w:cs="Times New Roman" w:eastAsia="Times New Roman" w:hAnsi="Times New Roman"/>
          <w:sz w:val="20"/>
          <w:szCs w:val="20"/>
          <w:color w:val="auto"/>
        </w:rPr>
        <w:t>”) by posting the Borrower Materials on Debt Domain, IntraLinks, Syndtrak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Arrangers, the L/C Issuer and the Lenders to treat such Borrower Materials as not containing any material non-public information with respect to the Company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any Borrower Materials constitute Information, they shall be treated as set forth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13" w:right="339" w:bottom="1440" w:gutter="0" w:footer="0" w:header="0"/>
        </w:sectPr>
      </w:pPr>
    </w:p>
    <w:bookmarkStart w:id="124" w:name="page125"/>
    <w:bookmarkEnd w:id="124"/>
    <w:p>
      <w:pPr>
        <w:spacing w:after="0" w:line="283" w:lineRule="auto"/>
        <w:rPr>
          <w:sz w:val="20"/>
          <w:szCs w:val="20"/>
          <w:color w:val="auto"/>
        </w:rPr>
      </w:pPr>
      <w:r>
        <w:rPr>
          <w:rFonts w:ascii="Times New Roman" w:cs="Times New Roman" w:eastAsia="Times New Roman" w:hAnsi="Times New Roman"/>
          <w:sz w:val="20"/>
          <w:szCs w:val="20"/>
          <w:color w:val="auto"/>
        </w:rPr>
        <w:t>posting on, and shall only post such Borrower Materials on, a portion of the Platform not designated as “Public Side Information.” Notwithstanding the foregoing, the Company shall be under no obligation to mark any Borrower Materials “PUBLIC.”</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7.02</w:t>
      </w:r>
      <w:r>
        <w:rPr>
          <w:sz w:val="20"/>
          <w:szCs w:val="20"/>
          <w:color w:val="auto"/>
        </w:rPr>
        <w:tab/>
      </w:r>
      <w:r>
        <w:rPr>
          <w:rFonts w:ascii="Times New Roman" w:cs="Times New Roman" w:eastAsia="Times New Roman" w:hAnsi="Times New Roman"/>
          <w:sz w:val="19"/>
          <w:szCs w:val="19"/>
          <w:u w:val="single" w:color="auto"/>
          <w:color w:val="auto"/>
        </w:rPr>
        <w:t>Books, Records and Inspections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10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Keep, and cause each Significant Subsidiary to keep, its books and records in conformity with GAAP; (b) permit, and cause each Significant Subsidiary and each Domestic Subsidiary (other than Excluded Subsidiaries) to permit, the Administrative Agent (which may be accompanied by any Lender) or any representative thereof at any reasonable time during normal business hours and with reasonable prior notice to inspect the properties and operations of the Company and of such Subsidiary; and (c) permit, and cause each Significant Subsidiary and each Domestic Subsidiary (other than Excluded Subsidiaries) to permit, at any reasonable time during normal business hours and with reasonable notice (or at any time without notice if an Event of Default exists), the Administrative Agent (which may be accompanied by any Lender) or any representative thereof to visit any or all of its offices, to discuss its financial matters with its officers and its independent auditors (and the Company hereby authorizes such independent auditors to discuss such financial matters with the Administrative Agent (which may be accompanied by any Lender) or any representative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have the right to be present at any such discussions so long as no Event of Default exists), to examine (and photocopy extracts from) any of its books or other financial or operating records,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 Event of Default exists, (i) the Administrative Agent and the Lenders shall be limited in the aggregate to two visits and inspections per Fiscal Year (it being understood that the Administrative Agent may conduct such on-site visits and inspections when an Event of Default does not exist and may be accompanied by any Lender) and (ii) the costs and expenses associated with any visit or inspection made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shall be for the account of the Administrative Agent (or, if acting upon the request of or accompanied by any Lender, such Lender).</w:t>
      </w:r>
    </w:p>
    <w:p>
      <w:pPr>
        <w:spacing w:after="0" w:line="20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7.03</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Maintain, and cause each Significant Subsidiary to maintain, with responsible insurance companies, such insurance as may be required by any Law or governmental regulation or court decree or order applicable to it and such other insurance, to such extent and against such hazards and liabilities, as is customarily maintained by companies similarly situated; and, upon request of the Administrative Agent or any Lender through the Administrative Agent, furnish to the Administrative Agent or the Administrative Agent for delivery to such Lender a certificate setting forth in reasonable detail the nature and extent of all insurance maintained by the Company, the Significant Subsidiaries and the Domestic Subsidiaries (other than Excluded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self-insurance of risks and in amounts customary in the industry of the Company and its Subsidiaries shall be permitted.</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7.04</w:t>
      </w:r>
      <w:r>
        <w:rPr>
          <w:sz w:val="20"/>
          <w:szCs w:val="20"/>
          <w:color w:val="auto"/>
        </w:rPr>
        <w:tab/>
      </w:r>
      <w:r>
        <w:rPr>
          <w:rFonts w:ascii="Times New Roman" w:cs="Times New Roman" w:eastAsia="Times New Roman" w:hAnsi="Times New Roman"/>
          <w:sz w:val="19"/>
          <w:szCs w:val="19"/>
          <w:u w:val="single" w:color="auto"/>
          <w:color w:val="auto"/>
        </w:rPr>
        <w:t>Compliance with Laws; Payment of Taxes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1" w:lineRule="auto"/>
        <w:tabs>
          <w:tab w:leader="none" w:pos="1183"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and cause each Significant Subsidiary to comply, with all applicable Laws (including Environmental Laws and ERISA), rules, regulations, decrees, orders, judgments, licenses and permits, except to the extent the failure to comply therewith, either individually or in the aggregate with all other such failures, could not reasonably be expected to have a Material Adverse Effect.</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9"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 and cause each Significant Subsidiary to pay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all taxes and governmental charges against it or any of its property except such taxes that are not overdue by more than 60 days and such taxes the failure of which to pay, either individually or in the aggregate with all other such failures,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-392430</wp:posOffset>
            </wp:positionV>
            <wp:extent cx="31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not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require the Company or any Subsidiary to pay any such tax or charge so long as it shall contest the validity thereof in good faith by appropriate action and shall set aside on its books adequate reserves with respect thereto.</w:t>
      </w:r>
    </w:p>
    <w:p>
      <w:pPr>
        <w:spacing w:after="0" w:line="1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7.05</w:t>
      </w:r>
      <w:r>
        <w:rPr>
          <w:sz w:val="20"/>
          <w:szCs w:val="20"/>
          <w:color w:val="auto"/>
        </w:rPr>
        <w:tab/>
      </w:r>
      <w:r>
        <w:rPr>
          <w:rFonts w:ascii="Times New Roman" w:cs="Times New Roman" w:eastAsia="Times New Roman" w:hAnsi="Times New Roman"/>
          <w:sz w:val="19"/>
          <w:szCs w:val="19"/>
          <w:u w:val="single" w:color="auto"/>
          <w:color w:val="auto"/>
        </w:rPr>
        <w:t>Maintenance of Existence, etc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Maintain and preserve, and (subject to </w:t>
      </w:r>
      <w:r>
        <w:rPr>
          <w:rFonts w:ascii="Times New Roman" w:cs="Times New Roman" w:eastAsia="Times New Roman" w:hAnsi="Times New Roman"/>
          <w:sz w:val="19"/>
          <w:szCs w:val="19"/>
          <w:u w:val="single" w:color="auto"/>
          <w:color w:val="auto"/>
        </w:rPr>
        <w:t>Section 7.09</w:t>
      </w:r>
      <w:r>
        <w:rPr>
          <w:rFonts w:ascii="Times New Roman" w:cs="Times New Roman" w:eastAsia="Times New Roman" w:hAnsi="Times New Roman"/>
          <w:sz w:val="19"/>
          <w:szCs w:val="19"/>
          <w:color w:val="auto"/>
        </w:rPr>
        <w:t>) cause each Significant Subsidiary to maintain and preserve, (a) its existence and good standing (or equivalent status) in the jurisdiction of its formation and (b) its qualification and good standing (or equivalent status) as a foreign entity in each jurisdiction where the nature of its business makes such qualification necessary (except in those instances in which the failure to be qualified or in good standing (or equivalent status) could not reasonably be expected to have a Material Adverse Effect).</w:t>
      </w:r>
    </w:p>
    <w:p>
      <w:pPr>
        <w:spacing w:after="0" w:line="17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7.06</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0" w:lineRule="auto"/>
        <w:tabs>
          <w:tab w:leader="none" w:pos="104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Not permit the Consolidated Net Leverage Ratio as of the last day of any Computation Period to exceed 3.50 to 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connection with any individual Permitted Acquisition (or any series of Permitted Acquisitions occurring in any four Fiscal Quarter period) for which the aggregate purchase consideration equals or exceeds $</w:t>
      </w:r>
      <w:r>
        <w:rPr>
          <w:rFonts w:ascii="Times New Roman" w:cs="Times New Roman" w:eastAsia="Times New Roman" w:hAnsi="Times New Roman"/>
          <w:sz w:val="20"/>
          <w:szCs w:val="20"/>
          <w:color w:val="FF0000"/>
          <w:strike w:val="1"/>
        </w:rPr>
        <w:t>100,000,000</w:t>
      </w:r>
      <w:r>
        <w:rPr>
          <w:rFonts w:ascii="Times New Roman" w:cs="Times New Roman" w:eastAsia="Times New Roman" w:hAnsi="Times New Roman"/>
          <w:sz w:val="20"/>
          <w:szCs w:val="20"/>
          <w:u w:val="single" w:color="auto"/>
          <w:color w:val="0000FF"/>
        </w:rPr>
        <w:t>75,000,000</w:t>
      </w:r>
      <w:r>
        <w:rPr>
          <w:rFonts w:ascii="Times New Roman" w:cs="Times New Roman" w:eastAsia="Times New Roman" w:hAnsi="Times New Roman"/>
          <w:sz w:val="20"/>
          <w:szCs w:val="20"/>
          <w:color w:val="auto"/>
        </w:rPr>
        <w:t xml:space="preserve">, the maximum Consolidated Net Leverage Ratio, with prior notice to the Administrative Agent, shall increase to </w:t>
      </w:r>
      <w:r>
        <w:rPr>
          <w:rFonts w:ascii="Times New Roman" w:cs="Times New Roman" w:eastAsia="Times New Roman" w:hAnsi="Times New Roman"/>
          <w:sz w:val="20"/>
          <w:szCs w:val="20"/>
          <w:color w:val="FF0000"/>
          <w:strike w:val="1"/>
        </w:rPr>
        <w:t>3.75</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4.00</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to 1.0 for the four consecutive Fiscal Quarter period beginning with, if an individual Permitted Acquisition, the quarter in which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such Permitted Acquisition occurs, or, if a series of Permitted Acquisitions, the quarter in which the last Permitted Acquisition occurs, so long as (i) the Company is in compliance on a pro forma basis with this </w:t>
      </w:r>
      <w:r>
        <w:rPr>
          <w:rFonts w:ascii="Times New Roman" w:cs="Times New Roman" w:eastAsia="Times New Roman" w:hAnsi="Times New Roman"/>
          <w:sz w:val="20"/>
          <w:szCs w:val="20"/>
          <w:u w:val="single" w:color="auto"/>
          <w:color w:val="000000"/>
        </w:rPr>
        <w:t>Section 7.06(a)</w:t>
      </w:r>
      <w:r>
        <w:rPr>
          <w:rFonts w:ascii="Times New Roman" w:cs="Times New Roman" w:eastAsia="Times New Roman" w:hAnsi="Times New Roman"/>
          <w:sz w:val="20"/>
          <w:szCs w:val="20"/>
          <w:color w:val="000000"/>
        </w:rPr>
        <w:t xml:space="preserve"> at such </w:t>
      </w:r>
      <w:r>
        <w:rPr>
          <w:rFonts w:ascii="Times New Roman" w:cs="Times New Roman" w:eastAsia="Times New Roman" w:hAnsi="Times New Roman"/>
          <w:sz w:val="20"/>
          <w:szCs w:val="20"/>
          <w:color w:val="FF0000"/>
          <w:strike w:val="1"/>
        </w:rPr>
        <w:t>3.75</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4.00</w:t>
      </w:r>
      <w:r>
        <w:rPr>
          <w:rFonts w:ascii="Times New Roman" w:cs="Times New Roman" w:eastAsia="Times New Roman" w:hAnsi="Times New Roman"/>
          <w:sz w:val="20"/>
          <w:szCs w:val="20"/>
          <w:color w:val="000000"/>
        </w:rPr>
        <w:t xml:space="preserve"> to 1.0 level after giving effect to such Permitted Acquisition and (ii) after any such Permitted Acquisition that results in an increase to the </w:t>
      </w:r>
      <w:r>
        <w:rPr>
          <w:rFonts w:ascii="Times New Roman" w:cs="Times New Roman" w:eastAsia="Times New Roman" w:hAnsi="Times New Roman"/>
          <w:sz w:val="20"/>
          <w:szCs w:val="20"/>
          <w:color w:val="FF0000"/>
          <w:strike w:val="1"/>
        </w:rPr>
        <w:t>3.75</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4.00</w:t>
      </w:r>
      <w:r>
        <w:rPr>
          <w:rFonts w:ascii="Times New Roman" w:cs="Times New Roman" w:eastAsia="Times New Roman" w:hAnsi="Times New Roman"/>
          <w:sz w:val="20"/>
          <w:szCs w:val="20"/>
          <w:color w:val="000000"/>
        </w:rPr>
        <w:t xml:space="preserve"> to 1.0 level, the Consolidated Net Leverage Ratio permitted under this </w:t>
      </w:r>
      <w:r>
        <w:rPr>
          <w:rFonts w:ascii="Times New Roman" w:cs="Times New Roman" w:eastAsia="Times New Roman" w:hAnsi="Times New Roman"/>
          <w:sz w:val="20"/>
          <w:szCs w:val="20"/>
          <w:u w:val="single" w:color="auto"/>
          <w:color w:val="000000"/>
        </w:rPr>
        <w:t>Section 7.06(a)</w:t>
      </w:r>
      <w:r>
        <w:rPr>
          <w:rFonts w:ascii="Times New Roman" w:cs="Times New Roman" w:eastAsia="Times New Roman" w:hAnsi="Times New Roman"/>
          <w:sz w:val="20"/>
          <w:szCs w:val="20"/>
          <w:color w:val="000000"/>
        </w:rPr>
        <w:t xml:space="preserve"> shall decrease to 3.50 to 1.0 for at least one Fiscal Quarter before becoming eligible to again increase to </w:t>
      </w:r>
      <w:r>
        <w:rPr>
          <w:rFonts w:ascii="Times New Roman" w:cs="Times New Roman" w:eastAsia="Times New Roman" w:hAnsi="Times New Roman"/>
          <w:sz w:val="20"/>
          <w:szCs w:val="20"/>
          <w:color w:val="FF0000"/>
          <w:strike w:val="1"/>
        </w:rPr>
        <w:t>3.75</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4.00</w:t>
      </w:r>
      <w:r>
        <w:rPr>
          <w:rFonts w:ascii="Times New Roman" w:cs="Times New Roman" w:eastAsia="Times New Roman" w:hAnsi="Times New Roman"/>
          <w:sz w:val="20"/>
          <w:szCs w:val="20"/>
          <w:color w:val="000000"/>
        </w:rPr>
        <w:t xml:space="preserve"> to 1.0 for a new period of four consecutive Fiscal Quarters (with the understanding that any Permitted Acquisition occurring during such Fiscal Quarter would be required to comply with the 3.50 to 1.0 ratio).</w:t>
      </w:r>
    </w:p>
    <w:p>
      <w:pPr>
        <w:spacing w:after="0" w:line="199" w:lineRule="exact"/>
        <w:rPr>
          <w:rFonts w:ascii="Times New Roman" w:cs="Times New Roman" w:eastAsia="Times New Roman" w:hAnsi="Times New Roman"/>
          <w:sz w:val="20"/>
          <w:szCs w:val="20"/>
          <w:color w:val="auto"/>
        </w:rPr>
      </w:pPr>
    </w:p>
    <w:p>
      <w:pPr>
        <w:ind w:right="20" w:firstLine="656"/>
        <w:spacing w:after="0" w:line="269" w:lineRule="auto"/>
        <w:tabs>
          <w:tab w:leader="none" w:pos="1247"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Not permit the Consolidated Interest Coverage Ratio as of the last day of any Computation Period to be less than 3.00 to 1.0.</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7.07</w:t>
      </w:r>
      <w:r>
        <w:rPr>
          <w:sz w:val="20"/>
          <w:szCs w:val="20"/>
          <w:color w:val="auto"/>
        </w:rPr>
        <w:tab/>
      </w:r>
      <w:r>
        <w:rPr>
          <w:rFonts w:ascii="Times New Roman" w:cs="Times New Roman" w:eastAsia="Times New Roman" w:hAnsi="Times New Roman"/>
          <w:sz w:val="19"/>
          <w:szCs w:val="19"/>
          <w:u w:val="single" w:color="auto"/>
          <w:color w:val="auto"/>
        </w:rPr>
        <w:t>Limitations on Debt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and not permit any Significant Subsidiary or any Securitization Subsidiary to, create, incur, assume or suffer to exist any Debt,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w:t>
      </w:r>
    </w:p>
    <w:p>
      <w:pPr>
        <w:spacing w:after="0" w:line="207" w:lineRule="exact"/>
        <w:rPr>
          <w:sz w:val="20"/>
          <w:szCs w:val="20"/>
          <w:color w:val="auto"/>
        </w:rPr>
      </w:pPr>
    </w:p>
    <w:p>
      <w:pPr>
        <w:ind w:left="1060" w:hanging="404"/>
        <w:spacing w:after="0"/>
        <w:tabs>
          <w:tab w:leader="none" w:pos="10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under the Loan Documents;</w:t>
      </w:r>
    </w:p>
    <w:p>
      <w:pPr>
        <w:spacing w:after="0" w:line="215"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incurred to finance the acquisition, construction or improvement of any fixed or capital asset (including (i) obligations under Capital Leases and (ii) Debt assumed in connection with the acquisition of any such asset or secured by a Lien on such asset prior to the acquisition thereof (and not incurred in contemplation of such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Debt is incurred prior to or substantially concurrently with such acquisition or not later than 45 days following the completion of such construction or improvement, as the case may be, (y) such Debt does not exceed the cost of such asset as of the date of such acquisition or completion of construction thereof or of such improvement on the date of completion thereof, as the case may be, and (z) the aggregate outstanding principal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13" w:right="339" w:bottom="1440" w:gutter="0" w:footer="0" w:header="0"/>
        </w:sectPr>
      </w:pPr>
    </w:p>
    <w:bookmarkStart w:id="126" w:name="page127"/>
    <w:bookmarkEnd w:id="126"/>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all Debt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does not at the time of incurrence of any such Debt exceed the greater of (A) $50,000,000 and (B) 5%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1060" w:hanging="404"/>
        <w:spacing w:after="0"/>
        <w:tabs>
          <w:tab w:leader="none" w:pos="10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secured by Liens permitted by </w:t>
      </w:r>
      <w:r>
        <w:rPr>
          <w:rFonts w:ascii="Times New Roman" w:cs="Times New Roman" w:eastAsia="Times New Roman" w:hAnsi="Times New Roman"/>
          <w:sz w:val="20"/>
          <w:szCs w:val="20"/>
          <w:u w:val="single" w:color="auto"/>
          <w:color w:val="auto"/>
        </w:rPr>
        <w:t>Section 7.08(c)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7.08(f)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7.08(t)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(or any undrawn commitment therefor) existing on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Second Amendment Effective</w:t>
      </w:r>
      <w:r>
        <w:rPr>
          <w:rFonts w:ascii="Times New Roman" w:cs="Times New Roman" w:eastAsia="Times New Roman" w:hAnsi="Times New Roman"/>
          <w:sz w:val="19"/>
          <w:szCs w:val="19"/>
          <w:color w:val="auto"/>
        </w:rPr>
        <w:t xml:space="preserve"> Date and listed in </w:t>
      </w:r>
      <w:r>
        <w:rPr>
          <w:rFonts w:ascii="Times New Roman" w:cs="Times New Roman" w:eastAsia="Times New Roman" w:hAnsi="Times New Roman"/>
          <w:sz w:val="19"/>
          <w:szCs w:val="19"/>
          <w:u w:val="single" w:color="auto"/>
          <w:color w:val="auto"/>
        </w:rPr>
        <w:t>Schedule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7.07</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firstLine="656"/>
        <w:spacing w:after="0" w:line="269" w:lineRule="auto"/>
        <w:tabs>
          <w:tab w:leader="none" w:pos="111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refinancings, extensions or renewals of any of the foregoing Debt to the extent the principal amount thereof is not increased (including extensions, renewals or replacements of guarantees in respect of such Debt as so refinanced, extended or renewed);</w:t>
      </w:r>
    </w:p>
    <w:p>
      <w:pPr>
        <w:spacing w:after="0" w:line="172"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Subordinated Debt;</w:t>
      </w:r>
    </w:p>
    <w:p>
      <w:pPr>
        <w:spacing w:after="0" w:line="215" w:lineRule="exact"/>
        <w:rPr>
          <w:rFonts w:ascii="Times New Roman" w:cs="Times New Roman" w:eastAsia="Times New Roman" w:hAnsi="Times New Roman"/>
          <w:sz w:val="20"/>
          <w:szCs w:val="20"/>
          <w:color w:val="auto"/>
        </w:rPr>
      </w:pPr>
    </w:p>
    <w:p>
      <w:pPr>
        <w:jc w:val="both"/>
        <w:ind w:firstLine="656"/>
        <w:spacing w:after="0" w:line="268" w:lineRule="auto"/>
        <w:tabs>
          <w:tab w:leader="none" w:pos="112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incurred in the ordinary course of business for bona fide hedging purposes and not for speculation and Debt in respect of overdraft facilities, employee credit card programs, netting services, automatic clearing house arrangements and other cash management and similar arrangements, in each case in the ordinary course of business;</w:t>
      </w:r>
    </w:p>
    <w:p>
      <w:pPr>
        <w:spacing w:after="0" w:line="161"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of a Person acquired in connection with a Permitted Acquisition that was not incurred in contemplation thereof;</w:t>
      </w:r>
    </w:p>
    <w:p>
      <w:pPr>
        <w:spacing w:after="0" w:line="229"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of the Company or a Significant Subsidiary as an account party in respect of trade and standby letters of credit;</w:t>
      </w:r>
    </w:p>
    <w:p>
      <w:pPr>
        <w:spacing w:after="0" w:line="215"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under surety, custom and similar bonds in the ordinary course of business consistent with past practice;</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7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Securitization Obligations in an aggregate outstanding amount not exceeding at the time of incurrence of any such Securitization Obligations the greater of (i) $100,000,000 and (ii) 10%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outstanding amount of all Securitization Obligations of the Domestic Borrowers and the Domestic Subsidiaries of the Company shall not exceed $35,000,000 at any time.</w:t>
      </w:r>
    </w:p>
    <w:p>
      <w:pPr>
        <w:spacing w:after="0" w:line="191" w:lineRule="exact"/>
        <w:rPr>
          <w:rFonts w:ascii="Times New Roman" w:cs="Times New Roman" w:eastAsia="Times New Roman" w:hAnsi="Times New Roman"/>
          <w:sz w:val="20"/>
          <w:szCs w:val="20"/>
          <w:color w:val="auto"/>
        </w:rPr>
      </w:pPr>
    </w:p>
    <w:p>
      <w:pPr>
        <w:ind w:firstLine="656"/>
        <w:spacing w:after="0" w:line="269" w:lineRule="auto"/>
        <w:tabs>
          <w:tab w:leader="none" w:pos="1123"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under the Existing Credit Agreement, so long such Debt is repaid concurrently with the making of the initial Credit Extensions hereunder;</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12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arising under any Note Purchase Agreement or any Senior Note (and renewals, refinancings and extensions thereof) and, subject to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any guarantee of the foregoing;</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Suretyship Liabilities of the Company with respect to Debt permitted hereunder (but subject to any limitations otherwise applicable to the Company to incur such Debt directly);</w:t>
      </w:r>
    </w:p>
    <w:p>
      <w:pPr>
        <w:spacing w:after="0" w:line="146"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of a Foreign Subsidiary other than a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13" w:right="339" w:bottom="1440" w:gutter="0" w:footer="0" w:header="0"/>
        </w:sectPr>
      </w:pPr>
    </w:p>
    <w:bookmarkStart w:id="127" w:name="page128"/>
    <w:bookmarkEnd w:id="127"/>
    <w:p>
      <w:pPr>
        <w:ind w:firstLine="656"/>
        <w:spacing w:after="0" w:line="283" w:lineRule="auto"/>
        <w:tabs>
          <w:tab w:leader="none" w:pos="113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from the honoring by a bank or other financial institution of a check, draft or similar instrument inadvertently (except in the case of daylight overdrafts) drawn against insufficient funds in the ordinary course of business;</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Suretyship Liabilities of any Loan Party or any Subsidiary with respect to (i) recourse obligations resulting from endorsement of negotiable instruments for collection in the ordinary course of business and (ii) workers’ compensation and similar obligations of the Loan Parties and their Subsidiaries incurred in the ordinary course of business;</w:t>
      </w:r>
    </w:p>
    <w:p>
      <w:pPr>
        <w:spacing w:after="0" w:line="181"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unsecured Debt and, subject to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any guaranty thereof; and</w:t>
      </w:r>
    </w:p>
    <w:p>
      <w:pPr>
        <w:spacing w:after="0" w:line="22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Debt, Investments permitted under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incurrence of Debt described in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clause (o)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(r)</w:t>
      </w:r>
      <w:r>
        <w:rPr>
          <w:rFonts w:ascii="Times New Roman" w:cs="Times New Roman" w:eastAsia="Times New Roman" w:hAnsi="Times New Roman"/>
          <w:sz w:val="20"/>
          <w:szCs w:val="20"/>
          <w:color w:val="auto"/>
        </w:rPr>
        <w:t xml:space="preserve"> after the Closing Date, (i) the Company is in pro forma compliance with the covenants set forth in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(ii) no Default shall exist or result from the incurrence of such Debt.</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7.08</w:t>
      </w:r>
      <w:r>
        <w:rPr>
          <w:sz w:val="20"/>
          <w:szCs w:val="20"/>
          <w:color w:val="auto"/>
        </w:rPr>
        <w:tab/>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Not, and not permit any Significant Subsidiary or any Securitization Subsidiary to, create or permit to exist any Lien on any of its real or personal properties, assets or rights of whatsoever nature (whether now owned or hereafter acquired), except:</w:t>
      </w:r>
    </w:p>
    <w:p>
      <w:pPr>
        <w:spacing w:after="0" w:line="146" w:lineRule="exact"/>
        <w:rPr>
          <w:sz w:val="20"/>
          <w:szCs w:val="20"/>
          <w:color w:val="auto"/>
        </w:rPr>
      </w:pPr>
    </w:p>
    <w:p>
      <w:pPr>
        <w:ind w:firstLine="656"/>
        <w:spacing w:after="0" w:line="283" w:lineRule="auto"/>
        <w:tabs>
          <w:tab w:leader="none" w:pos="110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or other governmental charges not at the time delinquent for more than 90 days or thereafter payable without penalty or being contested in good faith by appropriate action and, in each case, for which it maintains adequate reserves;</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9"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in the ordinary course of business (such as (i) Liens of carriers, warehousemen, mechanics and materialmen and other similar Liens imposed by Law, (ii) Liens incurred in connection with worker’s compensation, unemployment compensation and other types of social security (excluding Liens arising under ERISA) or in connection with surety bonds, bids, performance bonds and similar obligations, </w:t>
      </w:r>
      <w:r>
        <w:rPr>
          <w:rFonts w:ascii="Times New Roman" w:cs="Times New Roman" w:eastAsia="Times New Roman" w:hAnsi="Times New Roman"/>
          <w:sz w:val="20"/>
          <w:szCs w:val="20"/>
          <w:u w:val="single" w:color="auto"/>
          <w:color w:val="0000FF"/>
        </w:rPr>
        <w:t>and</w:t>
      </w:r>
      <w:r>
        <w:rPr>
          <w:rFonts w:ascii="Times New Roman" w:cs="Times New Roman" w:eastAsia="Times New Roman" w:hAnsi="Times New Roman"/>
          <w:sz w:val="20"/>
          <w:szCs w:val="20"/>
          <w:color w:val="auto"/>
        </w:rPr>
        <w:t xml:space="preserve"> (iii) Liens deemed to exist in connection with investments in repurchase agreements not prohibited by this Agreement) for sums not overdue for a period of more than 30 days or, if more than 30 days overdue, being contested in good faith by appropriate action and not involving borrowed money, and, in each case, for which it maintains adequate reserves;</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identified in </w:t>
      </w:r>
      <w:r>
        <w:rPr>
          <w:rFonts w:ascii="Times New Roman" w:cs="Times New Roman" w:eastAsia="Times New Roman" w:hAnsi="Times New Roman"/>
          <w:sz w:val="20"/>
          <w:szCs w:val="20"/>
          <w:u w:val="single" w:color="auto"/>
          <w:color w:val="auto"/>
        </w:rPr>
        <w:t>Schedule 7.08</w:t>
      </w:r>
      <w:r>
        <w:rPr>
          <w:rFonts w:ascii="Times New Roman" w:cs="Times New Roman" w:eastAsia="Times New Roman" w:hAnsi="Times New Roman"/>
          <w:sz w:val="20"/>
          <w:szCs w:val="20"/>
          <w:color w:val="auto"/>
        </w:rPr>
        <w:t xml:space="preserve"> and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attachments, appeal bonds, judgments and other similar Liens arising in connection with court proceedings, for an aggregate amount (with all other Liens existing pursuant to this clause (d)) at the time of incurrence not exceeding the greater of (i) $25,000,000 and (ii) 2.5%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execution or other enforcement of such Liens is effectively stayed and the claims secured thereby are being actively contested in good faith and by appropriate action;</w:t>
      </w:r>
    </w:p>
    <w:p>
      <w:pPr>
        <w:spacing w:after="0" w:line="191" w:lineRule="exact"/>
        <w:rPr>
          <w:rFonts w:ascii="Times New Roman" w:cs="Times New Roman" w:eastAsia="Times New Roman" w:hAnsi="Times New Roman"/>
          <w:sz w:val="20"/>
          <w:szCs w:val="20"/>
          <w:color w:val="auto"/>
        </w:rPr>
      </w:pPr>
    </w:p>
    <w:p>
      <w:pPr>
        <w:ind w:firstLine="656"/>
        <w:spacing w:after="0" w:line="269" w:lineRule="auto"/>
        <w:tabs>
          <w:tab w:leader="none" w:pos="104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zoning, building, entitlement and other land use regulations with which the normal operation of the business of the Company and its Subsidiaries complies; (ii) any zoning or similar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58" w:lineRule="auto"/>
        <w:rPr>
          <w:sz w:val="20"/>
          <w:szCs w:val="20"/>
          <w:color w:val="auto"/>
        </w:rPr>
      </w:pPr>
      <w:r>
        <w:rPr>
          <w:rFonts w:ascii="Times New Roman" w:cs="Times New Roman" w:eastAsia="Times New Roman" w:hAnsi="Times New Roman"/>
          <w:sz w:val="20"/>
          <w:szCs w:val="20"/>
          <w:color w:val="auto"/>
        </w:rPr>
        <w:t>right reserved to or vested in any Governmental Authority to control or regulate the use of real property; and (iii) easements, rights of way, restrictions, minor defects or irregularities in title and other similar Liens, in each of the foregoing cases that is not interfering in any material respect with the ordinary conduct of the business of the Company, any Significant Subsidiary or any Domestic Subsidiary (other than Excluded Subsidiaries);</w:t>
      </w:r>
    </w:p>
    <w:p>
      <w:pPr>
        <w:spacing w:after="0" w:line="172" w:lineRule="exact"/>
        <w:rPr>
          <w:sz w:val="20"/>
          <w:szCs w:val="20"/>
          <w:color w:val="auto"/>
        </w:rPr>
      </w:pPr>
    </w:p>
    <w:p>
      <w:pPr>
        <w:jc w:val="both"/>
        <w:ind w:firstLine="656"/>
        <w:spacing w:after="0" w:line="253" w:lineRule="auto"/>
        <w:tabs>
          <w:tab w:leader="none" w:pos="105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property of a Person immediately prior to its being consolidated with or merged into the Company or a Subsidiary or otherwise becoming a Subsidiary and Liens on assets existing at the time of acquisition (by merger or otherwise) of such property by the Company or a Subsidiary and on proceeds thereof, and in each case not created in contemplation thereof or of such Person becoming a Subsidiary, provided that such Liens do not extend to or cover additional types of assets, and, in each case,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Debt permitted by </w:t>
      </w:r>
      <w:r>
        <w:rPr>
          <w:rFonts w:ascii="Times New Roman" w:cs="Times New Roman" w:eastAsia="Times New Roman" w:hAnsi="Times New Roman"/>
          <w:sz w:val="20"/>
          <w:szCs w:val="20"/>
          <w:u w:val="single" w:color="auto"/>
          <w:color w:val="auto"/>
        </w:rPr>
        <w:t>Section 7.07(b)</w:t>
      </w:r>
      <w:r>
        <w:rPr>
          <w:rFonts w:ascii="Times New Roman" w:cs="Times New Roman" w:eastAsia="Times New Roman" w:hAnsi="Times New Roman"/>
          <w:sz w:val="20"/>
          <w:szCs w:val="20"/>
          <w:color w:val="auto"/>
        </w:rPr>
        <w:t xml:space="preserve"> (including, without limitation, Liens of sellers of goods arising under Article 2 of the Uniform Commercial Code or similar provisions of applicable Law) or any refinancing, renewal, extension or replacement thereof (to the extent the aggregate principal amount of such Debt is not increased);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 attaches solely to the property so acquired, constructed or improved in such transaction (provided that individual financings under </w:t>
      </w:r>
      <w:r>
        <w:rPr>
          <w:rFonts w:ascii="Times New Roman" w:cs="Times New Roman" w:eastAsia="Times New Roman" w:hAnsi="Times New Roman"/>
          <w:sz w:val="20"/>
          <w:szCs w:val="20"/>
          <w:u w:val="single" w:color="auto"/>
          <w:color w:val="auto"/>
        </w:rPr>
        <w:t>Section 7.07(b)</w:t>
      </w:r>
      <w:r>
        <w:rPr>
          <w:rFonts w:ascii="Times New Roman" w:cs="Times New Roman" w:eastAsia="Times New Roman" w:hAnsi="Times New Roman"/>
          <w:sz w:val="20"/>
          <w:szCs w:val="20"/>
          <w:color w:val="auto"/>
        </w:rPr>
        <w:t xml:space="preserve"> provided by one Person (or an Affiliate thereof) may be cross-collateralized to other financings provided by such Person and its Affiliates that are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7.07(b)</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656"/>
        <w:spacing w:after="0" w:line="251" w:lineRule="auto"/>
        <w:tabs>
          <w:tab w:leader="none" w:pos="111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solely by virtue of any statutory or common law provision relating to banker’s liens, rights of set-off or similar rights and remedies as to deposit accounts or other funds maintained with a creditor depository institution (including, without limitation, Liens of a collecting bank arising under Section 4-210 of the Uniform Commercial Code on items in the course of collection) and/or Liens arising in the ordinary course of business with respect to deposit accounts relating to intercompany cash pooling, interest set-off and/or sweeping arrangements;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deposit account is not a dedicated cash collateral account and is not subject to restrictions against access by the Company or the applicable Subsidiary in excess of those set forth by regulations promulgated by the FRB and (ii) such deposit account is not intended by the Company or the applicable Subsidiary to provide collateral to such depository institution;</w:t>
      </w:r>
    </w:p>
    <w:p>
      <w:pPr>
        <w:spacing w:after="0" w:line="192"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Securitization Obligations;</w:t>
      </w:r>
    </w:p>
    <w:p>
      <w:pPr>
        <w:spacing w:after="0" w:line="215" w:lineRule="exact"/>
        <w:rPr>
          <w:rFonts w:ascii="Times New Roman" w:cs="Times New Roman" w:eastAsia="Times New Roman" w:hAnsi="Times New Roman"/>
          <w:sz w:val="20"/>
          <w:szCs w:val="20"/>
          <w:color w:val="auto"/>
        </w:rPr>
      </w:pPr>
    </w:p>
    <w:p>
      <w:pPr>
        <w:jc w:val="both"/>
        <w:ind w:firstLine="656"/>
        <w:spacing w:after="0" w:line="258" w:lineRule="auto"/>
        <w:tabs>
          <w:tab w:leader="none" w:pos="101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arising under any Loan Document, (ii) Liens in favor of any Loan Party, (iii) Liens on the assets of any non-Loan Party in favor of the Company or any of its Subsidiaries, (iv) Liens on the assets of any Foreign Subsidiary in favor of any other Foreign Subsidiary; and (v) Liens on the assets of any Subsidiary that is not a Loan Party in connection with an Investment permitted pursuant </w:t>
      </w:r>
      <w:r>
        <w:rPr>
          <w:rFonts w:ascii="Times New Roman" w:cs="Times New Roman" w:eastAsia="Times New Roman" w:hAnsi="Times New Roman"/>
          <w:sz w:val="20"/>
          <w:szCs w:val="20"/>
          <w:u w:val="single" w:color="auto"/>
          <w:color w:val="auto"/>
        </w:rPr>
        <w:t>Section 7.17(d)</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of title of a lessor under leases permitted by this Agreement;</w:t>
      </w:r>
    </w:p>
    <w:p>
      <w:pPr>
        <w:spacing w:after="0" w:line="215"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(including Liens arising under Section 2-507 of the Uniform Commercial Code) entered into by the Company or any Subsidiary in the ordinary course of business;</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14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or revenue authorities arising as a matter of law to secure payment of customs duties in connection with the importation of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13" w:right="339" w:bottom="1440" w:gutter="0" w:footer="0" w:header="0"/>
        </w:sectPr>
      </w:pPr>
    </w:p>
    <w:bookmarkStart w:id="129" w:name="page130"/>
    <w:bookmarkEnd w:id="129"/>
    <w:p>
      <w:pPr>
        <w:ind w:right="20" w:firstLine="656"/>
        <w:spacing w:after="0" w:line="283" w:lineRule="auto"/>
        <w:tabs>
          <w:tab w:leader="none" w:pos="120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given to a public utility or any Governmental Authority when required by such public utility or Governmental Authority in connection with operations of a Loan Party of Subsidiary in the ordinary course of business;</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39"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progress payments and advances from customers in the ordinary course of business to the extent the same create Liens on the related inventory and proceeds thereof;</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099"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in the ordinary course of business securing liability for reimbursement or indemnification obligations of insurance carriers providing property, casualty or liability insurance to the Company or any of its Subsidiaries;</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9"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an owner of equipment or inventory on loan or consignment to the Company or any of its Subsidiaries and Liens arising from precautionary UCC financing statement filings (or equivalent filings, registrations or agreements in foreign jurisdictions) made in respect of operating leases entered into by the Company or any Subsidiary in the ordinary course of business;</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06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or deemed to exist in connection with any sale, transfer, conveyance or other disposition of accounts receivable not prohibited by this Agreement, but only to the extent that any such Lien relates to the applicable accounts receivable actually sold, transferred conveyed or otherwise disposed of;</w:t>
      </w:r>
    </w:p>
    <w:p>
      <w:pPr>
        <w:spacing w:after="0" w:line="16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6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licenses or sublicenses (including, in the case of licenses and sublicenses, of intellectual property) granted to others in the ordinary course of business which do not materially interfere with the ordinary conduct of the business of the Company or any Subsidiary and do not secure any Debt; and</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2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so long as, at the time of incurrence of the obligations secured by such Lien, the aggregate amount of all obligations secured by Liens incurred pursuant to this clause (t) shall not exceed the greater of (i) $50,000,000 and (ii) 5%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Lien permitted under this </w:t>
      </w:r>
      <w:r>
        <w:rPr>
          <w:rFonts w:ascii="Times New Roman" w:cs="Times New Roman" w:eastAsia="Times New Roman" w:hAnsi="Times New Roman"/>
          <w:sz w:val="20"/>
          <w:szCs w:val="20"/>
          <w:u w:val="single" w:color="auto"/>
          <w:color w:val="auto"/>
        </w:rPr>
        <w:t>clause (t)</w:t>
      </w:r>
      <w:r>
        <w:rPr>
          <w:rFonts w:ascii="Times New Roman" w:cs="Times New Roman" w:eastAsia="Times New Roman" w:hAnsi="Times New Roman"/>
          <w:sz w:val="20"/>
          <w:szCs w:val="20"/>
          <w:color w:val="auto"/>
        </w:rPr>
        <w:t xml:space="preserve"> may secure any obligations under any Note Purchase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Lien permitted above on any property may extend to the identifiable proceeds of such property.</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7.09</w:t>
      </w:r>
      <w:r>
        <w:rPr>
          <w:sz w:val="20"/>
          <w:szCs w:val="20"/>
          <w:color w:val="auto"/>
        </w:rPr>
        <w:tab/>
      </w:r>
      <w:r>
        <w:rPr>
          <w:rFonts w:ascii="Times New Roman" w:cs="Times New Roman" w:eastAsia="Times New Roman" w:hAnsi="Times New Roman"/>
          <w:sz w:val="19"/>
          <w:szCs w:val="19"/>
          <w:u w:val="single" w:color="auto"/>
          <w:color w:val="auto"/>
        </w:rPr>
        <w:t>Fundamental Changes, Consolidations, Sales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Not, and not permit any Significant Subsidiary to, be a party to any merger or consolidation, consummate any Delaware LLC Division, or sell, transfer, convey or lease any of its assets, or sell or assign with or without recourse any receivables, except for:</w:t>
      </w:r>
    </w:p>
    <w:p>
      <w:pPr>
        <w:spacing w:after="0" w:line="146" w:lineRule="exact"/>
        <w:rPr>
          <w:sz w:val="20"/>
          <w:szCs w:val="20"/>
          <w:color w:val="auto"/>
        </w:rPr>
      </w:pPr>
    </w:p>
    <w:p>
      <w:pPr>
        <w:jc w:val="both"/>
        <w:ind w:firstLine="656"/>
        <w:spacing w:after="0" w:line="253" w:lineRule="auto"/>
        <w:tabs>
          <w:tab w:leader="none" w:pos="110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merger or consolidation, sale, transfer, conveyance, lease or assignment (i) of or by any Guarantor or any Borrower into, with or to the Company, another Loan Party or any other wholly-owned Subsidiary (provided that (x) if the Company is a party to such transaction, the Company shall be the survivor, (y) if a Borrower (other than the Company) is party to such transaction, either such Borrower or another Borrower shall be the survivor and (z) if a Guarantor is a party to such transaction, either such Guarantor or another Loan Party shall be the survivor), (ii) of or by any Foreign Subsidiary into, with or to any other Foreign Subsidiary (provided that if a Borrower is party to such transaction, either such Borrower or another Borrower shall be the survivor); or (iii) of or by any Subsidiary that is not a Loan Party into, with or to any other Subsidiary 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13" w:right="339" w:bottom="1440" w:gutter="0" w:footer="0" w:header="0"/>
        </w:sectPr>
      </w:pPr>
    </w:p>
    <w:bookmarkStart w:id="130" w:name="page131"/>
    <w:bookmarkEnd w:id="130"/>
    <w:p>
      <w:pPr>
        <w:jc w:val="both"/>
        <w:ind w:firstLine="656"/>
        <w:spacing w:after="0" w:line="253" w:lineRule="auto"/>
        <w:tabs>
          <w:tab w:leader="none" w:pos="111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Delaware LLC Division if, immediately upon the consummation of the Delaware LLC Division, in the case of a Delaware LLC Division of (i) a Loan Party, the assets of such applicable dividing person are held by one or more Wholly Owned Subsidiaries which are (or shall simultaneously become, pursuant to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Loan Parties, (ii) a Significant Subsidiary, the assets of such applicable dividing person are held by one or more Significant Subsidiaries, and (iii) a Subsidiary, the assets of such applicable dividing person are held by one or more Subsidiaries, in each case, at such time, or, with respect to assets not so held in accordance with clauses (i) – (iii) above, such Delaware LLC Division, in the aggregate, would otherwise result in a disposition expressly permitted by this Section;</w:t>
      </w:r>
    </w:p>
    <w:p>
      <w:pPr>
        <w:spacing w:after="0" w:line="19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permitted by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12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lease receivables, other financial assets and other rights and related assets pursuant to a Permitted Securitization or any factoring transaction;</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04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worn-out, obsolete or surplus equipment and equipment that is no longer used or useful in the conduct of business of the Company and its Subsidiaries, in each case, in the ordinary course of business and cash, Cash Equivalents and marketable securities in the ordinary course of business;</w:t>
      </w:r>
    </w:p>
    <w:p>
      <w:pPr>
        <w:spacing w:after="0" w:line="161"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17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with extended terms and dispositions of defaulted accounts receivable without credit recourse in transactions that do not constitute securitizations, in each case in the ordinary course of business consistent with past practice of the Company and/or any of its Subsidiaries;</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05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dispositions of assets (including Capital Stock of Subsidiaries) purchased in connection with (and as a direct result of) a Permitted Acquisition;</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in the ordinary course of business to the extent that (i) such property is exchanged for credit against the purchase price of similar replacement equipment or other revenue-producing property or (ii) the proceeds of such disposition are promptly applied to the purchase price of such replacement or other revenue-producing property;</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property to the Company or any Subsidiary; provided, that if the transferor of such Property is a Loan Party (i) the transferee thereof must be a Loan Party (other than a Foreign Loan Party) or (ii) to the extent such transaction constitutes an Investment, such transaction is permitted under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a disposition, Investments permitted under </w:t>
      </w:r>
      <w:r>
        <w:rPr>
          <w:rFonts w:ascii="Times New Roman" w:cs="Times New Roman" w:eastAsia="Times New Roman" w:hAnsi="Times New Roman"/>
          <w:sz w:val="20"/>
          <w:szCs w:val="20"/>
          <w:u w:val="single" w:color="auto"/>
          <w:color w:val="auto"/>
        </w:rPr>
        <w:t>Section 7.17(n)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and</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dispositions set forth on Schedule 7.09; and</w:t>
      </w:r>
    </w:p>
    <w:p>
      <w:pPr>
        <w:spacing w:after="0" w:line="229" w:lineRule="exact"/>
        <w:rPr>
          <w:rFonts w:ascii="Times New Roman" w:cs="Times New Roman" w:eastAsia="Times New Roman" w:hAnsi="Times New Roman"/>
          <w:sz w:val="20"/>
          <w:szCs w:val="20"/>
          <w:u w:val="single" w:color="auto"/>
          <w:color w:val="0000FF"/>
        </w:rPr>
      </w:pPr>
    </w:p>
    <w:p>
      <w:pPr>
        <w:jc w:val="both"/>
        <w:ind w:firstLine="656"/>
        <w:spacing w:after="0" w:line="253" w:lineRule="auto"/>
        <w:tabs>
          <w:tab w:leader="none" w:pos="109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(k)</w:t>
      </w:r>
      <w:r>
        <w:rPr>
          <w:rFonts w:ascii="Times New Roman" w:cs="Times New Roman" w:eastAsia="Times New Roman" w:hAnsi="Times New Roman"/>
          <w:sz w:val="20"/>
          <w:szCs w:val="20"/>
          <w:color w:val="000000"/>
        </w:rPr>
        <w:t>other sales and dispositions of assets so long as no Default exists or would exist immediately after giving effect thereto;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aggregate fair market value of all tangible property (including, for the avoidance of doubt, real property) and intellectual property disposed of by the Loan Parties pursuant to this clause (</w:t>
      </w:r>
      <w:r>
        <w:rPr>
          <w:rFonts w:ascii="Times New Roman" w:cs="Times New Roman" w:eastAsia="Times New Roman" w:hAnsi="Times New Roman"/>
          <w:sz w:val="20"/>
          <w:szCs w:val="20"/>
          <w:color w:val="FF0000"/>
          <w:strike w:val="1"/>
        </w:rPr>
        <w:t>k</w:t>
      </w:r>
      <w:r>
        <w:rPr>
          <w:rFonts w:ascii="Times New Roman" w:cs="Times New Roman" w:eastAsia="Times New Roman" w:hAnsi="Times New Roman"/>
          <w:sz w:val="20"/>
          <w:szCs w:val="20"/>
          <w:u w:val="single" w:color="auto"/>
          <w:color w:val="0000FF"/>
        </w:rPr>
        <w:t>l</w:t>
      </w:r>
      <w:r>
        <w:rPr>
          <w:rFonts w:ascii="Times New Roman" w:cs="Times New Roman" w:eastAsia="Times New Roman" w:hAnsi="Times New Roman"/>
          <w:sz w:val="20"/>
          <w:szCs w:val="20"/>
          <w:color w:val="000000"/>
        </w:rPr>
        <w:t xml:space="preserve">) shall not exceed 25% of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000000"/>
        </w:rPr>
        <w:t>Section 7.01(b)</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7.01(b)</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13" w:right="339" w:bottom="1440" w:gutter="0" w:footer="0" w:header="0"/>
        </w:sectPr>
      </w:pPr>
    </w:p>
    <w:bookmarkStart w:id="131" w:name="page132"/>
    <w:bookmarkEnd w:id="131"/>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For the avoidance of doubt, the granting of a Lien to secure the repayment of Debt or other obligations shall not, in and of itself, constitute a conveyance or transfer of assets pursuant to this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 xml:space="preserve">Notwithstanding the foregoing, prior to the disposition (including by way of a merger or consolidation), dissolution, liquidation or winding up of any Subsidiary that is a Designated Borrower, the Company shall terminate such Subsidiary’s status as a Designated Borrower in accordance with </w:t>
      </w:r>
      <w:r>
        <w:rPr>
          <w:rFonts w:ascii="Times New Roman" w:cs="Times New Roman" w:eastAsia="Times New Roman" w:hAnsi="Times New Roman"/>
          <w:sz w:val="19"/>
          <w:szCs w:val="19"/>
          <w:u w:val="single" w:color="auto"/>
          <w:color w:val="auto"/>
        </w:rPr>
        <w:t>Section 2.14(e)</w:t>
      </w:r>
      <w:r>
        <w:rPr>
          <w:rFonts w:ascii="Times New Roman" w:cs="Times New Roman" w:eastAsia="Times New Roman" w:hAnsi="Times New Roman"/>
          <w:sz w:val="19"/>
          <w:szCs w:val="19"/>
          <w:color w:val="auto"/>
        </w:rPr>
        <w:t xml:space="preserve"> and any Loans or other outstanding Obligations of such Subsidiary shall be assumed by the Company.</w:t>
      </w:r>
    </w:p>
    <w:p>
      <w:pPr>
        <w:spacing w:after="0" w:line="16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Use the proceeds of the Credit Extensions solely (i) to refinance indebtedness, (ii) to finance Permitted Acquisitions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proceeds of a Credit Extension shall not be used to finance a Permitted Acquisition (x) that is hostile or (y) in the case of the Acquisition of a Person, in which the Company or a Subsidiary does not have the approval of the board of directors (or the equivalent governing body) of the Person being acquired, in each case, without the prior written consent of all Lenders) and (iii) for capital expenditures, working capital and other general corporate purposes, and not use the proceeds of the Loans, directly or indirectly, to purchase or carry Margin Stock.</w:t>
      </w:r>
    </w:p>
    <w:p>
      <w:pPr>
        <w:spacing w:after="0" w:line="17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Take, execute and deliver, and cause each applicable Subsidiary to take, execute and deliver, any and all such further acts and agreements as the Administrative Agent or the Required Lenders may reasonably request from time to time in order to ensure that the Obligations are guaranteed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by the Company and, to the extent required under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the applicable Subsidiaries; and deliver, or cause the applicable Guarantor to deliver, to the Administrative Agent such documents as the Administrative Agent (or the Required Lenders acting through the Administrative Agent) may reasonably request (including opinions of counsel) to confirm that the Guaranty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the legal, valid and binding obligation of each Guarantor.</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Not enter into, or cause, suffer or permit to exist any transaction, arrangement or contract with any of its other Affiliates (other than another Loan Party or another Subsidiary or a Person that becomes a Subsidiary as a result of such transaction, arrangement or contract) which is on terms, taken as a whole, which are less favorable than are obtainable from any Person which is not one of its Affiliates under comparable circumstances,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shall not prohibit:</w:t>
      </w:r>
    </w:p>
    <w:p>
      <w:pPr>
        <w:spacing w:after="0" w:line="186" w:lineRule="exact"/>
        <w:rPr>
          <w:sz w:val="20"/>
          <w:szCs w:val="20"/>
          <w:color w:val="auto"/>
        </w:rPr>
      </w:pPr>
    </w:p>
    <w:p>
      <w:pPr>
        <w:ind w:left="1060" w:hanging="404"/>
        <w:spacing w:after="0"/>
        <w:tabs>
          <w:tab w:leader="none" w:pos="106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 contributions and dividends and other distributions with respect to the Capital Stock of the Company or such Loan Party;</w:t>
      </w:r>
    </w:p>
    <w:p>
      <w:pPr>
        <w:spacing w:after="0" w:line="227" w:lineRule="exact"/>
        <w:rPr>
          <w:rFonts w:ascii="Times New Roman" w:cs="Times New Roman" w:eastAsia="Times New Roman" w:hAnsi="Times New Roman"/>
          <w:sz w:val="19"/>
          <w:szCs w:val="19"/>
          <w:color w:val="auto"/>
        </w:rPr>
      </w:pPr>
    </w:p>
    <w:p>
      <w:pPr>
        <w:ind w:firstLine="656"/>
        <w:spacing w:after="0" w:line="283" w:lineRule="auto"/>
        <w:tabs>
          <w:tab w:leader="none" w:pos="108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employment or severance agreement and any amendment thereto entered into by the Company or any other Loan Party in the ordinary course of business;</w:t>
      </w:r>
    </w:p>
    <w:p>
      <w:pPr>
        <w:spacing w:after="0" w:line="146"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reasonable directors’ fees and benefits;</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05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officers’ and directors’ indemnification and insurance in the ordinary course of business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13" w:right="339" w:bottom="1440" w:gutter="0" w:footer="0" w:header="0"/>
        </w:sectPr>
      </w:pPr>
    </w:p>
    <w:bookmarkStart w:id="132" w:name="page133"/>
    <w:bookmarkEnd w:id="132"/>
    <w:p>
      <w:pPr>
        <w:ind w:firstLine="656"/>
        <w:spacing w:after="0" w:line="283" w:lineRule="auto"/>
        <w:tabs>
          <w:tab w:leader="none" w:pos="104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non-interest bearing (or below-market interest-bearing) intercompany loans or other advances in the ordinary course of business and consistent with past practice;</w:t>
      </w:r>
    </w:p>
    <w:p>
      <w:pPr>
        <w:spacing w:after="0" w:line="146"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employee salaries, bonuses and employee benefits in the ordinary course of business;</w:t>
      </w:r>
    </w:p>
    <w:p>
      <w:pPr>
        <w:spacing w:after="0" w:line="229"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or leases of goods to Affiliates in the ordinary course of business for less than fair market value, but for not less than cost;</w:t>
      </w:r>
    </w:p>
    <w:p>
      <w:pPr>
        <w:spacing w:after="0" w:line="227" w:lineRule="exact"/>
        <w:rPr>
          <w:rFonts w:ascii="Times New Roman" w:cs="Times New Roman" w:eastAsia="Times New Roman" w:hAnsi="Times New Roman"/>
          <w:sz w:val="19"/>
          <w:szCs w:val="19"/>
          <w:color w:val="auto"/>
        </w:rPr>
      </w:pPr>
    </w:p>
    <w:p>
      <w:pPr>
        <w:ind w:left="1060" w:hanging="404"/>
        <w:spacing w:after="0"/>
        <w:tabs>
          <w:tab w:leader="none" w:pos="106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effected as part of a Permitted Securitization; or</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05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transaction permitted under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Party may forgive Debt owing to it by an Affiliate that is not a Loan Party), </w:t>
      </w:r>
      <w:r>
        <w:rPr>
          <w:rFonts w:ascii="Times New Roman" w:cs="Times New Roman" w:eastAsia="Times New Roman" w:hAnsi="Times New Roman"/>
          <w:sz w:val="20"/>
          <w:szCs w:val="20"/>
          <w:u w:val="single" w:color="auto"/>
          <w:color w:val="auto"/>
        </w:rPr>
        <w:t>7.09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u w:val="single" w:color="auto"/>
          <w:color w:val="auto"/>
        </w:rPr>
        <w:t>Employee Benefit Plans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Maintain, and cause each Significant Subsidiary to maintain, each Pension Plan in compliance with all applicable requirements of Law and regulations, except to the extent non-compliance could not reasonably be expected to have a Material Adverse Effect.</w:t>
      </w:r>
    </w:p>
    <w:p>
      <w:pPr>
        <w:spacing w:after="0" w:line="1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Conduct, and cause each Significant Subsidiary to conduct, its operations and keep and maintain its property in compliance with all Environmental Laws, except to the extent non-compliance could not reasonably be expected to have a Material Adverse Effect.</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19"/>
          <w:szCs w:val="19"/>
          <w:u w:val="single" w:color="auto"/>
          <w:color w:val="auto"/>
        </w:rPr>
        <w:t>Business Activities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Not, and not permit any Significant Subsidiary to, engage in any line of business other than the same or similar lines of business engaged in by the Company and its Significant Subsidiaries as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and reasonable extensions thereof.</w:t>
      </w:r>
    </w:p>
    <w:p>
      <w:pPr>
        <w:spacing w:after="0" w:line="1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19"/>
          <w:szCs w:val="19"/>
          <w:u w:val="single" w:color="auto"/>
          <w:color w:val="auto"/>
        </w:rPr>
        <w:t>Non-Guarantor Domestic Subsidiaries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Not later than the date that is sixty (60) days after the end of each Fiscal Quarter (or such later date as agreed by the Administrative Agent in its sole discretion), take all steps necessary to cause each Domestic Subsidiary (other than Excluded Subsidiaries) that was not a Guarantor as of the end of such Fiscal Quarter to become a party to this Agreement as a Guarantor. Without limiting the foregoing, the Company will cause any Subsidiary that guarantees, or that is required by the terms of any Note Purchase Agreement or any Senior Note to guarantee, Debt in respect of any Note Purchase Agreement and/or any Senior Note to be a Guarantor.</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7.17</w:t>
      </w:r>
      <w:r>
        <w:rPr>
          <w:sz w:val="20"/>
          <w:szCs w:val="20"/>
          <w:color w:val="auto"/>
        </w:rPr>
        <w:tab/>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and not permit any Significant Subsidiary to, make any Investments, except:</w:t>
      </w:r>
    </w:p>
    <w:p>
      <w:pPr>
        <w:spacing w:after="0" w:line="216" w:lineRule="exact"/>
        <w:rPr>
          <w:sz w:val="20"/>
          <w:szCs w:val="20"/>
          <w:color w:val="auto"/>
        </w:rPr>
      </w:pPr>
    </w:p>
    <w:p>
      <w:pPr>
        <w:ind w:left="1060" w:hanging="404"/>
        <w:spacing w:after="0"/>
        <w:tabs>
          <w:tab w:leader="none" w:pos="10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in the form of cash or Cash Equivalents;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13" w:lineRule="exact"/>
        <w:rPr>
          <w:rFonts w:ascii="Times New Roman" w:cs="Times New Roman" w:eastAsia="Times New Roman" w:hAnsi="Times New Roman"/>
          <w:sz w:val="20"/>
          <w:szCs w:val="20"/>
          <w:color w:val="auto"/>
        </w:rPr>
      </w:pPr>
    </w:p>
    <w:p>
      <w:pPr>
        <w:ind w:left="5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13" w:right="339" w:bottom="1440" w:gutter="0" w:footer="0" w:header="0"/>
        </w:sectPr>
      </w:pPr>
    </w:p>
    <w:bookmarkStart w:id="133" w:name="page134"/>
    <w:bookmarkEnd w:id="133"/>
    <w:p>
      <w:pPr>
        <w:jc w:val="both"/>
        <w:ind w:firstLine="656"/>
        <w:spacing w:after="0" w:line="261" w:lineRule="auto"/>
        <w:tabs>
          <w:tab w:leader="none" w:pos="108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or committed to as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and set forth in </w:t>
      </w:r>
      <w:r>
        <w:rPr>
          <w:rFonts w:ascii="Times New Roman" w:cs="Times New Roman" w:eastAsia="Times New Roman" w:hAnsi="Times New Roman"/>
          <w:sz w:val="20"/>
          <w:szCs w:val="20"/>
          <w:u w:val="single" w:color="auto"/>
          <w:color w:val="auto"/>
        </w:rPr>
        <w:t>Schedule 7.17</w:t>
      </w:r>
      <w:r>
        <w:rPr>
          <w:rFonts w:ascii="Times New Roman" w:cs="Times New Roman" w:eastAsia="Times New Roman" w:hAnsi="Times New Roman"/>
          <w:sz w:val="20"/>
          <w:szCs w:val="20"/>
          <w:color w:val="auto"/>
        </w:rPr>
        <w:t xml:space="preserve"> (and any modification, replacement, renewal or extension thereof, to the extent that the amount of the original Investment is not increased except by the terms of such Investment or as otherwise permitted under this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any Person that is a Loan Party prior to giving effect to such Investment;</w:t>
      </w:r>
    </w:p>
    <w:p>
      <w:pPr>
        <w:spacing w:after="0" w:line="215"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Subsidiary that is not a Loan Party in any other Subsidiary;</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other advances, prepayments and credits to suppliers in the ordinary course of business, and Investments (including debt obligations) received in connection with bankruptcy or reorganization of suppliers, customers and other account debtors (or received in satisfaction or partial satisfaction thereof from financially troubled account debtors) to the extent reasonably necessary to prevent or limit loss and in full or partial settlement of delinquent obligations of, and other disputes with, customers, suppliers and other account debtors arising in the ordinary course of business;</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01"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officers, directors and employees of the Company or any Subsidiary in connection with travel, entertainment, relocation and analogous ordinary business purposes and advances of payroll payments to employees in the ordinary course of business;</w:t>
      </w:r>
    </w:p>
    <w:p>
      <w:pPr>
        <w:spacing w:after="0" w:line="167"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Suretyship Liabilities permitted by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19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promissory notes and other noncash consideration received from credit-worthy obligors in connection with dispositions permitted under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non-qualified employee benefit plans, including deferred compensation plans;</w:t>
      </w:r>
    </w:p>
    <w:p>
      <w:pPr>
        <w:spacing w:after="0" w:line="215" w:lineRule="exact"/>
        <w:rPr>
          <w:rFonts w:ascii="Times New Roman" w:cs="Times New Roman" w:eastAsia="Times New Roman" w:hAnsi="Times New Roman"/>
          <w:sz w:val="20"/>
          <w:szCs w:val="20"/>
          <w:color w:val="auto"/>
        </w:rPr>
      </w:pPr>
    </w:p>
    <w:p>
      <w:pPr>
        <w:jc w:val="both"/>
        <w:ind w:firstLine="656"/>
        <w:spacing w:after="0" w:line="257" w:lineRule="auto"/>
        <w:tabs>
          <w:tab w:leader="none" w:pos="109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partnerships, joint ventures and any other non-Wholly Owned Subsidiary where the aggregate amount of such Investments (excluding any such Investment existing or committed for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 Date</w:t>
      </w:r>
      <w:r>
        <w:rPr>
          <w:rFonts w:ascii="Times New Roman" w:cs="Times New Roman" w:eastAsia="Times New Roman" w:hAnsi="Times New Roman"/>
          <w:sz w:val="20"/>
          <w:szCs w:val="20"/>
          <w:color w:val="auto"/>
        </w:rPr>
        <w:t xml:space="preserve"> and listed on </w:t>
      </w:r>
      <w:r>
        <w:rPr>
          <w:rFonts w:ascii="Times New Roman" w:cs="Times New Roman" w:eastAsia="Times New Roman" w:hAnsi="Times New Roman"/>
          <w:sz w:val="20"/>
          <w:szCs w:val="20"/>
          <w:u w:val="single" w:color="auto"/>
          <w:color w:val="auto"/>
        </w:rPr>
        <w:t>Schedule 7.17</w:t>
      </w:r>
      <w:r>
        <w:rPr>
          <w:rFonts w:ascii="Times New Roman" w:cs="Times New Roman" w:eastAsia="Times New Roman" w:hAnsi="Times New Roman"/>
          <w:sz w:val="20"/>
          <w:szCs w:val="20"/>
          <w:color w:val="auto"/>
        </w:rPr>
        <w:t xml:space="preserve">) outstanding at any one time does not exceed the greater of (i) $50,000,000 and (ii) 5% of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Party may become a general partner in any partnership;</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2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 Loan Party in a Subsidiary that is not a Loan Party for purposes of funding a Permitted Acquisition so long as the sum of (i) unrestricted cash of the Company and its Domestic Subsidiaries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unutilized availability under the Aggregate Revolving Commitments is at least $50,000,000;</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141"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made by a Loan Party in a Subsidiary that is not a Loan Party with cash proceeds received from distributions from Subsidiaries that are not Loan Parties to the extent such Investment is made within 30 days of the receipt of such cash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13" w:right="339" w:bottom="1440" w:gutter="0" w:footer="0" w:header="0"/>
        </w:sectPr>
      </w:pPr>
    </w:p>
    <w:bookmarkStart w:id="134" w:name="page135"/>
    <w:bookmarkEnd w:id="134"/>
    <w:p>
      <w:pPr>
        <w:jc w:val="both"/>
        <w:ind w:firstLine="656"/>
        <w:spacing w:after="0" w:line="261" w:lineRule="auto"/>
        <w:tabs>
          <w:tab w:leader="none" w:pos="105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the transfer of Capital Stock or Debt (other than Obligations) of a Foreign Subsidiary to the Company or any other Subsidiary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Debt of a Foreign Subsidiary shall not be transferred to a Loan Party unless such Loan Party would be permitted to incur such Debt pursuant to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2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endorsement of a check or other medium of payment for deposit or collection through normal banking channels or any similar transaction in the normal course of business;</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9"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 Loan Party in a Subsidiary that is not a Loan Party made after the </w:t>
      </w:r>
      <w:r>
        <w:rPr>
          <w:rFonts w:ascii="Times New Roman" w:cs="Times New Roman" w:eastAsia="Times New Roman" w:hAnsi="Times New Roman"/>
          <w:sz w:val="20"/>
          <w:szCs w:val="20"/>
          <w:color w:val="FF0000"/>
          <w:strike w:val="1"/>
        </w:rPr>
        <w:t>date hereof</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Date</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at the time such Investment is made, the aggregate amount of all Investments outstanding at any one time pursuant to this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clause (p) shall not exceed the greater of (x) $50,000,000 and (y) 5% of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000000"/>
        </w:rPr>
        <w:t>Section 7.01(a)</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7.01(b)</w:t>
      </w:r>
      <w:r>
        <w:rPr>
          <w:rFonts w:ascii="Times New Roman" w:cs="Times New Roman" w:eastAsia="Times New Roman" w:hAnsi="Times New Roman"/>
          <w:sz w:val="20"/>
          <w:szCs w:val="20"/>
          <w:color w:val="000000"/>
        </w:rPr>
        <w:t>; and</w:t>
      </w:r>
    </w:p>
    <w:p>
      <w:pPr>
        <w:spacing w:after="0" w:line="191" w:lineRule="exact"/>
        <w:rPr>
          <w:rFonts w:ascii="Times New Roman" w:cs="Times New Roman" w:eastAsia="Times New Roman" w:hAnsi="Times New Roman"/>
          <w:sz w:val="20"/>
          <w:szCs w:val="20"/>
          <w:color w:val="auto"/>
        </w:rPr>
      </w:pPr>
    </w:p>
    <w:p>
      <w:pPr>
        <w:jc w:val="both"/>
        <w:ind w:firstLine="656"/>
        <w:spacing w:after="0" w:line="258" w:lineRule="auto"/>
        <w:tabs>
          <w:tab w:leader="none" w:pos="105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Investments otherwise permitted under this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xml:space="preserve">, Investments of any nature,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such Investment is made, the aggregate amount of all Investments outstanding at any one time pursuant to this clause (q) shall not exceed the greater of (x) $100,000,000 and (y) 10% of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7.18</w:t>
      </w:r>
      <w:r>
        <w:rPr>
          <w:sz w:val="20"/>
          <w:szCs w:val="20"/>
          <w:color w:val="auto"/>
        </w:rPr>
        <w:tab/>
      </w:r>
      <w:r>
        <w:rPr>
          <w:rFonts w:ascii="Times New Roman" w:cs="Times New Roman" w:eastAsia="Times New Roman" w:hAnsi="Times New Roman"/>
          <w:sz w:val="19"/>
          <w:szCs w:val="19"/>
          <w:u w:val="single" w:color="auto"/>
          <w:color w:val="auto"/>
        </w:rPr>
        <w:t>Burdensome Agreements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Not, and not permit any Significant Subsidiary (other than an Excluded Subsidiary) to, enter into, or permit to exist, any written Contractual Obligation that encumbers or restricts the ability of any such Person to (i) pay dividends or make any other distributions to any Loan Party on its Capital Stock or with respect to any other interest or participation in, or measured by, its profits or (ii) repay any loans or advances owed to any Loan Party, except for (1) this Agreement and the other Loan Documents, (2) the Note Purchase Agreements, (3) restrictions and conditions imposed by Law, (4) customary restrictions and conditions contained in any agreement relating to the sale or other disposition of any property permitted under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 xml:space="preserve"> pending the consummation of such sale or other disposition, and/or (5) Contractual Obligations which (A) (i) (x) exist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w:t>
      </w:r>
      <w:r>
        <w:rPr>
          <w:rFonts w:ascii="Times New Roman" w:cs="Times New Roman" w:eastAsia="Times New Roman" w:hAnsi="Times New Roman"/>
          <w:sz w:val="20"/>
          <w:szCs w:val="20"/>
          <w:color w:val="auto"/>
        </w:rPr>
        <w:t xml:space="preserve"> Date and (to the extent not otherwise permitted by this </w:t>
      </w:r>
      <w:r>
        <w:rPr>
          <w:rFonts w:ascii="Times New Roman" w:cs="Times New Roman" w:eastAsia="Times New Roman" w:hAnsi="Times New Roman"/>
          <w:sz w:val="20"/>
          <w:szCs w:val="20"/>
          <w:u w:val="single" w:color="auto"/>
          <w:color w:val="auto"/>
        </w:rPr>
        <w:t>Section 7.18</w:t>
      </w:r>
      <w:r>
        <w:rPr>
          <w:rFonts w:ascii="Times New Roman" w:cs="Times New Roman" w:eastAsia="Times New Roman" w:hAnsi="Times New Roman"/>
          <w:sz w:val="20"/>
          <w:szCs w:val="20"/>
          <w:color w:val="auto"/>
        </w:rPr>
        <w:t xml:space="preserve">) are listed on </w:t>
      </w:r>
      <w:r>
        <w:rPr>
          <w:rFonts w:ascii="Times New Roman" w:cs="Times New Roman" w:eastAsia="Times New Roman" w:hAnsi="Times New Roman"/>
          <w:sz w:val="20"/>
          <w:szCs w:val="20"/>
          <w:u w:val="single" w:color="auto"/>
          <w:color w:val="auto"/>
        </w:rPr>
        <w:t>Schedule 7.18</w:t>
      </w:r>
      <w:r>
        <w:rPr>
          <w:rFonts w:ascii="Times New Roman" w:cs="Times New Roman" w:eastAsia="Times New Roman" w:hAnsi="Times New Roman"/>
          <w:sz w:val="20"/>
          <w:szCs w:val="20"/>
          <w:color w:val="auto"/>
        </w:rPr>
        <w:t xml:space="preserve"> hereto and (y) to the extent Contractual Obligations permitted by clause (x) are set forth in an agreement evidencing Debt, are set forth in any agreement evidencing any permitted renewal, extension or refinancing of such Debt so long as such renewal, extension or refinancing does not expand the scope of such Contractual Obligation, (ii) are binding on a Subsidiary at the time such Subsidiary first becomes a Subsidiary, so long as such Contractual Obligations were not entered into in contemplation of such Person becoming a Subsidiary, (B) are customary provisions in joint venture agreements and other similar agreements applicable to joint ventures permitted under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xml:space="preserve"> and applicable solely to such joint venture entered into in the ordinary course of business or (C) are set forth in the agreements governing any Permitted Securitization with respect to any Securitization Subsidiary.</w:t>
      </w:r>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7.19</w:t>
      </w:r>
      <w:r>
        <w:rPr>
          <w:sz w:val="20"/>
          <w:szCs w:val="20"/>
          <w:color w:val="auto"/>
        </w:rPr>
        <w:tab/>
      </w:r>
      <w:r>
        <w:rPr>
          <w:rFonts w:ascii="Times New Roman" w:cs="Times New Roman" w:eastAsia="Times New Roman" w:hAnsi="Times New Roman"/>
          <w:sz w:val="19"/>
          <w:szCs w:val="19"/>
          <w:u w:val="single" w:color="auto"/>
          <w:color w:val="auto"/>
        </w:rPr>
        <w:t>Organization Documents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amend, modify or change its Organization Documents in a manner materially adverse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13" w:right="339" w:bottom="1440" w:gutter="0" w:footer="0" w:header="0"/>
        </w:sectPr>
      </w:pPr>
    </w:p>
    <w:bookmarkStart w:id="135" w:name="page136"/>
    <w:bookmarkEnd w:id="135"/>
    <w:p>
      <w:pPr>
        <w:spacing w:after="0"/>
        <w:tabs>
          <w:tab w:leader="none" w:pos="520" w:val="left"/>
        </w:tabs>
        <w:rPr>
          <w:sz w:val="20"/>
          <w:szCs w:val="20"/>
          <w:color w:val="auto"/>
        </w:rPr>
      </w:pPr>
      <w:r>
        <w:rPr>
          <w:rFonts w:ascii="Times New Roman" w:cs="Times New Roman" w:eastAsia="Times New Roman" w:hAnsi="Times New Roman"/>
          <w:sz w:val="20"/>
          <w:szCs w:val="20"/>
          <w:color w:val="auto"/>
        </w:rPr>
        <w:t>7.20</w:t>
      </w:r>
      <w:r>
        <w:rPr>
          <w:sz w:val="20"/>
          <w:szCs w:val="20"/>
          <w:color w:val="auto"/>
        </w:rPr>
        <w:tab/>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Not directly or, to the knowledge of the Loan Parties,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of Sanctions.</w:t>
      </w:r>
    </w:p>
    <w:p>
      <w:pPr>
        <w:spacing w:after="0" w:line="18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7.21</w:t>
      </w:r>
      <w:r>
        <w:rPr>
          <w:sz w:val="20"/>
          <w:szCs w:val="20"/>
          <w:color w:val="auto"/>
        </w:rPr>
        <w:tab/>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1" w:lineRule="auto"/>
        <w:tabs>
          <w:tab w:leader="none" w:pos="107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its businesses in compliance in all material respects with the United States Foreign Corrupt Practices Act of 1977, the UK Bribery Act 2010 and other similar anti-corruption legislation in other jurisdictions and maintain policies and procedures designed to promote and achieve compliance with such laws.</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05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directly or, to the knowledge of the Loan Parties, indirectly use the proceeds of any Credit Extension for any purpose which would breach the United States Foreign Corrupt Practices Act of 1977, the UK Bribery Act 2010 or other similar anti-corruption legislation in other jurisdictions.</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EVENTS OF DEFAULT AND REMEDIES</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9.01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of the following shall constitute an Event of Default under this Agreement:</w:t>
      </w:r>
    </w:p>
    <w:p>
      <w:pPr>
        <w:spacing w:after="0" w:line="229" w:lineRule="exact"/>
        <w:rPr>
          <w:sz w:val="20"/>
          <w:szCs w:val="20"/>
          <w:color w:val="auto"/>
        </w:rPr>
      </w:pPr>
    </w:p>
    <w:p>
      <w:pPr>
        <w:jc w:val="both"/>
        <w:ind w:firstLine="656"/>
        <w:spacing w:after="0" w:line="254" w:lineRule="auto"/>
        <w:tabs>
          <w:tab w:leader="none" w:pos="1061"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 of the Loans, etc</w:t>
      </w:r>
      <w:r>
        <w:rPr>
          <w:rFonts w:ascii="Times New Roman" w:cs="Times New Roman" w:eastAsia="Times New Roman" w:hAnsi="Times New Roman"/>
          <w:sz w:val="20"/>
          <w:szCs w:val="20"/>
          <w:color w:val="auto"/>
        </w:rPr>
        <w:t>. Default in the payment when due of the principal of any Loan or any reimbursement obligation with respect to any Letter of Credit; default, and continuance thereof for five days, in the payment when due of any interest or fee; or default, and continuance thereof for ten days, in the payment when due of any other amount payable by the Loan Parties hereunder or under any other Loan Document.</w:t>
      </w:r>
    </w:p>
    <w:p>
      <w:pPr>
        <w:spacing w:after="0" w:line="187" w:lineRule="exact"/>
        <w:rPr>
          <w:rFonts w:ascii="Times New Roman" w:cs="Times New Roman" w:eastAsia="Times New Roman" w:hAnsi="Times New Roman"/>
          <w:sz w:val="20"/>
          <w:szCs w:val="20"/>
          <w:color w:val="auto"/>
        </w:rPr>
      </w:pPr>
    </w:p>
    <w:p>
      <w:pPr>
        <w:jc w:val="both"/>
        <w:ind w:firstLine="656"/>
        <w:spacing w:after="0" w:line="251" w:lineRule="auto"/>
        <w:tabs>
          <w:tab w:leader="none" w:pos="111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 of Other Debt, etc</w:t>
      </w:r>
      <w:r>
        <w:rPr>
          <w:rFonts w:ascii="Times New Roman" w:cs="Times New Roman" w:eastAsia="Times New Roman" w:hAnsi="Times New Roman"/>
          <w:sz w:val="20"/>
          <w:szCs w:val="20"/>
          <w:color w:val="auto"/>
        </w:rPr>
        <w:t>. (i) Any default shall occur under the terms applicable to any Debt of the Company or any Significant Subsidiary (other than Debt hereunder and intercompany Debt) in an aggregate principal amount (for all such Debt so affected) exceeding $25,000,000 and such default shall (x) consist of the failure to pay such Debt when due (subject to any applicable grace period), whether by acceleration or otherwise, or (y) accelerate the maturity of such Debt or permit the holder or holders thereof, or any trustee or agent for such holder or holders, to cause such Debt to become due and payable prior to its expressed maturity; or (ii) any event shall occur with respect to any Securitization Obligations that results in, or permits the holder or holders of such obligations, or any trustee or agent for such holder or holders, to require, the replacement or resignation of the servicer with respect thereto and the appointment of a new servicer other than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13" w:right="339" w:bottom="1440" w:gutter="0" w:footer="0" w:header="0"/>
        </w:sectPr>
      </w:pPr>
    </w:p>
    <w:bookmarkStart w:id="136" w:name="page137"/>
    <w:bookmarkEnd w:id="136"/>
    <w:p>
      <w:pPr>
        <w:jc w:val="both"/>
        <w:ind w:firstLine="656"/>
        <w:spacing w:after="0" w:line="250" w:lineRule="auto"/>
        <w:tabs>
          <w:tab w:leader="none" w:pos="1061"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Bankruptcy, Insolvency, etc</w:t>
      </w:r>
      <w:r>
        <w:rPr>
          <w:rFonts w:ascii="Times New Roman" w:cs="Times New Roman" w:eastAsia="Times New Roman" w:hAnsi="Times New Roman"/>
          <w:sz w:val="20"/>
          <w:szCs w:val="20"/>
          <w:color w:val="auto"/>
        </w:rPr>
        <w:t>. The Company or any Significant Subsidiary becomes insolvent or generally fails to pay, or admits in writing its general inability or refusal to pay, debts as they become due; or the Company or any Significant Subsidiary applies for, consents to, or acquiesces in the appointment of a trustee, receiver or other custodian for the Company or any Significant Subsidiary or any substantial part of the property thereof, or makes a general assignment for the benefit of creditors; or, in the absence of such application, consent or acquiescence, a trustee, receiver or other custodian is appointed for the Company or such Significant Subsidiary or for any substantial part of the property thereof and is not discharged within 60 days; or any bankruptcy, reorganization, debt arrangement, or other case or proceeding under any Debtor Relief Law, or any dissolution or liquidation proceeding (except the voluntary dissolution, not under any Debtor Relief Law, of a Significant Subsidiary), is commenced in respect of the Company or any Significant Subsidiary, and if such case or proceeding is not commenced by the Company or any Significant Subsidiary, an order for relief is entered therein, or such case or proceeding is consented to or acquiesced in by the Company or such Significant Subsidiary or remains for 60 days undismissed.</w:t>
      </w:r>
    </w:p>
    <w:p>
      <w:pPr>
        <w:spacing w:after="0" w:line="196" w:lineRule="exact"/>
        <w:rPr>
          <w:rFonts w:ascii="Times New Roman" w:cs="Times New Roman" w:eastAsia="Times New Roman" w:hAnsi="Times New Roman"/>
          <w:sz w:val="20"/>
          <w:szCs w:val="20"/>
          <w:color w:val="auto"/>
        </w:rPr>
      </w:pPr>
    </w:p>
    <w:p>
      <w:pPr>
        <w:jc w:val="both"/>
        <w:ind w:firstLine="656"/>
        <w:spacing w:after="0" w:line="251" w:lineRule="auto"/>
        <w:tabs>
          <w:tab w:leader="none" w:pos="105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Non-Compliance with Provisions of this Agreement</w:t>
      </w:r>
      <w:r>
        <w:rPr>
          <w:rFonts w:ascii="Times New Roman" w:cs="Times New Roman" w:eastAsia="Times New Roman" w:hAnsi="Times New Roman"/>
          <w:sz w:val="20"/>
          <w:szCs w:val="20"/>
          <w:color w:val="auto"/>
        </w:rPr>
        <w:t xml:space="preserve">. (i) Failure by the Company to comply with or to perform any covenant set forth in </w:t>
      </w:r>
      <w:r>
        <w:rPr>
          <w:rFonts w:ascii="Times New Roman" w:cs="Times New Roman" w:eastAsia="Times New Roman" w:hAnsi="Times New Roman"/>
          <w:sz w:val="20"/>
          <w:szCs w:val="20"/>
          <w:u w:val="single" w:color="auto"/>
          <w:color w:val="auto"/>
        </w:rPr>
        <w:t>Sections 7.01(e)(i)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(with respect to the Borrowers), </w:t>
      </w:r>
      <w:r>
        <w:rPr>
          <w:rFonts w:ascii="Times New Roman" w:cs="Times New Roman" w:eastAsia="Times New Roman" w:hAnsi="Times New Roman"/>
          <w:sz w:val="20"/>
          <w:szCs w:val="20"/>
          <w:u w:val="single" w:color="auto"/>
          <w:color w:val="auto"/>
        </w:rPr>
        <w:t>7.06</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7.09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7.21</w:t>
      </w:r>
      <w:r>
        <w:rPr>
          <w:rFonts w:ascii="Times New Roman" w:cs="Times New Roman" w:eastAsia="Times New Roman" w:hAnsi="Times New Roman"/>
          <w:sz w:val="20"/>
          <w:szCs w:val="20"/>
          <w:color w:val="auto"/>
        </w:rPr>
        <w:t xml:space="preserve">; (ii) failure by the Company to comply with or to perform any covenant set forth in </w:t>
      </w:r>
      <w:r>
        <w:rPr>
          <w:rFonts w:ascii="Times New Roman" w:cs="Times New Roman" w:eastAsia="Times New Roman" w:hAnsi="Times New Roman"/>
          <w:sz w:val="20"/>
          <w:szCs w:val="20"/>
          <w:u w:val="single" w:color="auto"/>
          <w:color w:val="auto"/>
        </w:rPr>
        <w:t>Sections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7.01(e)</w:t>
      </w:r>
      <w:r>
        <w:rPr>
          <w:rFonts w:ascii="Times New Roman" w:cs="Times New Roman" w:eastAsia="Times New Roman" w:hAnsi="Times New Roman"/>
          <w:sz w:val="20"/>
          <w:szCs w:val="20"/>
          <w:color w:val="auto"/>
        </w:rPr>
        <w:t xml:space="preserve"> (to the extent not covered by clause (i) above),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(to the extent not covered by clause (i) above), </w:t>
      </w:r>
      <w:r>
        <w:rPr>
          <w:rFonts w:ascii="Times New Roman" w:cs="Times New Roman" w:eastAsia="Times New Roman" w:hAnsi="Times New Roman"/>
          <w:sz w:val="20"/>
          <w:szCs w:val="20"/>
          <w:u w:val="single" w:color="auto"/>
          <w:color w:val="auto"/>
        </w:rPr>
        <w:t>7.10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7.11</w:t>
      </w:r>
      <w:r>
        <w:rPr>
          <w:rFonts w:ascii="Times New Roman" w:cs="Times New Roman" w:eastAsia="Times New Roman" w:hAnsi="Times New Roman"/>
          <w:sz w:val="20"/>
          <w:szCs w:val="20"/>
          <w:color w:val="auto"/>
        </w:rPr>
        <w:t xml:space="preserve"> and continuance of such failure for ten days after an Executive Officer obtains actual knowledge; or (iii) failure by the Company to comply with or to perform any other provision of this Agreement (and not constituting an Event of Default under any of the other provisions of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and continuance of such failure for 30 days after written notice thereof to the Company from the Administrative Agent or any Lender (acting through the Administrative Agent).</w:t>
      </w:r>
    </w:p>
    <w:p>
      <w:pPr>
        <w:spacing w:after="0" w:line="195" w:lineRule="exact"/>
        <w:rPr>
          <w:rFonts w:ascii="Times New Roman" w:cs="Times New Roman" w:eastAsia="Times New Roman" w:hAnsi="Times New Roman"/>
          <w:sz w:val="20"/>
          <w:szCs w:val="20"/>
          <w:color w:val="auto"/>
        </w:rPr>
      </w:pPr>
    </w:p>
    <w:p>
      <w:pPr>
        <w:jc w:val="both"/>
        <w:ind w:firstLine="656"/>
        <w:spacing w:after="0" w:line="254" w:lineRule="auto"/>
        <w:tabs>
          <w:tab w:leader="none" w:pos="107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or warranty made by a Loan Party under any Loan Document is breached or is false or misleading in any material respect when made or deemed made, or any schedule, certificate, financial statement, report, notice or other writing furnished by a Loan Party to the Administrative Agent or any Lender pursuant hereto is false or misleading in any material respect on the date as of which the facts therein set forth are stated or certified.</w:t>
      </w:r>
    </w:p>
    <w:p>
      <w:pPr>
        <w:spacing w:after="0" w:line="187" w:lineRule="exact"/>
        <w:rPr>
          <w:rFonts w:ascii="Times New Roman" w:cs="Times New Roman" w:eastAsia="Times New Roman" w:hAnsi="Times New Roman"/>
          <w:sz w:val="20"/>
          <w:szCs w:val="20"/>
          <w:color w:val="auto"/>
        </w:rPr>
      </w:pPr>
    </w:p>
    <w:p>
      <w:pPr>
        <w:jc w:val="both"/>
        <w:ind w:firstLine="656"/>
        <w:spacing w:after="0" w:line="252" w:lineRule="auto"/>
        <w:tabs>
          <w:tab w:leader="none" w:pos="1039"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Pension Plans and Plan Assets</w:t>
      </w:r>
      <w:r>
        <w:rPr>
          <w:rFonts w:ascii="Times New Roman" w:cs="Times New Roman" w:eastAsia="Times New Roman" w:hAnsi="Times New Roman"/>
          <w:sz w:val="20"/>
          <w:szCs w:val="20"/>
          <w:color w:val="auto"/>
        </w:rPr>
        <w:t>. (i) Institution of any steps by the Company or any Subsidiary or any other Person to terminate a Pension Plan if as a result of such termination the Company or any Subsidiary could reasonably be expected to be required to make a contribution to such Pension Plan, or could reasonably be expected to incur a liability or obligation to such Pension Plan, in excess of $25,000,000; (ii) a contribution failure occurs with respect to any Pension Plan sufficient to give rise to a Lien securing a material amount under section 303(k) of ERISA; (iii) there shall occur any withdrawal or partial withdrawal from a Multiemployer Pension Plan and the withdrawal liability (without unaccrued interest) to Multiemployer Pension Plans as a result of such withdrawal (including any outstanding withdrawal liability that the Company and the Controlled Group have incurred on the date of such withdrawal) exceeds $25,000,000; or (iv) any Loan Party becomes an entity deemed to hold Plan Assets, and in each case, under this clause (f), such event or circumstance results in a Material Adverse Effect.</w:t>
      </w:r>
    </w:p>
    <w:p>
      <w:pPr>
        <w:spacing w:after="0" w:line="175" w:lineRule="exact"/>
        <w:rPr>
          <w:rFonts w:ascii="Times New Roman" w:cs="Times New Roman" w:eastAsia="Times New Roman" w:hAnsi="Times New Roman"/>
          <w:sz w:val="20"/>
          <w:szCs w:val="20"/>
          <w:color w:val="auto"/>
        </w:rPr>
      </w:pPr>
    </w:p>
    <w:p>
      <w:pPr>
        <w:jc w:val="both"/>
        <w:ind w:firstLine="656"/>
        <w:spacing w:after="0" w:line="258" w:lineRule="auto"/>
        <w:tabs>
          <w:tab w:leader="none" w:pos="112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(i) Final judgments which exceed an aggregate of $25,000,000 (net of insurance proceeds in the event a solvent insurer has acknowledged in writing its obligation to satisfy such judgment) shall be rendered against the Company or any Subsidiary or (ii) any one or more non-monetary final judgments shall be rendered against the Company or any Subsidiary that have, or could reasonably be expected to have, individually or in the aggregate, a Material Adverse Effect,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13" w:right="339" w:bottom="1440" w:gutter="0" w:footer="0" w:header="0"/>
        </w:sectPr>
      </w:pPr>
    </w:p>
    <w:bookmarkStart w:id="137" w:name="page138"/>
    <w:bookmarkEnd w:id="137"/>
    <w:p>
      <w:pPr>
        <w:spacing w:after="0" w:line="283" w:lineRule="auto"/>
        <w:rPr>
          <w:sz w:val="20"/>
          <w:szCs w:val="20"/>
          <w:color w:val="auto"/>
        </w:rPr>
      </w:pPr>
      <w:r>
        <w:rPr>
          <w:rFonts w:ascii="Times New Roman" w:cs="Times New Roman" w:eastAsia="Times New Roman" w:hAnsi="Times New Roman"/>
          <w:sz w:val="20"/>
          <w:szCs w:val="20"/>
          <w:color w:val="auto"/>
        </w:rPr>
        <w:t>shall not have been paid, discharged or vacated or had execution thereof stayed pending appeal within 60 days after entry or filing of such judgments.</w:t>
      </w:r>
    </w:p>
    <w:p>
      <w:pPr>
        <w:spacing w:after="0" w:line="146" w:lineRule="exact"/>
        <w:rPr>
          <w:sz w:val="20"/>
          <w:szCs w:val="20"/>
          <w:color w:val="auto"/>
        </w:rPr>
      </w:pPr>
    </w:p>
    <w:p>
      <w:pPr>
        <w:jc w:val="both"/>
        <w:ind w:firstLine="656"/>
        <w:spacing w:after="0" w:line="253" w:lineRule="auto"/>
        <w:tabs>
          <w:tab w:leader="none" w:pos="108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Loan Document, at any time after its execution and delivery and for any reason other than as expressly permitted hereunder or thereunder, in accordance with its terms or satisfaction in full of all the Obligations (other than any contingent obligation that is not due and payable), ceases to be in full force and effect with respect to any Loan Party party thereto (other than in accordance with its terms); or any Loan Party (or any other Person acting on behalf thereof) contests in any manner the validity or enforceability of any Loan Document to which it is a party; or any Loan Party denies that it has any or further liability or obligation under, or purports to revoke, terminate or rescind, any Loan Document other than in accordance with its terms.</w:t>
      </w:r>
    </w:p>
    <w:p>
      <w:pPr>
        <w:spacing w:after="0" w:line="192" w:lineRule="exact"/>
        <w:rPr>
          <w:rFonts w:ascii="Times New Roman" w:cs="Times New Roman" w:eastAsia="Times New Roman" w:hAnsi="Times New Roman"/>
          <w:sz w:val="20"/>
          <w:szCs w:val="20"/>
          <w:color w:val="auto"/>
        </w:rPr>
      </w:pPr>
    </w:p>
    <w:p>
      <w:pPr>
        <w:jc w:val="both"/>
        <w:ind w:firstLine="656"/>
        <w:spacing w:after="0" w:line="239" w:lineRule="exact"/>
        <w:tabs>
          <w:tab w:leader="none" w:pos="104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 Any Person or group of Persons (within the meaning of Section 13 or 14 of the Securities Exchange Act of 1934) (excluding (w) any employee benefit plan of the Company or any of its Subsidiaries, (x) any person or entity acting in its capacity as trustee, agent or other fiduciary or administrator of any such plan and (y) Elizabeth Brady, William Brady and their descendants or any trusts established for them or their descendants, and the W. H. Brady Foundation, Inc.) shall acquire beneficial ownership (within the meaning of Rule 13d-3 promulgated under such Act) of one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third (1/3) or more of the outstanding shares of common stock of the Company entitled to vote for members of the board of directors or equivalent governing body of the Company on a fully diluted basis; (ii) during any 12-month period, individuals who at the beginning of such period constituted the Company’s board of directors (together with any new directors whose election by the Company’s board of directors or whose nomination for election by the Company’s shareholders was approved by a vote of at least two-thirds of the directors who either were directors at beginning of such period or whose election or nomination was previously so approved) cease for any reason to constitute a majority of the board of directors of the Company; or (iii) the Company fails to own (directly or indirectly) 100% of the outstanding Capital Stock of any Designated Borrower.</w:t>
      </w:r>
    </w:p>
    <w:p>
      <w:pPr>
        <w:spacing w:after="0" w:line="19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9.02</w:t>
      </w:r>
      <w:r>
        <w:rPr>
          <w:sz w:val="20"/>
          <w:szCs w:val="20"/>
          <w:color w:val="auto"/>
        </w:rPr>
        <w:tab/>
      </w:r>
      <w:r>
        <w:rPr>
          <w:rFonts w:ascii="Times New Roman" w:cs="Times New Roman" w:eastAsia="Times New Roman" w:hAnsi="Times New Roman"/>
          <w:sz w:val="19"/>
          <w:szCs w:val="19"/>
          <w:u w:val="single" w:color="auto"/>
          <w:color w:val="auto"/>
        </w:rPr>
        <w:t>Remedies Upon Event of Default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Event of Default occurs and is continuing, the Administrative Agent shall, at the request of, or may, with the consent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Lenders, take any or all of the following actions:</w:t>
      </w:r>
    </w:p>
    <w:p>
      <w:pPr>
        <w:spacing w:after="0" w:line="207" w:lineRule="exact"/>
        <w:rPr>
          <w:sz w:val="20"/>
          <w:szCs w:val="20"/>
          <w:color w:val="auto"/>
        </w:rPr>
      </w:pPr>
    </w:p>
    <w:p>
      <w:pPr>
        <w:ind w:firstLine="656"/>
        <w:spacing w:after="0" w:line="283" w:lineRule="auto"/>
        <w:tabs>
          <w:tab w:leader="none" w:pos="107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061"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Borrowers Cash Collateralize the L/C Obligations (in an amount equal to the Minimum Collateral Amount with respect thereto); and</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05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equity;</w:t>
      </w:r>
    </w:p>
    <w:p>
      <w:pPr>
        <w:spacing w:after="0" w:line="14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any Borrower under the Bankruptcy Code of the United States, the obligation of each Lender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13" w:right="339" w:bottom="1440" w:gutter="0" w:footer="0" w:header="0"/>
        </w:sectPr>
      </w:pPr>
    </w:p>
    <w:bookmarkStart w:id="138" w:name="page139"/>
    <w:bookmarkEnd w:id="138"/>
    <w:p>
      <w:pPr>
        <w:jc w:val="both"/>
        <w:spacing w:after="0" w:line="258" w:lineRule="auto"/>
        <w:rPr>
          <w:sz w:val="20"/>
          <w:szCs w:val="20"/>
          <w:color w:val="auto"/>
        </w:rPr>
      </w:pPr>
      <w:r>
        <w:rPr>
          <w:rFonts w:ascii="Times New Roman" w:cs="Times New Roman" w:eastAsia="Times New Roman" w:hAnsi="Times New Roman"/>
          <w:sz w:val="20"/>
          <w:szCs w:val="20"/>
          <w:color w:val="auto"/>
        </w:rPr>
        <w:t>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9.03</w:t>
      </w:r>
      <w:r>
        <w:rPr>
          <w:sz w:val="20"/>
          <w:szCs w:val="20"/>
          <w:color w:val="auto"/>
        </w:rPr>
        <w:tab/>
      </w:r>
      <w:r>
        <w:rPr>
          <w:rFonts w:ascii="Times New Roman" w:cs="Times New Roman" w:eastAsia="Times New Roman" w:hAnsi="Times New Roman"/>
          <w:sz w:val="19"/>
          <w:szCs w:val="19"/>
          <w:u w:val="single" w:color="auto"/>
          <w:color w:val="auto"/>
        </w:rPr>
        <w:t>Application of Funds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any amounts received on account of the Obligations shall, subject to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be applied by the Administrative Agent in the following order:</w:t>
      </w:r>
    </w:p>
    <w:p>
      <w:pPr>
        <w:spacing w:after="0" w:line="172"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the reasonable and documented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6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payable to the Lenders and the L/C Issuer (including the reasonable and documented fees, charges and disbursements of counsel due and owing pursuant to the terms of this Agreement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payment of that portion of the Obligations constituting accrued and unpaid Letter of Credit Fees and interest on the Loans and L/C Borrowings and fees, premiums and scheduled periodic payments, and any interest accrued thereon, due under any Hedging Agreement between any Loan Party and any Lender, or any Affiliate of a Lender, ratably among the Lenders (and, in the case of such Hedging Agreements, Affiliates of Lenders) and the L/C Issuer in proportion to the respective amounts described in this clause Third held by them;</w:t>
      </w:r>
    </w:p>
    <w:p>
      <w:pPr>
        <w:spacing w:after="0" w:line="17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(a) payment of that portion of the Obligations constituting unpaid principal of the Loans and L/C Borrowings, (b) payment of breakage, termination or other payments, and any interest accrued thereon, due under any Hedging Agreement between any Loan Party and any Lender, or any Affiliate of a Lender, (c) payments of amounts due under any Treasury Management Agreement between any Loan Party and any Lender, or any Affiliate of a Lender and (d) Cash Collateralize that portion of L/C Obligations comprised of the aggregate undrawn amount of Letters of Credit, ratably among the Lenders (and, in the case of such Hedging Agreements, Affiliates of Lenders) and the L/C Issuer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 and</w:t>
      </w:r>
    </w:p>
    <w:p>
      <w:pPr>
        <w:spacing w:after="0" w:line="193"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(other than contingent obligations not yet due and payable) have been paid in full, to the Borrowers or as otherwise required by Law.</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83" w:lineRule="auto"/>
        <w:rPr>
          <w:sz w:val="20"/>
          <w:szCs w:val="20"/>
          <w:color w:val="auto"/>
        </w:rPr>
      </w:pPr>
      <w:r>
        <w:rPr>
          <w:rFonts w:ascii="Times New Roman" w:cs="Times New Roman" w:eastAsia="Times New Roman" w:hAnsi="Times New Roman"/>
          <w:sz w:val="20"/>
          <w:szCs w:val="20"/>
          <w:color w:val="auto"/>
        </w:rPr>
        <w:t>of Credit have either been fully drawn or expired, such remaining amount shall be applied to the other Obligations, if any, in the order set forth above.</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foregoing, Obligations arising under any Hedging Agreement or Treasury Management Agreement between any Loan Party and any Hedge Bank or Treasury Management Bank, as applicable, shall be excluded from the application described above if the Administrative Agent has not received a written notice regarding such obligations, together with such supporting documentation as the Administrative Agent may reasonably request, from the applicable Lender or Affiliate of a Lender, as the case may be. Each Affiliate of a Lender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for itself and its Affiliates as if a “Lender” party hereto.</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10.01</w:t>
      </w:r>
      <w:r>
        <w:rPr>
          <w:sz w:val="20"/>
          <w:szCs w:val="20"/>
          <w:color w:val="auto"/>
        </w:rPr>
        <w:tab/>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Each of the Lenders and the L/C Issuer hereby irrevocably appoints BMO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with respect to </w:t>
      </w:r>
      <w:r>
        <w:rPr>
          <w:rFonts w:ascii="Times New Roman" w:cs="Times New Roman" w:eastAsia="Times New Roman" w:hAnsi="Times New Roman"/>
          <w:sz w:val="20"/>
          <w:szCs w:val="20"/>
          <w:u w:val="single" w:color="auto"/>
          <w:color w:val="auto"/>
        </w:rPr>
        <w:t>Sections 10.03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10.06</w:t>
      </w:r>
      <w:r>
        <w:rPr>
          <w:rFonts w:ascii="Times New Roman" w:cs="Times New Roman" w:eastAsia="Times New Roman" w:hAnsi="Times New Roman"/>
          <w:sz w:val="20"/>
          <w:szCs w:val="20"/>
          <w:color w:val="auto"/>
        </w:rPr>
        <w:t>,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10.02</w:t>
      </w:r>
      <w:r>
        <w:rPr>
          <w:sz w:val="20"/>
          <w:szCs w:val="20"/>
          <w:color w:val="auto"/>
        </w:rPr>
        <w:tab/>
      </w:r>
      <w:r>
        <w:rPr>
          <w:rFonts w:ascii="Times New Roman" w:cs="Times New Roman" w:eastAsia="Times New Roman" w:hAnsi="Times New Roman"/>
          <w:sz w:val="19"/>
          <w:szCs w:val="19"/>
          <w:u w:val="single" w:color="auto"/>
          <w:color w:val="auto"/>
        </w:rPr>
        <w:t>Rights as a Lender</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13" w:right="339" w:bottom="1440" w:gutter="0" w:footer="0" w:header="0"/>
        </w:sectPr>
      </w:pPr>
    </w:p>
    <w:bookmarkStart w:id="140" w:name="page141"/>
    <w:bookmarkEnd w:id="140"/>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10.03</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68" w:lineRule="exact"/>
        <w:rPr>
          <w:sz w:val="20"/>
          <w:szCs w:val="20"/>
          <w:color w:val="auto"/>
        </w:rPr>
      </w:pPr>
    </w:p>
    <w:p>
      <w:pPr>
        <w:ind w:left="1060" w:hanging="404"/>
        <w:spacing w:after="0"/>
        <w:tabs>
          <w:tab w:leader="none" w:pos="106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9"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8"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in writing to the Administrative Agent by the Company, a Lender or the L/C Issuer.</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Administrative Agent shall be entitled to rely conclusively on a representation of the assignee Lender or Participant in any document delivered in connection with the Credit Agreement, including, without limitation, the relevant Assignment and Assumption or participation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13" w:right="339" w:bottom="1440" w:gutter="0" w:footer="0" w:header="0"/>
        </w:sectPr>
      </w:pPr>
    </w:p>
    <w:bookmarkStart w:id="141" w:name="page142"/>
    <w:bookmarkEnd w:id="141"/>
    <w:p>
      <w:pPr>
        <w:jc w:val="both"/>
        <w:spacing w:after="0" w:line="253" w:lineRule="auto"/>
        <w:rPr>
          <w:sz w:val="20"/>
          <w:szCs w:val="20"/>
          <w:color w:val="auto"/>
        </w:rPr>
      </w:pPr>
      <w:r>
        <w:rPr>
          <w:rFonts w:ascii="Times New Roman" w:cs="Times New Roman" w:eastAsia="Times New Roman" w:hAnsi="Times New Roman"/>
          <w:sz w:val="20"/>
          <w:szCs w:val="20"/>
          <w:color w:val="auto"/>
        </w:rPr>
        <w:t>that such assignee or purchaser is not a Disqualified Institution.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10.04</w:t>
      </w:r>
      <w:r>
        <w:rPr>
          <w:sz w:val="20"/>
          <w:szCs w:val="20"/>
          <w:color w:val="auto"/>
        </w:rPr>
        <w:tab/>
      </w:r>
      <w:r>
        <w:rPr>
          <w:rFonts w:ascii="Times New Roman" w:cs="Times New Roman" w:eastAsia="Times New Roman" w:hAnsi="Times New Roman"/>
          <w:sz w:val="19"/>
          <w:szCs w:val="19"/>
          <w:u w:val="single" w:color="auto"/>
          <w:color w:val="auto"/>
        </w:rPr>
        <w:t>Reliance by Administrative Agent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in good faith by it to be genuine and to have been signed, sent or otherwise authenticated by the proper Person. The Administrative Agent also may rely upon any statement made to it orally or by telephone and believed in good faith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2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10.05</w:t>
      </w:r>
      <w:r>
        <w:rPr>
          <w:sz w:val="20"/>
          <w:szCs w:val="20"/>
          <w:color w:val="auto"/>
        </w:rPr>
        <w:tab/>
      </w:r>
      <w:r>
        <w:rPr>
          <w:rFonts w:ascii="Times New Roman" w:cs="Times New Roman" w:eastAsia="Times New Roman" w:hAnsi="Times New Roman"/>
          <w:sz w:val="19"/>
          <w:szCs w:val="19"/>
          <w:u w:val="single" w:color="auto"/>
          <w:color w:val="auto"/>
        </w:rPr>
        <w:t>Delegation of Duties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0" w:lineRule="exact"/>
        <w:rPr>
          <w:sz w:val="20"/>
          <w:szCs w:val="20"/>
          <w:color w:val="auto"/>
        </w:rPr>
      </w:pPr>
      <w:r>
        <w:rPr>
          <w:rFonts w:ascii="Times New Roman" w:cs="Times New Roman" w:eastAsia="Times New Roman" w:hAnsi="Times New Roman"/>
          <w:sz w:val="20"/>
          <w:szCs w:val="20"/>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agents except to the extent that a court of competent jurisdiction determines in a final and nonappealable judgment that the Administrative Agent acted with gross negligence or willful misconduct in the selection of such sub-agents.</w:t>
      </w:r>
    </w:p>
    <w:p>
      <w:pPr>
        <w:spacing w:after="0" w:line="20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10.06</w:t>
      </w:r>
      <w:r>
        <w:rPr>
          <w:sz w:val="20"/>
          <w:szCs w:val="20"/>
          <w:color w:val="auto"/>
        </w:rPr>
        <w:tab/>
      </w:r>
      <w:r>
        <w:rPr>
          <w:rFonts w:ascii="Times New Roman" w:cs="Times New Roman" w:eastAsia="Times New Roman" w:hAnsi="Times New Roman"/>
          <w:sz w:val="19"/>
          <w:szCs w:val="19"/>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3" w:lineRule="auto"/>
        <w:tabs>
          <w:tab w:leader="none" w:pos="106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the L/C Issuer and the Company. Upon receipt of any such notice of resignation, the Required Lenders shall have the right, with the consent of the Company so long as no Event of Default exists (such consent of the Company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13" w:right="339" w:bottom="1440" w:gutter="0" w:footer="0" w:header="0"/>
        </w:sectPr>
      </w:pPr>
    </w:p>
    <w:bookmarkStart w:id="142" w:name="page143"/>
    <w:bookmarkEnd w:id="142"/>
    <w:p>
      <w:pPr>
        <w:jc w:val="both"/>
        <w:spacing w:after="0" w:line="253" w:lineRule="auto"/>
        <w:rPr>
          <w:sz w:val="20"/>
          <w:szCs w:val="20"/>
          <w:color w:val="auto"/>
        </w:rPr>
      </w:pPr>
      <w:r>
        <w:rPr>
          <w:rFonts w:ascii="Times New Roman" w:cs="Times New Roman" w:eastAsia="Times New Roman" w:hAnsi="Times New Roman"/>
          <w:sz w:val="20"/>
          <w:szCs w:val="20"/>
          <w:color w:val="auto"/>
        </w:rPr>
        <w:t>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then the retiring Administrative Agent may (but shall not be obligated to) on behalf of the Lenders and the L/C Issuer, with the consent of the Company so long as no Event of Default exists (such consent of the Company not to be unreasonably withheld or delayed), appoint a successor Administrative Agent meeting the qualifications set forth above. Whether or not a successor has been appointed, such resignation shall become effective in accordance with such notice on the Resignation Effective Date.</w:t>
      </w:r>
    </w:p>
    <w:p>
      <w:pPr>
        <w:spacing w:after="0" w:line="192" w:lineRule="exact"/>
        <w:rPr>
          <w:sz w:val="20"/>
          <w:szCs w:val="20"/>
          <w:color w:val="auto"/>
        </w:rPr>
      </w:pPr>
    </w:p>
    <w:p>
      <w:pPr>
        <w:jc w:val="both"/>
        <w:ind w:firstLine="656"/>
        <w:spacing w:after="0" w:line="251" w:lineRule="auto"/>
        <w:tabs>
          <w:tab w:leader="none" w:pos="116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Person serving as Administrative Agent is a Defaulting Lender pursuant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thereof, the Required Lenders may, to the extent permitted by applicable Law and with the consent of the Company so long as no Event of Default exists (such consent of the Company not to be unreasonably withheld or delayed), by notice in writing to the Company and such Person remove such Person as Administrative Agent and, with the consent of the Company so long as no Event of Default exists (such consent of the Company not to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1" w:lineRule="exact"/>
        <w:rPr>
          <w:rFonts w:ascii="Times New Roman" w:cs="Times New Roman" w:eastAsia="Times New Roman" w:hAnsi="Times New Roman"/>
          <w:sz w:val="20"/>
          <w:szCs w:val="20"/>
          <w:color w:val="auto"/>
        </w:rPr>
      </w:pPr>
    </w:p>
    <w:p>
      <w:pPr>
        <w:jc w:val="both"/>
        <w:ind w:firstLine="656"/>
        <w:spacing w:after="0" w:line="249" w:lineRule="auto"/>
        <w:tabs>
          <w:tab w:leader="none" w:pos="115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200" w:lineRule="exact"/>
        <w:rPr>
          <w:rFonts w:ascii="Times New Roman" w:cs="Times New Roman" w:eastAsia="Times New Roman" w:hAnsi="Times New Roman"/>
          <w:sz w:val="20"/>
          <w:szCs w:val="20"/>
          <w:color w:val="auto"/>
        </w:rPr>
      </w:pPr>
    </w:p>
    <w:p>
      <w:pPr>
        <w:jc w:val="both"/>
        <w:ind w:firstLine="656"/>
        <w:spacing w:after="0" w:line="258" w:lineRule="auto"/>
        <w:tabs>
          <w:tab w:leader="none" w:pos="107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resignation by BMO as Administrative Agent pursuant to this Section shall also, on the Resignation Effective Date, effect its resignation as L/C Issuer and Swing Line Lender. If BMO so resigns as an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13" w:right="339" w:bottom="1440" w:gutter="0" w:footer="0" w:header="0"/>
        </w:sectPr>
      </w:pPr>
    </w:p>
    <w:bookmarkStart w:id="143" w:name="page144"/>
    <w:bookmarkEnd w:id="143"/>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Lenders to make Base Rate Loans or fund risk participations in the related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BMO so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such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by the Company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as applicable,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9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10.07</w:t>
      </w:r>
      <w:r>
        <w:rPr>
          <w:sz w:val="20"/>
          <w:szCs w:val="20"/>
          <w:color w:val="auto"/>
        </w:rPr>
        <w:tab/>
      </w:r>
      <w:r>
        <w:rPr>
          <w:rFonts w:ascii="Times New Roman" w:cs="Times New Roman" w:eastAsia="Times New Roman" w:hAnsi="Times New Roman"/>
          <w:sz w:val="19"/>
          <w:szCs w:val="19"/>
          <w:u w:val="single" w:color="auto"/>
          <w:color w:val="auto"/>
        </w:rPr>
        <w:t>Non-Reliance on Administrative Agent and Other Lenders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10.08</w:t>
      </w:r>
      <w:r>
        <w:rPr>
          <w:sz w:val="20"/>
          <w:szCs w:val="20"/>
          <w:color w:val="auto"/>
        </w:rPr>
        <w:tab/>
      </w:r>
      <w:r>
        <w:rPr>
          <w:rFonts w:ascii="Times New Roman" w:cs="Times New Roman" w:eastAsia="Times New Roman" w:hAnsi="Times New Roman"/>
          <w:sz w:val="19"/>
          <w:szCs w:val="19"/>
          <w:u w:val="single" w:color="auto"/>
          <w:color w:val="auto"/>
        </w:rPr>
        <w:t>No Other Duties; Etc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10.09</w:t>
      </w:r>
      <w:r>
        <w:rPr>
          <w:sz w:val="20"/>
          <w:szCs w:val="20"/>
          <w:color w:val="auto"/>
        </w:rPr>
        <w:tab/>
      </w:r>
      <w:r>
        <w:rPr>
          <w:rFonts w:ascii="Times New Roman" w:cs="Times New Roman" w:eastAsia="Times New Roman" w:hAnsi="Times New Roman"/>
          <w:sz w:val="19"/>
          <w:szCs w:val="19"/>
          <w:u w:val="single" w:color="auto"/>
          <w:color w:val="auto"/>
        </w:rPr>
        <w:t>Administrative Agent May File Proofs of Claim</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72" w:lineRule="exact"/>
        <w:rPr>
          <w:sz w:val="20"/>
          <w:szCs w:val="20"/>
          <w:color w:val="auto"/>
        </w:rPr>
      </w:pPr>
    </w:p>
    <w:p>
      <w:pPr>
        <w:jc w:val="both"/>
        <w:ind w:firstLine="656"/>
        <w:spacing w:after="0" w:line="253" w:lineRule="auto"/>
        <w:tabs>
          <w:tab w:leader="none" w:pos="1129"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2.03(i)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allowed in such judicial proceeding;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13" w:right="339" w:bottom="1440" w:gutter="0" w:footer="0" w:header="0"/>
        </w:sectPr>
      </w:pPr>
    </w:p>
    <w:bookmarkStart w:id="144" w:name="page145"/>
    <w:bookmarkEnd w:id="144"/>
    <w:p>
      <w:pPr>
        <w:jc w:val="center"/>
        <w:ind w:right="-19"/>
        <w:spacing w:after="0"/>
        <w:tabs>
          <w:tab w:leader="none" w:pos="16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to collect and receive any monies or other property payable or deliverable on any such claims and to distribute the same;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u w:val="single" w:color="auto"/>
          <w:color w:val="auto"/>
        </w:rPr>
        <w:t>Guaranty Matters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The Lenders and the L/C Issuer irrevocably authorize the Administrative Agent, at its option and in its discretion, to release any Guarantor from its obligations under the Guaranty if such Person ceases to be a Subsidiary as a result of a transaction permitted hereunder. Upon request by the Administrative Agent at any time, the Required Lenders will confirm in writing the Administrative Agent’s authority to release any Guarantor from its obligations under the Guaranty, pursuant to this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u w:val="single" w:color="auto"/>
          <w:color w:val="auto"/>
        </w:rPr>
        <w:t>Treasury Management Agreements and Hedging Agreements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No Treasury Management Bank or Hedge Bank that obtains the benefit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or the Guaranty by virtue of the provisions hereof shall have any right to notice of any action or to consent to, direct or object to any action hereunder or under any other Loan Document or otherwise in respect of the provisions hereof or of the Guaranty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Obligations arising under Treasury Management Agreements and Hedging Agreements with Treasury Management Banks or Hedge Banks, as applicable, except to the extent expressly provided herein and unless the Administrative Agent has received a written notice of such Obligations, together with such supporting documentation as the Administrative Agent may reasonably request, from the applicable Treasury Management Bank or Hedge Bank, as the case may be. The Administrative Agent shall not be required to verify the payment of, or that other satisfactory arrangements have been made with respect to, Obligations arising under Treasury Management Agreements and Hedging Agreements in the case of the Maturity Date.</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XI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11.01</w:t>
      </w:r>
      <w:r>
        <w:rPr>
          <w:sz w:val="20"/>
          <w:szCs w:val="20"/>
          <w:color w:val="auto"/>
        </w:rPr>
        <w:tab/>
      </w:r>
      <w:r>
        <w:rPr>
          <w:rFonts w:ascii="Times New Roman" w:cs="Times New Roman" w:eastAsia="Times New Roman" w:hAnsi="Times New Roman"/>
          <w:sz w:val="19"/>
          <w:szCs w:val="19"/>
          <w:u w:val="single" w:color="auto"/>
          <w:color w:val="auto"/>
        </w:rPr>
        <w:t>Amendments, Etc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 amendment or waiver of any provision of this Agreement or any other Loan Document, and no consent to any departure by the Borrowers or any other Loan Party therefrom, shall be effective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13" w:right="339" w:bottom="1440" w:gutter="0" w:footer="0" w:header="0"/>
        </w:sectPr>
      </w:pPr>
    </w:p>
    <w:bookmarkStart w:id="145" w:name="page146"/>
    <w:bookmarkEnd w:id="145"/>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in writing signed by the Required Lenders (or by the Administrative Agent at the written request or direction of the Required Lenders) and the Loan Parties party thereto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w:t>
      </w:r>
    </w:p>
    <w:p>
      <w:pPr>
        <w:spacing w:after="0" w:line="181" w:lineRule="exact"/>
        <w:rPr>
          <w:sz w:val="20"/>
          <w:szCs w:val="20"/>
          <w:color w:val="auto"/>
        </w:rPr>
      </w:pPr>
    </w:p>
    <w:p>
      <w:pPr>
        <w:ind w:left="1060" w:hanging="404"/>
        <w:spacing w:after="0"/>
        <w:tabs>
          <w:tab w:leader="none" w:pos="10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amendment, waiver or consent shall:</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15"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without the written consent of such Lender (it being understood and agreed that a waiver of any condition precedent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or of any Default or a mandatory reduction in Commitments is not considered an extension or increase in Commitments of any Lender);</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37"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of principal (excluding mandatory prepayments), interest, fees or other amounts due to the Lenders (or any of them) or any scheduled reduction of the Aggregate Revolving Commitments hereunder or under any other Loan Document without the written consent of each Lender entitled to receive such payment or whose Commitment is being so reduced;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98"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clause (i) of the final proviso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any fees or other amounts payable hereunder or under any other Loan Document without the written consent of each Lender entitled to receive such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shall be necessary (A) to amend the definition of “Default Rate” or to waive any obligation of the Borrowers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79" w:lineRule="exact"/>
        <w:rPr>
          <w:rFonts w:ascii="Times New Roman" w:cs="Times New Roman" w:eastAsia="Times New Roman" w:hAnsi="Times New Roman"/>
          <w:sz w:val="20"/>
          <w:szCs w:val="20"/>
          <w:color w:val="auto"/>
        </w:rPr>
      </w:pPr>
    </w:p>
    <w:p>
      <w:pPr>
        <w:ind w:left="660" w:firstLine="644"/>
        <w:spacing w:after="0" w:line="283" w:lineRule="auto"/>
        <w:tabs>
          <w:tab w:leader="none" w:pos="1787"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directly affected thereby;</w:t>
      </w:r>
    </w:p>
    <w:p>
      <w:pPr>
        <w:spacing w:after="0" w:line="14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or the definition of “Alternative Currency” without the written consent of each Lender;</w:t>
      </w:r>
    </w:p>
    <w:p>
      <w:pPr>
        <w:spacing w:after="0" w:line="229" w:lineRule="exact"/>
        <w:rPr>
          <w:rFonts w:ascii="Times New Roman" w:cs="Times New Roman" w:eastAsia="Times New Roman" w:hAnsi="Times New Roman"/>
          <w:sz w:val="20"/>
          <w:szCs w:val="20"/>
          <w:color w:val="auto"/>
        </w:rPr>
      </w:pPr>
    </w:p>
    <w:p>
      <w:pPr>
        <w:ind w:left="660" w:firstLine="644"/>
        <w:spacing w:after="0" w:line="283" w:lineRule="auto"/>
        <w:tabs>
          <w:tab w:leader="none" w:pos="1882"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any provision of this Section or the definition of “Required Lenders” without the written consent of each Lender directly affected thereby; or</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the Company or, except in connection with a transaction or series of transactions not prohibited by this Agreement, any other Borrower or all or substantially all of the Guarantors, from its or their obligations under the Loan Documents without the written consent of each Lender directly affected thereby except to the extent the release of any Guarantor is permitted pursuant to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08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a L/C Issuer, no amendment, waiver or consent shall affect the rights or duties of such L/C Issuer under this Agreement or any Issuer Document relating to any Letter of Credit issued or to be issued by it;</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10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Swing Line Lender, no amendment, waiver or consent shall affect the rights or duties of the Swing Line Lender under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13" w:right="339" w:bottom="1440" w:gutter="0" w:footer="0" w:header="0"/>
        </w:sectPr>
      </w:pPr>
    </w:p>
    <w:bookmarkStart w:id="146" w:name="page147"/>
    <w:bookmarkEnd w:id="146"/>
    <w:p>
      <w:pPr>
        <w:ind w:firstLine="656"/>
        <w:spacing w:after="0" w:line="283" w:lineRule="auto"/>
        <w:tabs>
          <w:tab w:leader="none" w:pos="118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Administrative Agent, no amendment, waiver or consent shall affect the rights or duties of the Administrative Agent under this Agreement or any other Loan Document;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notwithstanding anything to the contrary herein, (i) the Fee Letter may be amended, or rights or privileges thereunder waived, in a writing executed only by the parties thereto; (ii) each Lender is entitled to vote as such Lender sees fit on any bankruptcy reorganization plan that affects the Loans, and each Lender acknowledges that the provisions of Section 1126(c) of the Bankruptcy Code of the United States </w:t>
      </w:r>
      <w:r>
        <w:rPr>
          <w:rFonts w:ascii="Times New Roman" w:cs="Times New Roman" w:eastAsia="Times New Roman" w:hAnsi="Times New Roman"/>
          <w:sz w:val="20"/>
          <w:szCs w:val="20"/>
          <w:color w:val="FF0000"/>
          <w:strike w:val="1"/>
        </w:rPr>
        <w:t>supersedes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supersede</w:t>
      </w:r>
      <w:r>
        <w:rPr>
          <w:rFonts w:ascii="Times New Roman" w:cs="Times New Roman" w:eastAsia="Times New Roman" w:hAnsi="Times New Roman"/>
          <w:sz w:val="20"/>
          <w:szCs w:val="20"/>
          <w:color w:val="auto"/>
        </w:rPr>
        <w:t xml:space="preserve"> the unanimous consent provisions set forth herein; (iii) the Required Lenders shall determine whether or not to allow a Loan Party to use cash collateral in the context of a bankruptcy or insolvency proceeding and such determination shall be binding on all of the Lenders; and (iv) the Administrative Agent and the Company may make amendments contemplated by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the Defaulting Lenders), except that (x) the Commitment of such Defaulting Lender may not be increased or extended without the consent of such Lender and (y) any waiver, amendment or modification requiring the consent of all Lenders or each affected Lender that by its terms affects such Defaulting Lender disproportionately adversely relative to other affected Lenders (other than any disproportionate impact because of the relative size of such Lender’s Commitments) shall require the consent of such Defaulting Lender.</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 provision of this Agreement or any other Loan Document to the contrary, (A) this Agreement or any other Loan Document may be amended by an agreement in writing entered into by the Company and the Administrative Agent to cure any ambiguity, omission, defect or inconsistency, or to comply with local law or advice of local counsel,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(B) as to any amendment, amendment and restatement or other modification otherwise approved in accordance with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in order to implement any additional Commitments in accordance with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this Agreement may be amended for such purpose (but solely to the extent necessary to implement such additional Commitments in accordance with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by the Company, the other Loan Parties, the Administrative Agent and the relevant Lenders providing such additional Commitments.</w:t>
      </w:r>
    </w:p>
    <w:p>
      <w:pPr>
        <w:spacing w:after="0" w:line="17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19"/>
          <w:szCs w:val="19"/>
          <w:u w:val="single" w:color="auto"/>
          <w:color w:val="auto"/>
        </w:rPr>
        <w:t>Notices; Effectiveness; Electronic Communications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1" w:lineRule="auto"/>
        <w:tabs>
          <w:tab w:leader="none" w:pos="108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13" w:right="339" w:bottom="1440" w:gutter="0" w:footer="0" w:header="0"/>
        </w:sectPr>
      </w:pPr>
    </w:p>
    <w:bookmarkStart w:id="147" w:name="page148"/>
    <w:bookmarkEnd w:id="147"/>
    <w:p>
      <w:pPr>
        <w:ind w:right="20"/>
        <w:spacing w:after="0" w:line="283" w:lineRule="auto"/>
        <w:rPr>
          <w:sz w:val="20"/>
          <w:szCs w:val="20"/>
          <w:color w:val="auto"/>
        </w:rPr>
      </w:pPr>
      <w:r>
        <w:rPr>
          <w:rFonts w:ascii="Times New Roman" w:cs="Times New Roman" w:eastAsia="Times New Roman" w:hAnsi="Times New Roman"/>
          <w:sz w:val="20"/>
          <w:szCs w:val="20"/>
          <w:color w:val="auto"/>
        </w:rPr>
        <w:t>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46" w:lineRule="exact"/>
        <w:rPr>
          <w:sz w:val="20"/>
          <w:szCs w:val="20"/>
          <w:color w:val="auto"/>
        </w:rPr>
      </w:pPr>
    </w:p>
    <w:p>
      <w:pPr>
        <w:ind w:left="660" w:firstLine="644"/>
        <w:spacing w:after="0" w:line="283" w:lineRule="auto"/>
        <w:tabs>
          <w:tab w:leader="none" w:pos="168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 Loan Party, the Administrative Agent, the L/C Issuer or the Swing Line Lender,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and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8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92" w:lineRule="exact"/>
        <w:rPr>
          <w:sz w:val="20"/>
          <w:szCs w:val="20"/>
          <w:color w:val="auto"/>
        </w:rPr>
      </w:pPr>
    </w:p>
    <w:p>
      <w:pPr>
        <w:jc w:val="both"/>
        <w:ind w:firstLine="656"/>
        <w:spacing w:after="0" w:line="251" w:lineRule="auto"/>
        <w:tabs>
          <w:tab w:leader="none" w:pos="108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L/C Issuer hereunder may be delivered or furnished by electronic communication (including e 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(on behalf of itself and the other Loan Parties)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w:t>
      </w:r>
    </w:p>
    <w:p>
      <w:pPr>
        <w:spacing w:after="0" w:line="2" w:lineRule="exact"/>
        <w:rPr>
          <w:sz w:val="20"/>
          <w:szCs w:val="20"/>
          <w:color w:val="auto"/>
        </w:rPr>
      </w:pPr>
    </w:p>
    <w:p>
      <w:pPr>
        <w:jc w:val="both"/>
        <w:ind w:firstLine="8"/>
        <w:spacing w:after="0" w:line="253" w:lineRule="auto"/>
        <w:tabs>
          <w:tab w:leader="none" w:pos="23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notification that such notice or communication is available and identifying the website address therefor (except as otherwise provided in the penultimate paragraph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5" w:lineRule="exact"/>
        <w:rPr>
          <w:rFonts w:ascii="Times New Roman" w:cs="Times New Roman" w:eastAsia="Times New Roman" w:hAnsi="Times New Roman"/>
          <w:sz w:val="20"/>
          <w:szCs w:val="20"/>
          <w:color w:val="auto"/>
        </w:rPr>
      </w:pPr>
    </w:p>
    <w:p>
      <w:pPr>
        <w:jc w:val="both"/>
        <w:ind w:firstLine="656"/>
        <w:spacing w:after="0" w:line="258" w:lineRule="auto"/>
        <w:tabs>
          <w:tab w:leader="none" w:pos="1088"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13" w:right="339" w:bottom="1440" w:gutter="0" w:footer="0" w:header="0"/>
        </w:sectPr>
      </w:pPr>
    </w:p>
    <w:bookmarkStart w:id="148" w:name="page149"/>
    <w:bookmarkEnd w:id="148"/>
    <w:p>
      <w:pPr>
        <w:jc w:val="both"/>
        <w:spacing w:after="0" w:line="250" w:lineRule="auto"/>
        <w:rPr>
          <w:sz w:val="20"/>
          <w:szCs w:val="20"/>
          <w:color w:val="auto"/>
        </w:rPr>
      </w:pPr>
      <w:r>
        <w:rPr>
          <w:rFonts w:ascii="Times New Roman" w:cs="Times New Roman" w:eastAsia="Times New Roman" w:hAnsi="Times New Roman"/>
          <w:sz w:val="20"/>
          <w:szCs w:val="20"/>
          <w:color w:val="auto"/>
        </w:rPr>
        <w:t>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(each such Person an “</w:t>
      </w:r>
      <w:r>
        <w:rPr>
          <w:rFonts w:ascii="Times New Roman" w:cs="Times New Roman" w:eastAsia="Times New Roman" w:hAnsi="Times New Roman"/>
          <w:sz w:val="20"/>
          <w:szCs w:val="20"/>
          <w:u w:val="single" w:color="auto"/>
          <w:color w:val="auto"/>
        </w:rPr>
        <w:t>Agent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to have resulted from the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as to the foregoing in this paragraph (c) shall any Agent Party have any liability to any Borrower, any Lender, the L/C Issuer or any other Person for indirect, special, incidental, consequential or punitive damages (as opposed to direct or actual damages).</w:t>
      </w:r>
    </w:p>
    <w:p>
      <w:pPr>
        <w:spacing w:after="0" w:line="200" w:lineRule="exact"/>
        <w:rPr>
          <w:sz w:val="20"/>
          <w:szCs w:val="20"/>
          <w:color w:val="auto"/>
        </w:rPr>
      </w:pPr>
    </w:p>
    <w:p>
      <w:pPr>
        <w:jc w:val="both"/>
        <w:ind w:firstLine="656"/>
        <w:spacing w:after="0" w:line="249" w:lineRule="auto"/>
        <w:tabs>
          <w:tab w:leader="none" w:pos="1112"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Loan Parties,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201" w:lineRule="exact"/>
        <w:rPr>
          <w:rFonts w:ascii="Times New Roman" w:cs="Times New Roman" w:eastAsia="Times New Roman" w:hAnsi="Times New Roman"/>
          <w:sz w:val="20"/>
          <w:szCs w:val="20"/>
          <w:color w:val="auto"/>
        </w:rPr>
      </w:pPr>
    </w:p>
    <w:p>
      <w:pPr>
        <w:jc w:val="both"/>
        <w:ind w:firstLine="656"/>
        <w:spacing w:after="0" w:line="250" w:lineRule="auto"/>
        <w:tabs>
          <w:tab w:leader="none" w:pos="107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 and Lenders</w:t>
      </w:r>
      <w:r>
        <w:rPr>
          <w:rFonts w:ascii="Times New Roman" w:cs="Times New Roman" w:eastAsia="Times New Roman" w:hAnsi="Times New Roman"/>
          <w:sz w:val="20"/>
          <w:szCs w:val="20"/>
          <w:color w:val="auto"/>
        </w:rPr>
        <w:t>. The Administrative Agent, the L/C Issuer and the Lenders shall be entitled to rely and act upon any notices (including telephonic or electronic Loan Notices, Letter of Credit Applications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other than such losses, costs, expenses and liabilities resulting from such Person’s bad faith, gross negligence or willful misconduct. All telephonic notices to and other telephonic communications with the Administrative Agent may be recorded by the Administrative Agent, and each of the parties hereto hereby consents to such recording.</w:t>
      </w:r>
    </w:p>
    <w:p>
      <w:pPr>
        <w:spacing w:after="0" w:line="19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11.03</w:t>
      </w:r>
      <w:r>
        <w:rPr>
          <w:sz w:val="20"/>
          <w:szCs w:val="20"/>
          <w:color w:val="auto"/>
        </w:rPr>
        <w:tab/>
      </w:r>
      <w:r>
        <w:rPr>
          <w:rFonts w:ascii="Times New Roman" w:cs="Times New Roman" w:eastAsia="Times New Roman" w:hAnsi="Times New Roman"/>
          <w:sz w:val="19"/>
          <w:szCs w:val="19"/>
          <w:u w:val="single" w:color="auto"/>
          <w:color w:val="auto"/>
        </w:rPr>
        <w:t>No Waiver; Cumulative Remedies; Enforcement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 exercising, any right, remedy, power or privilege hereunder or under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58" w:lineRule="auto"/>
        <w:rPr>
          <w:sz w:val="20"/>
          <w:szCs w:val="20"/>
          <w:color w:val="auto"/>
        </w:rPr>
      </w:pPr>
      <w:r>
        <w:rPr>
          <w:rFonts w:ascii="Times New Roman" w:cs="Times New Roman" w:eastAsia="Times New Roman" w:hAnsi="Times New Roman"/>
          <w:sz w:val="20"/>
          <w:szCs w:val="20"/>
          <w:color w:val="auto"/>
        </w:rPr>
        <w:t>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for the benefit of all the Lenders and the L/C Issuer;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and (ii) in addition to the matters set forth in clauses (b), (c) and (d)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11.04</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0" w:lineRule="auto"/>
        <w:tabs>
          <w:tab w:leader="none" w:pos="1142"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Loan Parties shall pay (i) all reasonable and documented out-of-pocket expenses incurred by the Administrative Agent and its Affiliates (but limited, in the case of legal fees and expenses, to the reasonable and documented fees, charges and disbursements of one outside counsel for the Administrative Agent and its Affiliates taken as a whole and, if necessary, one local counsel to the Administrative Agent and its Affiliates in any relevant jurisdiction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(but limited, in the case of legal fees and expenses, to the reasonable and documented fees, charges and disbursements of one counsel to the Administrative Agent, the Lenders and the L/C Issuer taken as a whole and, if reasonably necessary, a single local counsel for the Administrative Agent, the Lenders and the L/C Issuer taken as a whole in each relevant jurisdiction, and solely in the case of a conflict of interest, one additional counsel in each relevant jurisdiction to the affected Lender and/or L/C Issuer similarly situated taken as a whole) in connection with the enforcement or protection of their respective rights (A) in connection with this Agreement and the other Loan Documents, including their respective rights under this Section, or (B) in connection with the Loans made or Letters of Credit issued hereunder, including all such out-of-pocket expenses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13" w:right="339" w:bottom="1440" w:gutter="0" w:footer="0" w:header="0"/>
        </w:sectPr>
      </w:pPr>
    </w:p>
    <w:bookmarkStart w:id="150" w:name="page151"/>
    <w:bookmarkEnd w:id="150"/>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during any workout, restructuring or negotiations in respect of such Loans or Letters of Credit. Without limiting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11.04(a)</w:t>
      </w:r>
      <w:r>
        <w:rPr>
          <w:rFonts w:ascii="Times New Roman" w:cs="Times New Roman" w:eastAsia="Times New Roman" w:hAnsi="Times New Roman"/>
          <w:sz w:val="20"/>
          <w:szCs w:val="20"/>
          <w:color w:val="auto"/>
        </w:rPr>
        <w:t xml:space="preserve"> shall not apply with respect to Taxes.</w:t>
      </w:r>
    </w:p>
    <w:p>
      <w:pPr>
        <w:spacing w:after="0" w:line="146" w:lineRule="exact"/>
        <w:rPr>
          <w:sz w:val="20"/>
          <w:szCs w:val="20"/>
          <w:color w:val="auto"/>
        </w:rPr>
      </w:pPr>
    </w:p>
    <w:p>
      <w:pPr>
        <w:jc w:val="both"/>
        <w:ind w:firstLine="656"/>
        <w:spacing w:after="0" w:line="248" w:lineRule="auto"/>
        <w:tabs>
          <w:tab w:leader="none" w:pos="1099"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(but limited, in the case of legal fees and expenses, to the reasonable and documented out-of-pocket fees, disbursements and other charges of one counsel to the Indemnitees taken as a whole and, if reasonably necessary, a single local counsel for the Indemnitees taken as a whole in each relevant jurisdiction, and solely in the case of a conflict of interest, one additional counsel in each relevant jurisdiction to the affected Indemnitees similarly situated taken as a whole),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Substances on or from any property owned or operated by a Loan Party or any of its Subsidiaries, or any Environmental Claims related in any way to a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(or a settlement that expressly addresses indemnification) to have resulted from the gross negligence or willful misconduct of such Indemnitee, (y) result from a claim brought by any Borrower or any other Loan Party against an Indemnitee for a breach in bad faith of such Indemnitee’s obligations hereunder or under any other Loan Document, if such Borrower or such Loan Party has obtained a final and nonappealable judgment (or a settlement that expressly addresses indemnification) in its favor on such claim as determined by a court of competent jurisdiction or (z) arise solely from claims of any Indemnitee against one or more other Indemnities that do not involve or have not resulted from (A) an act or omission of an Indemnitee in its capacity as Administrative Agent, Lender, L/C Issuer, arranger or bookrunner or (B) an act or omission (or an alleged act or omission) by any Loan Party or any Subsidiary. Without limiting the 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217"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 by Lenders</w:t>
      </w:r>
      <w:r>
        <w:rPr>
          <w:rFonts w:ascii="Times New Roman" w:cs="Times New Roman" w:eastAsia="Times New Roman" w:hAnsi="Times New Roman"/>
          <w:sz w:val="19"/>
          <w:szCs w:val="19"/>
          <w:color w:val="auto"/>
        </w:rPr>
        <w:t>. To the extent that the Loan Parties for any reason fail to pay any amount required under subsection</w:t>
      </w:r>
    </w:p>
    <w:p>
      <w:pPr>
        <w:spacing w:after="0" w:line="33"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(b) of this Section to be paid by them to the Administrative Agent (or any sub-agent thereof), the L/C Issuer, the Swing Line Lender or</w:t>
      </w:r>
    </w:p>
    <w:p>
      <w:pPr>
        <w:spacing w:after="0" w:line="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Revolving Outstandings of all Lenders at such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13" w:right="339" w:bottom="1440" w:gutter="0" w:footer="0" w:header="0"/>
        </w:sectPr>
      </w:pPr>
    </w:p>
    <w:bookmarkStart w:id="151" w:name="page152"/>
    <w:bookmarkEnd w:id="151"/>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subsection (c)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56"/>
        <w:spacing w:after="0" w:line="250" w:lineRule="auto"/>
        <w:tabs>
          <w:tab w:leader="none" w:pos="1072"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To the fullest extent permitted by applicable Law, no Loan Party shall assert, and each Loan Party hereby waives, and acknowledges that, to the actual knowledge of any Executive Officer of the Loan Parties,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(or from any such Person’s material breach in bad faith of any such Person’s obligations under any Loan Documents) as determined by a final and nonappealable judgment of a court of competent jurisdiction (or a settlement that expressly addresses indemnification).</w:t>
      </w:r>
    </w:p>
    <w:p>
      <w:pPr>
        <w:spacing w:after="0" w:line="199" w:lineRule="exact"/>
        <w:rPr>
          <w:rFonts w:ascii="Times New Roman" w:cs="Times New Roman" w:eastAsia="Times New Roman" w:hAnsi="Times New Roman"/>
          <w:sz w:val="20"/>
          <w:szCs w:val="20"/>
          <w:color w:val="auto"/>
        </w:rPr>
      </w:pPr>
    </w:p>
    <w:p>
      <w:pPr>
        <w:ind w:firstLine="656"/>
        <w:spacing w:after="0" w:line="269" w:lineRule="auto"/>
        <w:tabs>
          <w:tab w:leader="none" w:pos="108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Business Days after written demand therefor setting forth in reasonable detail the basis therefor.</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Section and the indemnity provisions of </w:t>
      </w:r>
      <w:r>
        <w:rPr>
          <w:rFonts w:ascii="Times New Roman" w:cs="Times New Roman" w:eastAsia="Times New Roman" w:hAnsi="Times New Roman"/>
          <w:sz w:val="20"/>
          <w:szCs w:val="20"/>
          <w:u w:val="single" w:color="auto"/>
          <w:color w:val="auto"/>
        </w:rPr>
        <w:t>Section 11.02(e)</w:t>
      </w:r>
      <w:r>
        <w:rPr>
          <w:rFonts w:ascii="Times New Roman" w:cs="Times New Roman" w:eastAsia="Times New Roman" w:hAnsi="Times New Roman"/>
          <w:sz w:val="20"/>
          <w:szCs w:val="20"/>
          <w:color w:val="auto"/>
        </w:rPr>
        <w:t xml:space="preserve"> shall survive the resignation of the Administrative Agent, the L/C Issuer and the Swing Line Lender, the replacement of any Lender, the termination of the Commitments and the repayment, satisfaction or discharge of all the other Obligations.</w:t>
      </w:r>
    </w:p>
    <w:p>
      <w:pPr>
        <w:spacing w:after="0" w:line="1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11.05</w:t>
      </w:r>
      <w:r>
        <w:rPr>
          <w:sz w:val="20"/>
          <w:szCs w:val="20"/>
          <w:color w:val="auto"/>
        </w:rPr>
        <w:tab/>
      </w:r>
      <w:r>
        <w:rPr>
          <w:rFonts w:ascii="Times New Roman" w:cs="Times New Roman" w:eastAsia="Times New Roman" w:hAnsi="Times New Roman"/>
          <w:sz w:val="19"/>
          <w:szCs w:val="19"/>
          <w:u w:val="single" w:color="auto"/>
          <w:color w:val="auto"/>
        </w:rPr>
        <w:t>Payments Set Aside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13" w:right="339" w:bottom="1440" w:gutter="0" w:footer="0" w:header="0"/>
        </w:sectPr>
      </w:pPr>
    </w:p>
    <w:bookmarkStart w:id="152" w:name="page153"/>
    <w:bookmarkEnd w:id="152"/>
    <w:p>
      <w:pPr>
        <w:spacing w:after="0" w:line="283" w:lineRule="auto"/>
        <w:rPr>
          <w:sz w:val="20"/>
          <w:szCs w:val="20"/>
          <w:color w:val="auto"/>
        </w:rPr>
      </w:pPr>
      <w:r>
        <w:rPr>
          <w:rFonts w:ascii="Times New Roman" w:cs="Times New Roman" w:eastAsia="Times New Roman" w:hAnsi="Times New Roman"/>
          <w:sz w:val="20"/>
          <w:szCs w:val="20"/>
          <w:color w:val="auto"/>
        </w:rPr>
        <w:t>and the L/C Issuer under clause (b) of the preceding sentence shall survive the payment in full of the Obligations and the termination of this Agreement.</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11.06</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0" w:lineRule="auto"/>
        <w:tabs>
          <w:tab w:leader="none" w:pos="1088"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Agreement and the other Loan Documents shall be binding upon and inure to the benefit of the parties hereto and thereto and their respective successors and assigns permitted hereby, except that neither the Company nor any Designated Borrower may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86" w:lineRule="exact"/>
        <w:rPr>
          <w:rFonts w:ascii="Times New Roman" w:cs="Times New Roman" w:eastAsia="Times New Roman" w:hAnsi="Times New Roman"/>
          <w:sz w:val="20"/>
          <w:szCs w:val="20"/>
          <w:color w:val="auto"/>
        </w:rPr>
      </w:pPr>
    </w:p>
    <w:p>
      <w:pPr>
        <w:jc w:val="both"/>
        <w:ind w:firstLine="656"/>
        <w:spacing w:after="0" w:line="258" w:lineRule="auto"/>
        <w:tabs>
          <w:tab w:leader="none" w:pos="118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8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300" w:right="20" w:firstLine="652"/>
        <w:spacing w:after="0" w:line="258" w:lineRule="auto"/>
        <w:tabs>
          <w:tab w:leader="none" w:pos="2457" w:val="left"/>
        </w:tabs>
        <w:numPr>
          <w:ilvl w:val="2"/>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 the related Loans at the time owing to it or contemporaneous assignments to related Approved Funds that equal at least the amount specified in subsection (b)(i)(B) of this Section in the aggregate or in the case of an assignment to a Lender, an Affiliate of a Lender or an Approved Fund, no minimum amount need be assigned; and</w:t>
      </w:r>
    </w:p>
    <w:p>
      <w:pPr>
        <w:spacing w:after="0" w:line="185" w:lineRule="exact"/>
        <w:rPr>
          <w:rFonts w:ascii="Times New Roman" w:cs="Times New Roman" w:eastAsia="Times New Roman" w:hAnsi="Times New Roman"/>
          <w:sz w:val="20"/>
          <w:szCs w:val="20"/>
          <w:color w:val="auto"/>
        </w:rPr>
      </w:pPr>
    </w:p>
    <w:p>
      <w:pPr>
        <w:jc w:val="both"/>
        <w:ind w:left="1300" w:firstLine="652"/>
        <w:spacing w:after="0" w:line="251" w:lineRule="auto"/>
        <w:tabs>
          <w:tab w:leader="none" w:pos="2473" w:val="left"/>
        </w:tabs>
        <w:numPr>
          <w:ilvl w:val="2"/>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92" w:lineRule="exact"/>
        <w:rPr>
          <w:rFonts w:ascii="Times New Roman" w:cs="Times New Roman" w:eastAsia="Times New Roman" w:hAnsi="Times New Roman"/>
          <w:sz w:val="20"/>
          <w:szCs w:val="20"/>
          <w:color w:val="auto"/>
        </w:rPr>
      </w:pPr>
    </w:p>
    <w:p>
      <w:pPr>
        <w:ind w:left="660" w:firstLine="644"/>
        <w:spacing w:after="0" w:line="269" w:lineRule="auto"/>
        <w:tabs>
          <w:tab w:leader="none" w:pos="1837"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Loans and Commitments, and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13" w:right="339" w:bottom="1440" w:gutter="0" w:footer="0" w:header="0"/>
        </w:sectPr>
      </w:pPr>
    </w:p>
    <w:bookmarkStart w:id="153" w:name="page154"/>
    <w:bookmarkEnd w:id="153"/>
    <w:p>
      <w:pPr>
        <w:ind w:left="4"/>
        <w:spacing w:after="0" w:line="283" w:lineRule="auto"/>
        <w:rPr>
          <w:sz w:val="20"/>
          <w:szCs w:val="20"/>
          <w:color w:val="auto"/>
        </w:rPr>
      </w:pPr>
      <w:r>
        <w:rPr>
          <w:rFonts w:ascii="Times New Roman" w:cs="Times New Roman" w:eastAsia="Times New Roman" w:hAnsi="Times New Roman"/>
          <w:sz w:val="20"/>
          <w:szCs w:val="20"/>
          <w:color w:val="auto"/>
        </w:rPr>
        <w:t>obligations with respect thereto, assigned, except that this clause (ii) shall not apply to the Swing Line Lender’s rights and obligations in respect of Swing Line Loans;</w:t>
      </w:r>
    </w:p>
    <w:p>
      <w:pPr>
        <w:spacing w:after="0" w:line="146" w:lineRule="exact"/>
        <w:rPr>
          <w:sz w:val="20"/>
          <w:szCs w:val="20"/>
          <w:color w:val="auto"/>
        </w:rPr>
      </w:pPr>
    </w:p>
    <w:p>
      <w:pPr>
        <w:ind w:left="1144" w:hanging="496"/>
        <w:spacing w:after="0"/>
        <w:tabs>
          <w:tab w:leader="none" w:pos="114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subsection (b)(i)</w:t>
      </w:r>
    </w:p>
    <w:p>
      <w:pPr>
        <w:spacing w:after="0" w:line="28"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and, in addition:</w:t>
      </w:r>
    </w:p>
    <w:p>
      <w:pPr>
        <w:spacing w:after="0" w:line="200" w:lineRule="exact"/>
        <w:rPr>
          <w:rFonts w:ascii="Times New Roman" w:cs="Times New Roman" w:eastAsia="Times New Roman" w:hAnsi="Times New Roman"/>
          <w:sz w:val="20"/>
          <w:szCs w:val="20"/>
          <w:color w:val="auto"/>
        </w:rPr>
      </w:pPr>
    </w:p>
    <w:p>
      <w:pPr>
        <w:jc w:val="both"/>
        <w:ind w:left="644" w:firstLine="652"/>
        <w:spacing w:after="0" w:line="252" w:lineRule="auto"/>
        <w:tabs>
          <w:tab w:leader="none" w:pos="1801"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Company (such consent not to be unreasonably withheld or delayed (it being understood, without limiting other factors that may be reasonable, it shall be reasonable for the Company to consider the proposed assignee’s right to require reimbursement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be required unless (1) in the case of an assignment to a Person that is (x) not a Disqualified Institution, an Event of Default has occurred and is continuing at the time of such assignment or (y) a Disqualified Institution, an Event of Default under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9.01(c)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 xml:space="preserve"> (solely as a result of the failure to comply with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has occurred and is continuing at the time of such assignment, or (2) such assignment is to a Lender, an Affiliate of a Lender or an Approved Fund; provided, however, that with respect to any assignment that does not require the Company’s consent hereunder, the assignor shall nevertheless provide written notice to the Company thereof prior to, or promptly after, such assignment (it being understood that failure by such assignor to provide such notice shall not limit the effectiveness of such assignment);</w:t>
      </w:r>
    </w:p>
    <w:p>
      <w:pPr>
        <w:spacing w:after="0" w:line="177" w:lineRule="exact"/>
        <w:rPr>
          <w:rFonts w:ascii="Times New Roman" w:cs="Times New Roman" w:eastAsia="Times New Roman" w:hAnsi="Times New Roman"/>
          <w:sz w:val="20"/>
          <w:szCs w:val="20"/>
          <w:color w:val="auto"/>
        </w:rPr>
      </w:pPr>
    </w:p>
    <w:p>
      <w:pPr>
        <w:jc w:val="both"/>
        <w:ind w:left="644" w:firstLine="652"/>
        <w:spacing w:after="0" w:line="258" w:lineRule="auto"/>
        <w:tabs>
          <w:tab w:leader="none" w:pos="1803"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Revolving Commitment if such assignment is to a Person that is not a Lender with a Commitment in respect of the Commitment subject to such assignment, an Affiliate of such Lender or an Approved Fund with respect to such Lender; and</w:t>
      </w:r>
    </w:p>
    <w:p>
      <w:pPr>
        <w:spacing w:after="0" w:line="185" w:lineRule="exact"/>
        <w:rPr>
          <w:rFonts w:ascii="Times New Roman" w:cs="Times New Roman" w:eastAsia="Times New Roman" w:hAnsi="Times New Roman"/>
          <w:sz w:val="20"/>
          <w:szCs w:val="20"/>
          <w:color w:val="auto"/>
        </w:rPr>
      </w:pPr>
    </w:p>
    <w:p>
      <w:pPr>
        <w:jc w:val="both"/>
        <w:ind w:left="644" w:firstLine="652"/>
        <w:spacing w:after="0" w:line="261" w:lineRule="auto"/>
        <w:tabs>
          <w:tab w:leader="none" w:pos="1776"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67" w:lineRule="exact"/>
        <w:rPr>
          <w:rFonts w:ascii="Times New Roman" w:cs="Times New Roman" w:eastAsia="Times New Roman" w:hAnsi="Times New Roman"/>
          <w:sz w:val="20"/>
          <w:szCs w:val="20"/>
          <w:color w:val="auto"/>
        </w:rPr>
      </w:pPr>
    </w:p>
    <w:p>
      <w:pPr>
        <w:ind w:left="644" w:firstLine="652"/>
        <w:spacing w:after="0" w:line="283" w:lineRule="auto"/>
        <w:tabs>
          <w:tab w:leader="none" w:pos="1841"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Swing Line Lender (such consent not to be unreasonably withheld or delayed) shall be required for any assignment in respect of Revolving Loans and Revolving Commitments.</w:t>
      </w:r>
    </w:p>
    <w:p>
      <w:pPr>
        <w:spacing w:after="0" w:line="159" w:lineRule="exact"/>
        <w:rPr>
          <w:rFonts w:ascii="Times New Roman" w:cs="Times New Roman" w:eastAsia="Times New Roman" w:hAnsi="Times New Roman"/>
          <w:sz w:val="20"/>
          <w:szCs w:val="20"/>
          <w:color w:val="auto"/>
        </w:rPr>
      </w:pPr>
    </w:p>
    <w:p>
      <w:pPr>
        <w:jc w:val="both"/>
        <w:ind w:left="4" w:firstLine="644"/>
        <w:spacing w:after="0" w:line="254" w:lineRule="auto"/>
        <w:tabs>
          <w:tab w:leader="none" w:pos="1145"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shall not be a Lender, shall deliver to the Administrative Agent an Administrative Questionnaire.</w:t>
      </w:r>
    </w:p>
    <w:p>
      <w:pPr>
        <w:spacing w:after="0" w:line="187"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076"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to (A) </w:t>
      </w:r>
      <w:r>
        <w:rPr>
          <w:rFonts w:ascii="Times New Roman" w:cs="Times New Roman" w:eastAsia="Times New Roman" w:hAnsi="Times New Roman"/>
          <w:sz w:val="20"/>
          <w:szCs w:val="20"/>
          <w:color w:val="FF0000"/>
          <w:strike w:val="1"/>
        </w:rPr>
        <w:t>to</w:t>
      </w:r>
      <w:r>
        <w:rPr>
          <w:rFonts w:ascii="Times New Roman" w:cs="Times New Roman" w:eastAsia="Times New Roman" w:hAnsi="Times New Roman"/>
          <w:sz w:val="20"/>
          <w:szCs w:val="20"/>
          <w:color w:val="auto"/>
        </w:rPr>
        <w:t xml:space="preserve"> the Company or any of the Company’s Affiliates or Subsidiaries, (B) any Defaulting Lender or any of its Subsidiaries, or any Person who, upon becoming a Lender hereunder, would constitute any of the foregoing Persons described in this clause (B) or (C) a natural Person.</w:t>
      </w:r>
    </w:p>
    <w:p>
      <w:pPr>
        <w:spacing w:after="0" w:line="181" w:lineRule="exact"/>
        <w:rPr>
          <w:rFonts w:ascii="Times New Roman" w:cs="Times New Roman" w:eastAsia="Times New Roman" w:hAnsi="Times New Roman"/>
          <w:sz w:val="20"/>
          <w:szCs w:val="20"/>
          <w:color w:val="auto"/>
        </w:rPr>
      </w:pPr>
    </w:p>
    <w:p>
      <w:pPr>
        <w:ind w:left="4" w:right="20" w:firstLine="644"/>
        <w:spacing w:after="0" w:line="269" w:lineRule="auto"/>
        <w:tabs>
          <w:tab w:leader="none" w:pos="1172"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584"/>
          </w:cols>
          <w:pgMar w:left="976" w:top="1413" w:right="339" w:bottom="1440" w:gutter="0" w:footer="0" w:header="0"/>
        </w:sectPr>
      </w:pPr>
    </w:p>
    <w:bookmarkStart w:id="154" w:name="page155"/>
    <w:bookmarkEnd w:id="154"/>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jc w:val="both"/>
        <w:ind w:left="660" w:firstLine="644"/>
        <w:spacing w:after="0" w:line="254" w:lineRule="auto"/>
        <w:tabs>
          <w:tab w:leader="none" w:pos="189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Resulting in Additional Indemnified Taxes</w:t>
      </w:r>
      <w:r>
        <w:rPr>
          <w:rFonts w:ascii="Times New Roman" w:cs="Times New Roman" w:eastAsia="Times New Roman" w:hAnsi="Times New Roman"/>
          <w:sz w:val="20"/>
          <w:szCs w:val="20"/>
          <w:color w:val="auto"/>
        </w:rPr>
        <w:t xml:space="preserve">. No such assignment shall be made to any Person that, through its Lending Offices, is not capable of lending the applicable Alternative Currencies to the relevant Borrowers without the imposition of any additional Taxes for which the Loan Parties are required to indemnify the Administrative Agent and the Lenders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 Defaulting Lender will constitute a waiver or release of any claim of any party hereunder arising from that Lender having been a Defaulting Lender. Upon request, the Borrowers (at their expense) shall execute and deliver Notes to the assignee Lender and the assigning Lender shall use commercially reasonable efforts to return its Note(s) to the Company marked “paid in full” (or similar term).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3" w:lineRule="exact"/>
        <w:rPr>
          <w:sz w:val="20"/>
          <w:szCs w:val="20"/>
          <w:color w:val="auto"/>
        </w:rPr>
      </w:pPr>
    </w:p>
    <w:p>
      <w:pPr>
        <w:jc w:val="both"/>
        <w:ind w:firstLine="656"/>
        <w:spacing w:after="0" w:line="251" w:lineRule="auto"/>
        <w:tabs>
          <w:tab w:leader="none" w:pos="1075"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13" w:right="339" w:bottom="1440" w:gutter="0" w:footer="0" w:header="0"/>
        </w:sectPr>
      </w:pPr>
    </w:p>
    <w:bookmarkStart w:id="155" w:name="page156"/>
    <w:bookmarkEnd w:id="155"/>
    <w:p>
      <w:pPr>
        <w:spacing w:after="0" w:line="283" w:lineRule="auto"/>
        <w:rPr>
          <w:sz w:val="20"/>
          <w:szCs w:val="20"/>
          <w:color w:val="auto"/>
        </w:rPr>
      </w:pPr>
      <w:r>
        <w:rPr>
          <w:rFonts w:ascii="Times New Roman" w:cs="Times New Roman" w:eastAsia="Times New Roman" w:hAnsi="Times New Roman"/>
          <w:sz w:val="20"/>
          <w:szCs w:val="20"/>
          <w:color w:val="auto"/>
        </w:rPr>
        <w:t>notice to the contrary. The Register shall be available for inspection by the Borrowers and any Lender at any reasonable time and from time to time upon reasonable prior notice.</w:t>
      </w:r>
    </w:p>
    <w:p>
      <w:pPr>
        <w:spacing w:after="0" w:line="146" w:lineRule="exact"/>
        <w:rPr>
          <w:sz w:val="20"/>
          <w:szCs w:val="20"/>
          <w:color w:val="auto"/>
        </w:rPr>
      </w:pPr>
    </w:p>
    <w:p>
      <w:pPr>
        <w:jc w:val="both"/>
        <w:ind w:firstLine="656"/>
        <w:spacing w:after="0" w:line="252" w:lineRule="auto"/>
        <w:tabs>
          <w:tab w:leader="none" w:pos="1099"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Borrowers or the Administrative Agent, sell participations to any Person (other than a natural Person, a Defaulting Lender or the Borrowers or any of the Borrowers’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without regard to the existence of any participation.</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20"/>
          <w:szCs w:val="20"/>
          <w:u w:val="single" w:color="auto"/>
          <w:color w:val="auto"/>
        </w:rPr>
        <w:t>Section 11.01(a)</w:t>
      </w:r>
      <w:r>
        <w:rPr>
          <w:rFonts w:ascii="Times New Roman" w:cs="Times New Roman" w:eastAsia="Times New Roman" w:hAnsi="Times New Roman"/>
          <w:sz w:val="20"/>
          <w:szCs w:val="20"/>
          <w:color w:val="auto"/>
        </w:rPr>
        <w:t xml:space="preserve"> that directly affects such Participant (it being understood that (i) any vote to rescind any acceleration made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of amounts owing with respect to the Loans and other Obligations and (ii) any modifications of the provisions relating to amounts, timing or application of prepayments of Loans and other Obligations shall not require the approval of such Participant). Subject to </w:t>
      </w:r>
      <w:r>
        <w:rPr>
          <w:rFonts w:ascii="Times New Roman" w:cs="Times New Roman" w:eastAsia="Times New Roman" w:hAnsi="Times New Roman"/>
          <w:sz w:val="20"/>
          <w:szCs w:val="20"/>
          <w:u w:val="single" w:color="auto"/>
          <w:color w:val="auto"/>
        </w:rPr>
        <w:t>Section 11.06(f)</w:t>
      </w:r>
      <w:r>
        <w:rPr>
          <w:rFonts w:ascii="Times New Roman" w:cs="Times New Roman" w:eastAsia="Times New Roman" w:hAnsi="Times New Roman"/>
          <w:sz w:val="20"/>
          <w:szCs w:val="20"/>
          <w:color w:val="auto"/>
        </w:rPr>
        <w:t xml:space="preserve">, the Borrowers agree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to the same extent (subject to the requirements in those Sections, including timely delivery of forms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as if it were a Lender and had acquired its interest by assignment pursuant to subsection (b) of this Section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to the Lender who sells the participation);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11.14</w:t>
      </w:r>
      <w:r>
        <w:rPr>
          <w:rFonts w:ascii="Times New Roman" w:cs="Times New Roman" w:eastAsia="Times New Roman" w:hAnsi="Times New Roman"/>
          <w:sz w:val="20"/>
          <w:szCs w:val="20"/>
          <w:color w:val="auto"/>
        </w:rPr>
        <w:t xml:space="preserve"> as if it were an assignee under paragraph (b) of this Section. Each Lender that sells a participation agrees, at the Borrowers’ request and expense, to use reasonable efforts to cooperate with the Borrowers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r>
        <w:rPr>
          <w:rFonts w:ascii="Times New Roman" w:cs="Times New Roman" w:eastAsia="Times New Roman" w:hAnsi="Times New Roman"/>
          <w:sz w:val="20"/>
          <w:szCs w:val="20"/>
          <w:u w:val="single" w:color="auto"/>
          <w:color w:val="0000FF"/>
        </w:rPr>
        <w:t>Notwithstanding anything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to the contrary herein, a Participant shall not be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413" w:right="339" w:bottom="1440" w:gutter="0" w:footer="0" w:header="0"/>
        </w:sectPr>
      </w:pPr>
    </w:p>
    <w:bookmarkStart w:id="156" w:name="page157"/>
    <w:bookmarkEnd w:id="156"/>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0000FF"/>
        </w:rPr>
        <w:t>any greater payment under Section 3.01, 3.04 or 3.05 than its participating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181" w:lineRule="exact"/>
        <w:rPr>
          <w:sz w:val="20"/>
          <w:szCs w:val="20"/>
          <w:color w:val="auto"/>
        </w:rPr>
      </w:pPr>
    </w:p>
    <w:p>
      <w:pPr>
        <w:jc w:val="both"/>
        <w:ind w:firstLine="656"/>
        <w:spacing w:after="0" w:line="258" w:lineRule="auto"/>
        <w:tabs>
          <w:tab w:leader="none" w:pos="110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Certain Pledges.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39"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upon Participant Rights</w:t>
      </w:r>
      <w:r>
        <w:rPr>
          <w:rFonts w:ascii="Times New Roman" w:cs="Times New Roman" w:eastAsia="Times New Roman" w:hAnsi="Times New Roman"/>
          <w:sz w:val="20"/>
          <w:szCs w:val="20"/>
          <w:color w:val="auto"/>
        </w:rPr>
        <w:t xml:space="preserve">. A Participant that would be a Foreign Lender if it were a Lender shall not be entitled to the benefits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unless the Company is notified of the participation sold to such Participant and such Participant agrees, for the benefit of the Borrowers,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as though it were a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49" w:lineRule="auto"/>
        <w:tabs>
          <w:tab w:leader="none" w:pos="108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L/C Issuer or Swing Line Lender after Assignment</w:t>
      </w:r>
      <w:r>
        <w:rPr>
          <w:rFonts w:ascii="Times New Roman" w:cs="Times New Roman" w:eastAsia="Times New Roman" w:hAnsi="Times New Roman"/>
          <w:sz w:val="20"/>
          <w:szCs w:val="20"/>
          <w:color w:val="auto"/>
        </w:rPr>
        <w:t xml:space="preserve">. Notwithstanding anything to the contrary contained herein, if at any time BMO or Bank of America assigns all of its Commitment and Loans pursuant to subsection (b) above, (i) BMO or Bank of America may, as applicable, upon thirty days’ notice to the Company and the Lenders, resign as L/C Issuer and/or (ii) BMO may upon thirty days’ notice to the Company, resign as Swing Line Lender. In the event of any such resignation as L/C Issuer or Swing Line Lender, the Company shall be entitled to appoint from among the Lenders a successor L/C Issuer or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failure by the Company to appoint any such successor shall affect the resignation of BMO or Bank of America as L/C Issuer or Swing Line Lender, as the case may be. If BMO or Bank of America resigns as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the related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BMO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such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applicable Letters of Credit, if any, outstanding at the time of such succession or make other arrangements satisfactory to BMO or Bank of America to effectively assume the obligations of BMO or Bank of America with respect to such Letters of Credit.</w:t>
      </w:r>
    </w:p>
    <w:p>
      <w:pPr>
        <w:spacing w:after="0" w:line="196"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Disqualified Institutions</w:t>
      </w:r>
      <w:r>
        <w:rPr>
          <w:rFonts w:ascii="Times New Roman" w:cs="Times New Roman" w:eastAsia="Times New Roman" w:hAnsi="Times New Roman"/>
          <w:sz w:val="20"/>
          <w:szCs w:val="20"/>
          <w:color w:val="auto"/>
        </w:rPr>
        <w:t>. Notwithstanding anything to the contrary in this Agreement, no assignment or participation shall be made to any Person that was a Disqualified Institution as of the date (the “</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xml:space="preserve">”) on which the assigning Lender entered into an Assignment and Assumption or participation agreement, as applicable, with such Person (unless the Company has consented to such assignment to such entity (or unless such consent is not required because an Event of Default has occurred under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9.01(c)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 xml:space="preserve"> (solely as a result of the failure to comply with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in which case such entity will not be considered a Disqualified Institution for the purpose of such assignment). For the avoidance of doubt, with respect to any assignee that becomes a Disqualified Institution after the applicable Trade Date (including as a result of the delivery of a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13"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color w:val="auto"/>
        </w:rPr>
        <w:t>pursuant to the definition of “Disqualified Institution”), (i) such assignee shall not retroactively be disqualified from becoming a Lender and</w:t>
      </w:r>
    </w:p>
    <w:p>
      <w:pPr>
        <w:spacing w:after="0" w:line="28" w:lineRule="exact"/>
        <w:rPr>
          <w:sz w:val="20"/>
          <w:szCs w:val="20"/>
          <w:color w:val="auto"/>
        </w:rPr>
      </w:pPr>
    </w:p>
    <w:p>
      <w:pPr>
        <w:jc w:val="both"/>
        <w:ind w:firstLine="8"/>
        <w:spacing w:after="0" w:line="253" w:lineRule="auto"/>
        <w:tabs>
          <w:tab w:leader="none" w:pos="3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execution by the Company of an Assignment and Assumption with respect to such assignee will not by itself result in such assignee no longer being considered a Disqualified Institution. Any assignment in violation of this </w:t>
      </w:r>
      <w:r>
        <w:rPr>
          <w:rFonts w:ascii="Times New Roman" w:cs="Times New Roman" w:eastAsia="Times New Roman" w:hAnsi="Times New Roman"/>
          <w:sz w:val="20"/>
          <w:szCs w:val="20"/>
          <w:u w:val="single" w:color="auto"/>
          <w:color w:val="auto"/>
        </w:rPr>
        <w:t>Section 11.06(h)</w:t>
      </w:r>
      <w:r>
        <w:rPr>
          <w:rFonts w:ascii="Times New Roman" w:cs="Times New Roman" w:eastAsia="Times New Roman" w:hAnsi="Times New Roman"/>
          <w:sz w:val="20"/>
          <w:szCs w:val="20"/>
          <w:color w:val="auto"/>
        </w:rPr>
        <w:t xml:space="preserve"> shall not be void, but the provisions of the paragraphs below shall apply.</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If any assignment or participation is made to any Disqualified Institution without the Company’s prior written consent (if required), or if any Person becomes a Disqualified Institution after the applicable Trade Date, the Company may, at its sole expense and effort, upon notice to the applicable Disqualified Institution and the Administrative Agent, (A) terminate any Revolving Commitment of such Disqualified Institution and repay all obligations of the Borrowers owing to such Disqualified Institution in connection with such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 such purchase or prepayment shall be made with the proceeds of any Revolving Loans), plus accrued interest, accrued fees and all other amounts (other than principal amounts) payable to it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no such purchase or prepayment shall be made with the proceeds of any Revolving Loans) and/or (B) require such Disqualified Institutions to assign, without recourse (in accordance with and subject to the restrictions contained in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all of their respective interest, rights and obligations under this Agreement to one or more Eligible Assignees at the principal amount thereof, plus accrued interest, accrued fees and all other amounts (other than principal amounts) payable to it hereunder.</w:t>
      </w:r>
    </w:p>
    <w:p>
      <w:pPr>
        <w:spacing w:after="0" w:line="1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Notwithstanding anything to the contrary contained in this Agreement, Disqualified Institutions acquiring their interest in violation of this Agreement (1) will not (x) have the right to receive information, reports or other materials provided to the Lenders by the Borrowers, the Administrative Agent or any other Lender, (y) attend or participate in meetings attended by the Lenders </w:t>
      </w:r>
      <w:r>
        <w:rPr>
          <w:rFonts w:ascii="Times New Roman" w:cs="Times New Roman" w:eastAsia="Times New Roman" w:hAnsi="Times New Roman"/>
          <w:sz w:val="19"/>
          <w:szCs w:val="19"/>
          <w:u w:val="single" w:color="auto"/>
          <w:color w:val="0000FF"/>
        </w:rPr>
        <w:t>(or any of them)</w:t>
      </w:r>
      <w:r>
        <w:rPr>
          <w:rFonts w:ascii="Times New Roman" w:cs="Times New Roman" w:eastAsia="Times New Roman" w:hAnsi="Times New Roman"/>
          <w:sz w:val="19"/>
          <w:szCs w:val="19"/>
          <w:color w:val="auto"/>
        </w:rPr>
        <w:t xml:space="preserve"> and the Administrative Agent, or (z) access the Platform or any other electronic site established for the Lenders or confidential communications from counsel to or financial advisors of the Administrative Agent or the Lenders and (2) (x) for purposes of any consent to any amendment, waiver or modification of, or any action under, and for </w:t>
      </w:r>
      <w:r>
        <w:rPr>
          <w:rFonts w:ascii="Times New Roman" w:cs="Times New Roman" w:eastAsia="Times New Roman" w:hAnsi="Times New Roman"/>
          <w:sz w:val="19"/>
          <w:szCs w:val="19"/>
          <w:u w:val="single" w:color="auto"/>
          <w:color w:val="0000FF"/>
        </w:rPr>
        <w:t>the</w:t>
      </w:r>
      <w:r>
        <w:rPr>
          <w:rFonts w:ascii="Times New Roman" w:cs="Times New Roman" w:eastAsia="Times New Roman" w:hAnsi="Times New Roman"/>
          <w:sz w:val="19"/>
          <w:szCs w:val="19"/>
          <w:color w:val="auto"/>
        </w:rPr>
        <w:t xml:space="preserv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bankruptcy reorganization plan that affects the Loans, each Disqualified Institution hereby agrees (I) not to vote on such plan,</w:t>
      </w:r>
    </w:p>
    <w:p>
      <w:pPr>
        <w:spacing w:after="0" w:line="7" w:lineRule="exact"/>
        <w:rPr>
          <w:sz w:val="20"/>
          <w:szCs w:val="20"/>
          <w:color w:val="auto"/>
        </w:rPr>
      </w:pPr>
    </w:p>
    <w:p>
      <w:pPr>
        <w:jc w:val="both"/>
        <w:ind w:firstLine="8"/>
        <w:spacing w:after="0" w:line="250" w:lineRule="auto"/>
        <w:tabs>
          <w:tab w:leader="none" w:pos="33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Disqualified Institution does vote on such plan notwithstanding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such vote will be deemed not to have been in good faith and shall be “designated” pursuant to Section 1126(e) of the Bankruptcy Code of the United States (or any similar provision of any other Debtor Relief Laws), and such vote shall not be counted in determine whether the applicable class has accepted or rejected such plan in accordance with Section 1126(c) of the Bankruptcy Code of the United States (or any similar provision of any other Debtor Relief Laws), and (III)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11.07</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and that the Administrative Agent, the relevant Lender or the L/C Issuer, as the case may be, shall be responsible to the Loan Parties for any failure by such Person to maintain the confidentiality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13" w:right="339" w:bottom="1440" w:gutter="0" w:footer="0" w:header="0"/>
        </w:sectPr>
      </w:pPr>
    </w:p>
    <w:bookmarkStart w:id="158" w:name="page159"/>
    <w:bookmarkEnd w:id="158"/>
    <w:p>
      <w:pPr>
        <w:jc w:val="both"/>
        <w:spacing w:after="0" w:line="248" w:lineRule="auto"/>
        <w:rPr>
          <w:sz w:val="20"/>
          <w:szCs w:val="20"/>
          <w:color w:val="auto"/>
        </w:rPr>
      </w:pPr>
      <w:r>
        <w:rPr>
          <w:rFonts w:ascii="Times New Roman" w:cs="Times New Roman" w:eastAsia="Times New Roman" w:hAnsi="Times New Roman"/>
          <w:sz w:val="20"/>
          <w:szCs w:val="20"/>
          <w:color w:val="auto"/>
        </w:rPr>
        <w:t>the Information),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this clause (c) and the foregoing clause (b), (i) the Administrative Agent, the Lenders or the L/C Issuer, as the case may be, shall disclose only the information required and, to the extent permitted by applicable law and regulation and practical under the circumstances, shall notify the Company in writing prior to such disclosure and (ii) notwithstanding anything to the contrary contained herein, the Administrative Agent, the Lenders or the L/C Issuer, and their Affiliates may disclose Information, without notice to the Company, to any governmental agency, regulatory authority or self-regulatory authority (including bank and securities examiners) having or claiming to have authority to regulate or oversee any aspect of such Person’s or its Affiliate’s business in connection with the exercise of such authority or claimed authority),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become a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2.01(b)</w:t>
      </w:r>
      <w:r>
        <w:rPr>
          <w:rFonts w:ascii="Times New Roman" w:cs="Times New Roman" w:eastAsia="Times New Roman" w:hAnsi="Times New Roman"/>
          <w:sz w:val="20"/>
          <w:szCs w:val="20"/>
          <w:color w:val="auto"/>
        </w:rPr>
        <w:t xml:space="preserve"> or (ii) any actual or prospective party (or its Related Parties) to any swap derivative or other transaction under which payments are to be made by reference to the Loan Parties and their obligations, this Agreement or payments hereunder, (g) on a confidential basis to (i) any rating agency in connection with rating any Loan Party or its Subsidiaries or the credit facility provided hereunder or (ii) the CUSIP Service Bureau or any similar agency in connection with the issuance and monitoring of CUSIP numbers or other market identifiers with respect to the credit facility provided hereunder, (h)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Loan Parties so long as such source is not known by such Person to be bound by a confidentiality agreement with any Loan Party or Subsidiary or (i) with the consent of the Company. In addition, the Administrative Agent and the Lenders may disclose the existence of this Agreement and customary information about this Agreement to market data collectors. 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a Loan Party or any Subsidiary relating to the Loan Parties or any Subsidiary or any of their respective businesses, other than any such information that is available to the Administrative Agent, any Lender or the L/C Issuer on a nonconfidential basis prior to disclosure by such Loan Party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a Loan Party or any Subsidiary after the Closing Date, such information is clearly identified at the time of delivery as confidential or delivered under circumstances that would cause a reasonable person to believe such information to be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13" w:right="339" w:bottom="1440" w:gutter="0" w:footer="0" w:header="0"/>
        </w:sectPr>
      </w:pPr>
    </w:p>
    <w:bookmarkStart w:id="159" w:name="page160"/>
    <w:bookmarkEnd w:id="159"/>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11.08</w:t>
      </w:r>
      <w:r>
        <w:rPr>
          <w:sz w:val="20"/>
          <w:szCs w:val="20"/>
          <w:color w:val="auto"/>
        </w:rPr>
        <w:tab/>
      </w:r>
      <w:r>
        <w:rPr>
          <w:rFonts w:ascii="Times New Roman" w:cs="Times New Roman" w:eastAsia="Times New Roman" w:hAnsi="Times New Roman"/>
          <w:sz w:val="19"/>
          <w:szCs w:val="19"/>
          <w:u w:val="single" w:color="auto"/>
          <w:color w:val="auto"/>
        </w:rPr>
        <w:t>Set-off</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each Lender, the L/C Issuer and each of their respective Affiliates is hereby authorized at any time and from time to time, to the fullest extent permitted by applicable Law, to set-off and apply any and all deposits (general or special, time or demand, provisional or final, in whatever currency, but excluding deposits held in a trustee, fiduciary, agency or similar capacity or otherwise for the benefit of a third party)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or office or Affiliate of such Lender or the L/C Issuer different from the branch or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 amounts so set-off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8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11.09</w:t>
      </w:r>
      <w:r>
        <w:rPr>
          <w:sz w:val="20"/>
          <w:szCs w:val="20"/>
          <w:color w:val="auto"/>
        </w:rPr>
        <w:tab/>
      </w:r>
      <w:r>
        <w:rPr>
          <w:rFonts w:ascii="Times New Roman" w:cs="Times New Roman" w:eastAsia="Times New Roman" w:hAnsi="Times New Roman"/>
          <w:sz w:val="19"/>
          <w:szCs w:val="19"/>
          <w:u w:val="single" w:color="auto"/>
          <w:color w:val="auto"/>
        </w:rPr>
        <w:t>Interest Rate Limitation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Agreement and each of the other Loan Documents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13"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color w:val="auto"/>
        </w:rPr>
        <w:t>party, such fax transmission or e-mail transmission shall be promptly followed by such manually executed counterpart.</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19"/>
          <w:szCs w:val="19"/>
          <w:u w:val="single" w:color="auto"/>
          <w:color w:val="auto"/>
        </w:rPr>
        <w:t>Integration; Effectiveness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w:t>
      </w:r>
    </w:p>
    <w:p>
      <w:pPr>
        <w:spacing w:after="0" w:line="1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19"/>
          <w:szCs w:val="19"/>
          <w:u w:val="single" w:color="auto"/>
          <w:color w:val="auto"/>
        </w:rPr>
        <w:t>Survival of Representations and Warranties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9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9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If the Company is entitled to replace a Lender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or if any Lender is a Defaulting Lender or a Non-Consenting Lender, or if any Lender shall effectuate (or purport to effectuate) an assignment in violation of the terms of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then the Company may, at its sole expense and effort, upon notice to such Lender and the Administrative Agent, require such Lender to assign and delegate, without recourse (in accordance with and subject to the restrictions contained in, and consents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413" w:right="339" w:bottom="1440" w:gutter="0" w:footer="0" w:header="0"/>
        </w:sectPr>
      </w:pPr>
    </w:p>
    <w:bookmarkStart w:id="161" w:name="page162"/>
    <w:bookmarkEnd w:id="161"/>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required by,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1" w:lineRule="exact"/>
        <w:rPr>
          <w:sz w:val="20"/>
          <w:szCs w:val="20"/>
          <w:color w:val="auto"/>
        </w:rPr>
      </w:pPr>
    </w:p>
    <w:p>
      <w:pPr>
        <w:ind w:left="660" w:right="20" w:firstLine="644"/>
        <w:spacing w:after="0" w:line="269" w:lineRule="auto"/>
        <w:tabs>
          <w:tab w:leader="none" w:pos="168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paid (or caused to be paid) to the Administrative Agent the assignment fee (if any)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6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applicable Borrower(s) (in the case of all other amounts);</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785"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59"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1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Lender becoming a Non-Consenting Lender, the applicable assignee shall have consented to the applicable amendment, waiver or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xml:space="preserve"> shall nevertheless be effective without the execution by such Non-Consenting Lender of an Assignment and Assumption.</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8" w:lineRule="auto"/>
        <w:tabs>
          <w:tab w:leader="none" w:pos="1115"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SHALL BE GOVERNED BY, AND CONSTRUED IN ACCORDANCE WITH, THE LAW OF THE STATE OF ILLINOIS APPLICABLE TO AGREEMENTS MADE AND TO BE PERFORMED ENTIRELY WITHIN SUCH STATE;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AND EACH LENDER SHALL RETAIN ALL RIGHTS ARISING UNDER FEDERAL LAW.</w:t>
      </w:r>
    </w:p>
    <w:p>
      <w:pPr>
        <w:spacing w:after="0" w:line="185"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LEGAL ACTION OR PROCEEDING WITH RESPECT TO THIS AGREEMENT OR ANY OTHER LOAN DOCUMENT MAY BE BROUGHT IN THE COURTS OF THE STATE OF ILLINOIS SITTING IN CHICAGO, ILLINOIS OR OF THE UNITED STATES FOR THE NORTHERN DISTRICT OF ILLINOIS (EASTERN DIVISION), AND BY EXECUTION AND DELIVERY OF THIS AGREEMENT, EACH PARTY HERETO CONSENTS, FOR ITSELF AND IN RESPECT OF ITS PROPERTY, TO THE NON-EXCLUSIVE JURISDICTION OF THOSE COURTS. EACH PARTY HERETO IRREVOCABLY WAIVES ANY OBJECTION, INCLUDING ANY OBJECTION TO THE LAYING OF VENUE OR BASED ON THE GROUNDS OF </w:t>
      </w:r>
      <w:r>
        <w:rPr>
          <w:rFonts w:ascii="Times New Roman" w:cs="Times New Roman" w:eastAsia="Times New Roman" w:hAnsi="Times New Roman"/>
          <w:sz w:val="20"/>
          <w:szCs w:val="20"/>
          <w:i w:val="1"/>
          <w:iCs w:val="1"/>
          <w:color w:val="auto"/>
        </w:rPr>
        <w:t>FORUM NON CONVENIENS</w:t>
      </w:r>
      <w:r>
        <w:rPr>
          <w:rFonts w:ascii="Times New Roman" w:cs="Times New Roman" w:eastAsia="Times New Roman" w:hAnsi="Times New Roman"/>
          <w:sz w:val="20"/>
          <w:szCs w:val="20"/>
          <w:color w:val="auto"/>
        </w:rPr>
        <w:t>, WHICH IT MAY NOW OR HEREAFTER HAVE TO THE BRINGING OF ANY ACTION OR PROCEEDING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13" w:right="339" w:bottom="1440" w:gutter="0" w:footer="0" w:header="0"/>
        </w:sectPr>
      </w:pPr>
    </w:p>
    <w:bookmarkStart w:id="162" w:name="page163"/>
    <w:bookmarkEnd w:id="162"/>
    <w:p>
      <w:pPr>
        <w:jc w:val="both"/>
        <w:spacing w:after="0" w:line="261" w:lineRule="auto"/>
        <w:rPr>
          <w:sz w:val="20"/>
          <w:szCs w:val="20"/>
          <w:color w:val="auto"/>
        </w:rPr>
      </w:pPr>
      <w:r>
        <w:rPr>
          <w:rFonts w:ascii="Times New Roman" w:cs="Times New Roman" w:eastAsia="Times New Roman" w:hAnsi="Times New Roman"/>
          <w:sz w:val="20"/>
          <w:szCs w:val="20"/>
          <w:color w:val="auto"/>
        </w:rPr>
        <w:t>SUCH JURISDICTION IN RESPECT OF ANY LOAN DOCUMENT OR OTHER DOCUMENT RELATED THERETO. EACH PARTY HERETO WAIVES PERSONAL SERVICE OF ANY SUMMONS, COMPLAINT OR OTHER PROCESS, WHICH MAY BE MADE BY ANY OTHER MEANS PERMITTED BY THE LAW OF SUCH STATE.</w:t>
      </w:r>
    </w:p>
    <w:p>
      <w:pPr>
        <w:spacing w:after="0" w:line="1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19"/>
          <w:szCs w:val="19"/>
          <w:u w:val="single" w:color="auto"/>
          <w:color w:val="auto"/>
        </w:rPr>
        <w:t>Waiver of Right to Trial by Jury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19"/>
          <w:szCs w:val="19"/>
          <w:u w:val="single" w:color="auto"/>
          <w:color w:val="auto"/>
        </w:rPr>
        <w:t>USA PATRIOT Act Notice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Lender that is subject to the Act (as hereinafter defined) and the Administrative Agent (for itself 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9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11.18</w:t>
      </w:r>
      <w:r>
        <w:rPr>
          <w:sz w:val="20"/>
          <w:szCs w:val="20"/>
          <w:color w:val="auto"/>
        </w:rPr>
        <w:tab/>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in respect of any such sum due from them to the Administrative Agent or the Lenders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 as a separate obligation and notwithstanding any such judgment, to indemnify the Administrative Agent or the Person to whom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13" w:right="339" w:bottom="1440" w:gutter="0" w:footer="0" w:header="0"/>
        </w:sectPr>
      </w:pPr>
    </w:p>
    <w:bookmarkStart w:id="163" w:name="page164"/>
    <w:bookmarkEnd w:id="163"/>
    <w:p>
      <w:pPr>
        <w:jc w:val="both"/>
        <w:spacing w:after="0" w:line="261" w:lineRule="auto"/>
        <w:rPr>
          <w:sz w:val="20"/>
          <w:szCs w:val="20"/>
          <w:color w:val="auto"/>
        </w:rPr>
      </w:pPr>
      <w:r>
        <w:rPr>
          <w:rFonts w:ascii="Times New Roman" w:cs="Times New Roman" w:eastAsia="Times New Roman" w:hAnsi="Times New Roman"/>
          <w:sz w:val="20"/>
          <w:szCs w:val="20"/>
          <w:color w:val="auto"/>
        </w:rPr>
        <w:t>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w:t>
      </w:r>
    </w:p>
    <w:p>
      <w:pPr>
        <w:spacing w:after="0" w:line="1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11.19</w:t>
      </w:r>
      <w:r>
        <w:rPr>
          <w:sz w:val="20"/>
          <w:szCs w:val="20"/>
          <w:color w:val="auto"/>
        </w:rPr>
        <w:tab/>
      </w:r>
      <w:r>
        <w:rPr>
          <w:rFonts w:ascii="Times New Roman" w:cs="Times New Roman" w:eastAsia="Times New Roman" w:hAnsi="Times New Roman"/>
          <w:sz w:val="19"/>
          <w:szCs w:val="19"/>
          <w:u w:val="single" w:color="auto"/>
          <w:color w:val="auto"/>
        </w:rPr>
        <w:t>Concerning Joint and Several Liability of the Domestic Borrowers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8" w:lineRule="auto"/>
        <w:tabs>
          <w:tab w:leader="none" w:pos="115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Domestic Borrower is accepting joint and several liability under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in consideration of the financial accommodation to be provided by the Lenders under this Agreement, for the mutual benefit, directly and indirectly, of each Domestic Borrower and in consideration of the undertakings of each Domestic Borrower to accept joint and several liability for the Obligations of each of the other Domestic Borrowers.</w:t>
      </w:r>
    </w:p>
    <w:p>
      <w:pPr>
        <w:spacing w:after="0" w:line="185" w:lineRule="exact"/>
        <w:rPr>
          <w:rFonts w:ascii="Times New Roman" w:cs="Times New Roman" w:eastAsia="Times New Roman" w:hAnsi="Times New Roman"/>
          <w:sz w:val="20"/>
          <w:szCs w:val="20"/>
          <w:color w:val="auto"/>
        </w:rPr>
      </w:pPr>
    </w:p>
    <w:p>
      <w:pPr>
        <w:jc w:val="both"/>
        <w:ind w:firstLine="656"/>
        <w:spacing w:after="0" w:line="258" w:lineRule="auto"/>
        <w:tabs>
          <w:tab w:leader="none" w:pos="108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Domestic Borrower jointly and severally hereby irrevocably and unconditionally accepts, not merely as a surety but also as a co-debtor, joint and several liability with the other Domestic Borrowers with respect to the payment and performance of all of the Obligations arising under this Agreement and the other Loan Documents, it being the intention of the parties hereto that all the Obligations shall be the joint and several obligations of each of the Domestic Borrowers without preferences or distinction among them.</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a Domestic Borrower shall fail to make any payment with respect to any of the Obligations hereunder as and when due or to perform any of such obligations in accordance with the terms thereof, then in each such event, the other Domestic Borrowers will make such payment with respect to, or perform, such obligation.</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2"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each Domestic Borrower under 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constitute full recourse obligations of such Domestic Borrower, enforceable against it to the full extent of its properties and assets, irrespective of the validity, regularity or enforceability of this Agreement or any other circumstances whatsoever.</w:t>
      </w:r>
    </w:p>
    <w:p>
      <w:pPr>
        <w:spacing w:after="0" w:line="181" w:lineRule="exact"/>
        <w:rPr>
          <w:rFonts w:ascii="Times New Roman" w:cs="Times New Roman" w:eastAsia="Times New Roman" w:hAnsi="Times New Roman"/>
          <w:sz w:val="20"/>
          <w:szCs w:val="20"/>
          <w:color w:val="auto"/>
        </w:rPr>
      </w:pPr>
    </w:p>
    <w:p>
      <w:pPr>
        <w:jc w:val="both"/>
        <w:ind w:firstLine="656"/>
        <w:spacing w:after="0" w:line="249" w:lineRule="auto"/>
        <w:tabs>
          <w:tab w:leader="none" w:pos="111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provided herein, each Domestic Borrower hereby waives notice of acceptance of its joint and several liability, notice of occurrence of any Default (except to the extent notice is expressly required to be given pursuant to the terms of </w:t>
      </w:r>
      <w:r>
        <w:rPr>
          <w:rFonts w:ascii="Times New Roman" w:cs="Times New Roman" w:eastAsia="Times New Roman" w:hAnsi="Times New Roman"/>
          <w:sz w:val="20"/>
          <w:szCs w:val="20"/>
          <w:color w:val="FF0000"/>
          <w:strike w:val="1"/>
        </w:rPr>
        <w:t>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any Loan Document),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of any demand for any payment under this Agreement, notice of any action at any time taken 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omitted by the Administrative Agent or the Lenders under or in respect of any of the Obligations hereunder, any requirement of diligence and, generally, all demands, notices and other formalities of every kind in connection with this Agreement (other than, in each case, any notice any Domestic Borrower has the express right to receive under the Loan Documents). Each Domestic Borrower hereby assents to, and waives notice of (other than, in each case, any notice any Domestic Borrower has the express right to receive under the Loan Documents), any extension or postponement of the time for the payment of any of the Obligations hereunder of the Domestic Borrowers, the acceptance of any partial payment thereon, any waiver, consent or other action or acquiescence by the Lenders at any time or times in respect of any default by any other Domestic Borrower in the performance or satisfaction of any term, covenant, condition or provision of this Agreement, any and all other indulgences whatsoever by the Lenders in respect of any of the Obligations hereunder of the other Domestic Borrowers, and the taking, addition, substitution or release, in whole or in part, at any time or times, of any security </w:t>
      </w:r>
      <w:r>
        <w:rPr>
          <w:rFonts w:ascii="Times New Roman" w:cs="Times New Roman" w:eastAsia="Times New Roman" w:hAnsi="Times New Roman"/>
          <w:sz w:val="20"/>
          <w:szCs w:val="20"/>
          <w:u w:val="single" w:color="auto"/>
          <w:color w:val="0000FF"/>
        </w:rPr>
        <w:t>from any other Domestic Borrower</w:t>
      </w:r>
      <w:r>
        <w:rPr>
          <w:rFonts w:ascii="Times New Roman" w:cs="Times New Roman" w:eastAsia="Times New Roman" w:hAnsi="Times New Roman"/>
          <w:sz w:val="20"/>
          <w:szCs w:val="20"/>
          <w:color w:val="000000"/>
        </w:rPr>
        <w:t xml:space="preserve"> for any of such Obligations or the addition, substitution or release, in whole or in part, of any other Domestic Borrower. Without limiting the generality of the foregoing, each Domestic Borrower assents to any other action or delay in acting or any failure to act without the other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13" w:right="339" w:bottom="1440" w:gutter="0" w:footer="0" w:header="0"/>
        </w:sectPr>
      </w:pPr>
    </w:p>
    <w:bookmarkStart w:id="164" w:name="page165"/>
    <w:bookmarkEnd w:id="164"/>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on the part of the Administrative Agent or the Lenders, including, without limitation,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11.19</w:t>
      </w:r>
      <w:r>
        <w:rPr>
          <w:rFonts w:ascii="Times New Roman" w:cs="Times New Roman" w:eastAsia="Times New Roman" w:hAnsi="Times New Roman"/>
          <w:sz w:val="19"/>
          <w:szCs w:val="19"/>
          <w:color w:val="auto"/>
        </w:rPr>
        <w:t xml:space="preserve">, afford grounds for terminating, discharging or relieving such Domestic Borrower, in whole or in part, from any of its obligations under this </w:t>
      </w:r>
      <w:r>
        <w:rPr>
          <w:rFonts w:ascii="Times New Roman" w:cs="Times New Roman" w:eastAsia="Times New Roman" w:hAnsi="Times New Roman"/>
          <w:sz w:val="19"/>
          <w:szCs w:val="19"/>
          <w:u w:val="single" w:color="auto"/>
          <w:color w:val="auto"/>
        </w:rPr>
        <w:t>Section 11.19</w:t>
      </w:r>
      <w:r>
        <w:rPr>
          <w:rFonts w:ascii="Times New Roman" w:cs="Times New Roman" w:eastAsia="Times New Roman" w:hAnsi="Times New Roman"/>
          <w:sz w:val="19"/>
          <w:szCs w:val="19"/>
          <w:color w:val="auto"/>
        </w:rPr>
        <w:t xml:space="preserve">, it being the intention of each Domestic Borrower that, so long as any of the Obligations hereunder of the other Domestic Borrowers remain unsatisfied, the obligations of such Domestic Borrower under this </w:t>
      </w:r>
      <w:r>
        <w:rPr>
          <w:rFonts w:ascii="Times New Roman" w:cs="Times New Roman" w:eastAsia="Times New Roman" w:hAnsi="Times New Roman"/>
          <w:sz w:val="19"/>
          <w:szCs w:val="19"/>
          <w:u w:val="single" w:color="auto"/>
          <w:color w:val="auto"/>
        </w:rPr>
        <w:t>Section 11.19</w:t>
      </w:r>
      <w:r>
        <w:rPr>
          <w:rFonts w:ascii="Times New Roman" w:cs="Times New Roman" w:eastAsia="Times New Roman" w:hAnsi="Times New Roman"/>
          <w:sz w:val="19"/>
          <w:szCs w:val="19"/>
          <w:color w:val="auto"/>
        </w:rPr>
        <w:t xml:space="preserve"> shall not be discharged except by performance and then only to the extent of such performance. The obligations of each Domestic Borrower under this </w:t>
      </w:r>
      <w:r>
        <w:rPr>
          <w:rFonts w:ascii="Times New Roman" w:cs="Times New Roman" w:eastAsia="Times New Roman" w:hAnsi="Times New Roman"/>
          <w:sz w:val="19"/>
          <w:szCs w:val="19"/>
          <w:u w:val="single" w:color="auto"/>
          <w:color w:val="auto"/>
        </w:rPr>
        <w:t>Section 11.19</w:t>
      </w:r>
      <w:r>
        <w:rPr>
          <w:rFonts w:ascii="Times New Roman" w:cs="Times New Roman" w:eastAsia="Times New Roman" w:hAnsi="Times New Roman"/>
          <w:sz w:val="19"/>
          <w:szCs w:val="19"/>
          <w:color w:val="auto"/>
        </w:rPr>
        <w:t xml:space="preserve"> shall not be diminished or rendered unenforceable by any winding up, reorganization, arrangement, liquidation, reconstruction or similar proceeding with respect to any reconstruction or similar proceeding with respect to any Loan Party or the Lenders. The joint and several liability of the Domestic Borrowers under this </w:t>
      </w:r>
      <w:r>
        <w:rPr>
          <w:rFonts w:ascii="Times New Roman" w:cs="Times New Roman" w:eastAsia="Times New Roman" w:hAnsi="Times New Roman"/>
          <w:sz w:val="19"/>
          <w:szCs w:val="19"/>
          <w:u w:val="single" w:color="auto"/>
          <w:color w:val="auto"/>
        </w:rPr>
        <w:t>Section 11.19</w:t>
      </w:r>
      <w:r>
        <w:rPr>
          <w:rFonts w:ascii="Times New Roman" w:cs="Times New Roman" w:eastAsia="Times New Roman" w:hAnsi="Times New Roman"/>
          <w:sz w:val="19"/>
          <w:szCs w:val="19"/>
          <w:color w:val="auto"/>
        </w:rPr>
        <w:t xml:space="preserve"> shall continue in full force and effect notwithstanding any absorption, merger, amalgamation or any other change whatsoever in the name, membership, constitution or place of formation of any Loan Party or the Lenders.</w:t>
      </w:r>
    </w:p>
    <w:p>
      <w:pPr>
        <w:spacing w:after="0" w:line="180" w:lineRule="exact"/>
        <w:rPr>
          <w:sz w:val="20"/>
          <w:szCs w:val="20"/>
          <w:color w:val="auto"/>
        </w:rPr>
      </w:pPr>
    </w:p>
    <w:p>
      <w:pPr>
        <w:jc w:val="both"/>
        <w:ind w:firstLine="656"/>
        <w:spacing w:after="0" w:line="252" w:lineRule="auto"/>
        <w:tabs>
          <w:tab w:leader="none" w:pos="105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are made for the benefit of the Administrative Agent and the Lenders and their respective successors and assigns, and may be enforced by any such Person from time to time against any of the Domestic Borrowers as often as occasion therefore may arise and without requirement on the part of any Lender first to marshal any of its claims or to exercise any of its rights against any other Loan Party or to exhaust any remedies available to it against any other Loan Party or to resort to any other source or means of obtaining payment of any of the Obligations or to elect any other remedy. 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shall remain in effect until all the Obligations hereunder shall have been paid in full or otherwise fully satisfied. If at any time, any payment, or any part thereof, made in respect of any of the Obligations, is rescinded or must otherwise be restored or returned by the Lenders upon the insolvency, bankruptcy or reorganization of any of the Loan Parties, or otherwise, 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will forthwith be reinstated and in effect as though such payment had not been made.</w:t>
      </w:r>
    </w:p>
    <w:p>
      <w:pPr>
        <w:spacing w:after="0" w:line="175" w:lineRule="exact"/>
        <w:rPr>
          <w:rFonts w:ascii="Times New Roman" w:cs="Times New Roman" w:eastAsia="Times New Roman" w:hAnsi="Times New Roman"/>
          <w:sz w:val="20"/>
          <w:szCs w:val="20"/>
          <w:color w:val="auto"/>
        </w:rPr>
      </w:pPr>
    </w:p>
    <w:p>
      <w:pPr>
        <w:jc w:val="both"/>
        <w:ind w:firstLine="656"/>
        <w:spacing w:after="0" w:line="258" w:lineRule="auto"/>
        <w:tabs>
          <w:tab w:leader="none" w:pos="1072"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provision to the contrary contained herein or in any other of the Loan Documents or Hedging Agreements or Treasury Management Agreements, the obligations of each Domestic Borrower under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shall be limited to an aggregate amount equal to the largest amount that would not render its obligations hereunder subject to avoidance under Section 548 of the Bankruptcy Code of the United States or any comparable provisions of any applicable Debtor Relief Law.</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2"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clarification with respect to the Designated Borrowers that are Foreign Subsidiaries, (i) the Obligations of such Designated Borrowers are several and not joint and several and (ii)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the Company and the other Domestic Borrowers shall guarantee the Obligations of such Designated Borrowers.</w:t>
      </w:r>
    </w:p>
    <w:p>
      <w:pPr>
        <w:spacing w:after="0" w:line="16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11.20</w:t>
      </w:r>
      <w:r>
        <w:rPr>
          <w:sz w:val="20"/>
          <w:szCs w:val="20"/>
          <w:color w:val="auto"/>
        </w:rPr>
        <w:tab/>
      </w:r>
      <w:r>
        <w:rPr>
          <w:rFonts w:ascii="Times New Roman" w:cs="Times New Roman" w:eastAsia="Times New Roman" w:hAnsi="Times New Roman"/>
          <w:sz w:val="19"/>
          <w:szCs w:val="19"/>
          <w:u w:val="single" w:color="auto"/>
          <w:color w:val="auto"/>
        </w:rPr>
        <w:t>Subordination of Intercompany Debt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Loan Party agrees that all intercompany Debt among Loan Parties (the “</w:t>
      </w:r>
      <w:r>
        <w:rPr>
          <w:rFonts w:ascii="Times New Roman" w:cs="Times New Roman" w:eastAsia="Times New Roman" w:hAnsi="Times New Roman"/>
          <w:sz w:val="20"/>
          <w:szCs w:val="20"/>
          <w:u w:val="single" w:color="auto"/>
          <w:color w:val="auto"/>
        </w:rPr>
        <w:t>Intercompany Debt</w:t>
      </w:r>
      <w:r>
        <w:rPr>
          <w:rFonts w:ascii="Times New Roman" w:cs="Times New Roman" w:eastAsia="Times New Roman" w:hAnsi="Times New Roman"/>
          <w:sz w:val="20"/>
          <w:szCs w:val="20"/>
          <w:color w:val="auto"/>
        </w:rPr>
        <w:t xml:space="preserve">”) is subordinated in right of payment, to the prior payment in full of all Obligations (other than contingent obligations not yet due and payable). Notwithstanding any provision of this Agreement to the contrary, provided that no Event of Default has occurred and is continuing, Loan Parties may make and receive payments with respect to the Intercompany Debt to the extent otherwise permitted by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event of and during the continuation of any Event of Default, no payment shall be made by or on behalf of any Loan Party on account of any Intercompany Debt. In the event that any Loan Party receives any payment of any Intercompany Debt at a time when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13" w:right="339" w:bottom="1440" w:gutter="0" w:footer="0" w:header="0"/>
        </w:sectPr>
      </w:pPr>
    </w:p>
    <w:bookmarkStart w:id="165" w:name="page166"/>
    <w:bookmarkEnd w:id="165"/>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is prohibited by this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such payment shall be held by such Loan Party, in trust for the benefit of, and shall be paid forthwith over and delivered, upon written request, to, the Administrative Agent</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11.21</w:t>
      </w:r>
      <w:r>
        <w:rPr>
          <w:sz w:val="20"/>
          <w:szCs w:val="20"/>
          <w:color w:val="auto"/>
        </w:rPr>
        <w:tab/>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are arm’s-length commercial transactions between the Loan Parties and their respective Affiliates, on the one hand, and the Administrative Agent, the Arrangers and the Lenders,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Arrangers nor any Lender has any obligation to the Loan Parties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Loan Parties and their respective Affiliates, and neither the Administrative Agent, the Arrangers nor any Lender has any obligation to disclose any of such interests to the Loan Parties and their respective Affiliates. To the fullest extent permitted by Law, each of the Loan Parties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19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11.22</w:t>
      </w:r>
      <w:r>
        <w:rPr>
          <w:sz w:val="20"/>
          <w:szCs w:val="20"/>
          <w:color w:val="auto"/>
        </w:rPr>
        <w:tab/>
      </w:r>
      <w:r>
        <w:rPr>
          <w:rFonts w:ascii="Times New Roman" w:cs="Times New Roman" w:eastAsia="Times New Roman" w:hAnsi="Times New Roman"/>
          <w:sz w:val="19"/>
          <w:szCs w:val="19"/>
          <w:u w:val="single" w:color="auto"/>
          <w:color w:val="auto"/>
        </w:rPr>
        <w:t>Electronic Execution of Assignments and Certain Other Documents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words “execute,” “execution,” “signed,” “signature,” and words of like import in or related to any document to be signed in connection with this Agreement, any other document executed in connection herewith and the transactions contemplated hereby (including without limitation Assignment and Assumptions, amendments or other modifications,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without limiting the foregoing, upon the request of any party, any electronic signature shall be promptly followed by such manually executed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13" w:right="339" w:bottom="1440" w:gutter="0" w:footer="0" w:header="0"/>
        </w:sectPr>
      </w:pPr>
    </w:p>
    <w:bookmarkStart w:id="166" w:name="page167"/>
    <w:bookmarkEnd w:id="166"/>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11.23</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92" w:lineRule="exact"/>
        <w:rPr>
          <w:sz w:val="20"/>
          <w:szCs w:val="20"/>
          <w:color w:val="auto"/>
        </w:rPr>
      </w:pPr>
    </w:p>
    <w:p>
      <w:pPr>
        <w:ind w:firstLine="656"/>
        <w:spacing w:after="0" w:line="269" w:lineRule="auto"/>
        <w:tabs>
          <w:tab w:leader="none" w:pos="104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7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51"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2" w:lineRule="exact"/>
        <w:rPr>
          <w:rFonts w:ascii="Times New Roman" w:cs="Times New Roman" w:eastAsia="Times New Roman" w:hAnsi="Times New Roman"/>
          <w:sz w:val="20"/>
          <w:szCs w:val="20"/>
          <w:color w:val="auto"/>
        </w:rPr>
      </w:pPr>
    </w:p>
    <w:p>
      <w:pPr>
        <w:ind w:left="660" w:right="200" w:firstLine="644"/>
        <w:spacing w:after="0" w:line="283" w:lineRule="auto"/>
        <w:tabs>
          <w:tab w:leader="none" w:pos="1785"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11.24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xml:space="preserve"> .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Illinois and/or of the United States or any other state of the United States):</w:t>
      </w:r>
    </w:p>
    <w:p>
      <w:pPr>
        <w:spacing w:after="0" w:line="193" w:lineRule="exact"/>
        <w:rPr>
          <w:sz w:val="20"/>
          <w:szCs w:val="20"/>
          <w:color w:val="auto"/>
        </w:rPr>
      </w:pPr>
    </w:p>
    <w:p>
      <w:pPr>
        <w:jc w:val="both"/>
        <w:ind w:firstLine="656"/>
        <w:spacing w:after="0" w:line="250" w:lineRule="auto"/>
        <w:tabs>
          <w:tab w:leader="none" w:pos="104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413" w:right="339" w:bottom="1440" w:gutter="0" w:footer="0" w:header="0"/>
        </w:sectPr>
      </w:pPr>
    </w:p>
    <w:bookmarkStart w:id="167" w:name="page168"/>
    <w:bookmarkEnd w:id="167"/>
    <w:p>
      <w:pPr>
        <w:jc w:val="both"/>
        <w:spacing w:after="0" w:line="261" w:lineRule="auto"/>
        <w:rPr>
          <w:sz w:val="20"/>
          <w:szCs w:val="20"/>
          <w:color w:val="auto"/>
        </w:rPr>
      </w:pPr>
      <w:r>
        <w:rPr>
          <w:rFonts w:ascii="Times New Roman" w:cs="Times New Roman" w:eastAsia="Times New Roman" w:hAnsi="Times New Roman"/>
          <w:sz w:val="20"/>
          <w:szCs w:val="20"/>
          <w:color w:val="auto"/>
        </w:rPr>
        <w:t>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 xml:space="preserve">As used in this </w:t>
      </w:r>
      <w:r>
        <w:rPr>
          <w:rFonts w:ascii="Times New Roman" w:cs="Times New Roman" w:eastAsia="Times New Roman" w:hAnsi="Times New Roman"/>
          <w:sz w:val="19"/>
          <w:szCs w:val="19"/>
          <w:u w:val="single" w:color="auto"/>
          <w:color w:val="auto"/>
        </w:rPr>
        <w:t>Section 11.24</w:t>
      </w:r>
      <w:r>
        <w:rPr>
          <w:rFonts w:ascii="Times New Roman" w:cs="Times New Roman" w:eastAsia="Times New Roman" w:hAnsi="Times New Roman"/>
          <w:sz w:val="19"/>
          <w:szCs w:val="19"/>
          <w:color w:val="auto"/>
        </w:rPr>
        <w:t>, the following terms have the following meanings:</w:t>
      </w:r>
    </w:p>
    <w:p>
      <w:pPr>
        <w:spacing w:after="0" w:line="216" w:lineRule="exact"/>
        <w:rPr>
          <w:sz w:val="20"/>
          <w:szCs w:val="20"/>
          <w:color w:val="auto"/>
        </w:rPr>
      </w:pPr>
    </w:p>
    <w:p>
      <w:pPr>
        <w:jc w:val="both"/>
        <w:ind w:left="660" w:firstLine="917"/>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87" w:lineRule="exact"/>
        <w:rPr>
          <w:sz w:val="20"/>
          <w:szCs w:val="20"/>
          <w:color w:val="auto"/>
        </w:rPr>
      </w:pPr>
    </w:p>
    <w:p>
      <w:pPr>
        <w:jc w:val="both"/>
        <w:ind w:left="660" w:firstLine="1295"/>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95" w:lineRule="exact"/>
        <w:rPr>
          <w:sz w:val="20"/>
          <w:szCs w:val="20"/>
          <w:color w:val="auto"/>
        </w:rPr>
      </w:pPr>
    </w:p>
    <w:p>
      <w:pPr>
        <w:jc w:val="both"/>
        <w:ind w:left="660" w:right="20" w:firstLine="81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87" w:lineRule="exact"/>
        <w:rPr>
          <w:sz w:val="20"/>
          <w:szCs w:val="20"/>
          <w:color w:val="auto"/>
        </w:rPr>
      </w:pPr>
    </w:p>
    <w:p>
      <w:pPr>
        <w:ind w:left="660" w:right="160" w:firstLine="79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11.25</w:t>
      </w:r>
      <w:r>
        <w:rPr>
          <w:sz w:val="20"/>
          <w:szCs w:val="20"/>
          <w:color w:val="auto"/>
        </w:rPr>
        <w:tab/>
      </w:r>
      <w:r>
        <w:rPr>
          <w:rFonts w:ascii="Times New Roman" w:cs="Times New Roman" w:eastAsia="Times New Roman" w:hAnsi="Times New Roman"/>
          <w:sz w:val="19"/>
          <w:szCs w:val="19"/>
          <w:u w:val="single" w:color="auto"/>
          <w:color w:val="auto"/>
        </w:rPr>
        <w:t>Erroneous Payments.</w:t>
      </w:r>
    </w:p>
    <w:p>
      <w:pPr>
        <w:spacing w:after="0" w:line="216" w:lineRule="exact"/>
        <w:rPr>
          <w:sz w:val="20"/>
          <w:szCs w:val="20"/>
          <w:color w:val="auto"/>
        </w:rPr>
      </w:pPr>
    </w:p>
    <w:p>
      <w:pPr>
        <w:jc w:val="both"/>
        <w:ind w:firstLine="656"/>
        <w:spacing w:after="0" w:line="250" w:lineRule="auto"/>
        <w:tabs>
          <w:tab w:leader="none" w:pos="128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or other holder of any Obligations (each, a “</w:t>
      </w:r>
      <w:r>
        <w:rPr>
          <w:rFonts w:ascii="Times New Roman" w:cs="Times New Roman" w:eastAsia="Times New Roman" w:hAnsi="Times New Roman"/>
          <w:sz w:val="20"/>
          <w:szCs w:val="20"/>
          <w:u w:val="single" w:color="auto"/>
          <w:color w:val="auto"/>
        </w:rPr>
        <w:t>Lender Party</w:t>
      </w:r>
      <w:r>
        <w:rPr>
          <w:rFonts w:ascii="Times New Roman" w:cs="Times New Roman" w:eastAsia="Times New Roman" w:hAnsi="Times New Roman"/>
          <w:sz w:val="20"/>
          <w:szCs w:val="20"/>
          <w:color w:val="auto"/>
        </w:rPr>
        <w:t>”), or any Person who has received funds on behalf of a Lender Party (any such Lender Party or other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that the Administrative Agent has determined in its sole discretion (whether or not after receipt of any notice under Section 11.25(b)) that any funds received by such Payment Recipient from the Administrative Agent or any of its Affiliates were erroneously transmitted to, or otherwise erroneously received by, such Payment Recipient (whether or not such error is known to any Payment Recipient)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8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Section 11.25(a), if any Payment Recipient receives a payment, prepayment or repayment (whether received as a payment, prepayment or repayment of principal, interest, fees, distribution or otherwise) from the Administrative Agent (or any of its Affiliates) that (x) is in a different amount than, or on a different date from, that specified in a notice of payment, prepayment or repayment sent by the Administrative Agent (or any of its Affiliates) with respect to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13" w:right="339" w:bottom="1440" w:gutter="0" w:footer="0" w:header="0"/>
        </w:sectPr>
      </w:pPr>
    </w:p>
    <w:bookmarkStart w:id="168" w:name="page169"/>
    <w:bookmarkEnd w:id="168"/>
    <w:p>
      <w:pPr>
        <w:jc w:val="both"/>
        <w:spacing w:after="0" w:line="261" w:lineRule="auto"/>
        <w:rPr>
          <w:sz w:val="20"/>
          <w:szCs w:val="20"/>
          <w:color w:val="auto"/>
        </w:rPr>
      </w:pPr>
      <w:r>
        <w:rPr>
          <w:rFonts w:ascii="Times New Roman" w:cs="Times New Roman" w:eastAsia="Times New Roman" w:hAnsi="Times New Roman"/>
          <w:sz w:val="20"/>
          <w:szCs w:val="20"/>
          <w:color w:val="auto"/>
        </w:rPr>
        <w:t>prepayment or repayment, (y) was not preceded or accompanied by a notice of payment, prepayment or repayment sent by the Administrative Agent (or any of its Affiliates), or (z) such Payment Recipient otherwise becomes aware was transmitted, or received, in error (in whole or in part):</w:t>
      </w:r>
    </w:p>
    <w:p>
      <w:pPr>
        <w:spacing w:after="0" w:line="181" w:lineRule="exact"/>
        <w:rPr>
          <w:sz w:val="20"/>
          <w:szCs w:val="20"/>
          <w:color w:val="auto"/>
        </w:rPr>
      </w:pPr>
    </w:p>
    <w:p>
      <w:pPr>
        <w:jc w:val="both"/>
        <w:ind w:left="660" w:firstLine="644"/>
        <w:spacing w:after="0" w:line="261" w:lineRule="auto"/>
        <w:tabs>
          <w:tab w:leader="none" w:pos="1954"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 the case of immediately preceding clause (x) or (y), an error shall be presumed to have been made (absent written confirmation from the Administrative Agent to the contrary) or (B) in the case of immediately preceding clause (z), an error has been made, in each case, with respect to such payment, prepayment or repayment; and</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5"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Payment Recipient shall promptly (and, in all events, within one Business Day of its knowledge of such error or presumed error) notify the Administrative Agent of its receipt of such payment, prepayment or repayment, the details thereof (in reasonable detail) and that it is so notifying the Administrative Agent pursuant to this Section 11.25(b).</w:t>
      </w:r>
    </w:p>
    <w:p>
      <w:pPr>
        <w:spacing w:after="0" w:line="167"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Party hereby authorizes the Administrative Agent to set off, net and apply any and all amounts at any time owing to such Lender Party under any Loan Document, or otherwise payable or distributable by the Administrative Agent to such Lender Party from any source, against any amount due to the Administrative Agent under Section 11.25(a) or under the indemnification provisions of this Agreement.</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Erroneous Payment shall not pay, prepay, repay, discharge or otherwise satisfy any Obligations, except to the extent such Erroneous Payment comprises funds received by the Administrative Agent from a Loan Party for the purpose of making such Erroneous Payment.</w:t>
      </w:r>
    </w:p>
    <w:p>
      <w:pPr>
        <w:spacing w:after="0" w:line="181"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each Payment Recipient hereby agrees not to assert any right or claim to an Erroneous Payment, and hereby waives, and is deemed to waive, any claim, counterclaim, defense or right of set-off or recoupment, including without limitation any defense based on “discharge for value” or any similar doctrine, with respect to any demand, claim or counterclaim by the Administrative Agent for the return of any Erroneous Payment.</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agreements under this Section 11.25 shall survive the resignation or replacement of the Administrative Agent, any transfer of rights or obligations by, or the replacement of, a Lender, the termination of the Commitments, or the repayment, satisfaction or discharge of any or all Obligations.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1."/>
      <w:numFmt w:val="decimal"/>
      <w:start w:val="1"/>
    </w:lvl>
    <w:lvl w:ilvl="1">
      <w:lvlJc w:val="left"/>
      <w:lvlText w:val="(%2)"/>
      <w:numFmt w:val="lowerLetter"/>
      <w:start w:val="1"/>
    </w:lvl>
  </w:abstractNum>
  <w:abstractNum w:abstractNumId="2">
    <w:nsid w:val="3222E7CD"/>
    <w:multiLevelType w:val="hybridMultilevel"/>
    <w:lvl w:ilvl="0">
      <w:lvlJc w:val="left"/>
      <w:lvlText w:val="%1."/>
      <w:numFmt w:val="decimal"/>
      <w:start w:val="3"/>
    </w:lvl>
  </w:abstractNum>
  <w:abstractNum w:abstractNumId="3">
    <w:nsid w:val="74DE0EE3"/>
    <w:multiLevelType w:val="hybridMultilevel"/>
    <w:lvl w:ilvl="0">
      <w:lvlJc w:val="left"/>
      <w:lvlText w:val="%1"/>
      <w:numFmt w:val="decimal"/>
      <w:start w:val="1"/>
    </w:lvl>
    <w:lvl w:ilvl="1">
      <w:lvlJc w:val="left"/>
      <w:lvlText w:val="(%2)"/>
      <w:numFmt w:val="lowerLetter"/>
      <w:start w:val="1"/>
    </w:lvl>
  </w:abstractNum>
  <w:abstractNum w:abstractNumId="4">
    <w:nsid w:val="68EBC550"/>
    <w:multiLevelType w:val="hybridMultilevel"/>
    <w:lvl w:ilvl="0">
      <w:lvlJc w:val="left"/>
      <w:lvlText w:val="%1."/>
      <w:numFmt w:val="decimal"/>
      <w:start w:val="4"/>
    </w:lvl>
    <w:lvl w:ilvl="1">
      <w:lvlJc w:val="left"/>
      <w:lvlText w:val="(%2)"/>
      <w:numFmt w:val="lowerLetter"/>
      <w:start w:val="1"/>
    </w:lvl>
  </w:abstractNum>
  <w:abstractNum w:abstractNumId="5">
    <w:nsid w:val="2DF6D648"/>
    <w:multiLevelType w:val="hybridMultilevel"/>
    <w:lvl w:ilvl="0">
      <w:lvlJc w:val="left"/>
      <w:lvlText w:val="%1"/>
      <w:numFmt w:val="decimal"/>
      <w:start w:val="1"/>
    </w:lvl>
    <w:lvl w:ilvl="1">
      <w:lvlJc w:val="left"/>
      <w:lvlText w:val="(%2)"/>
      <w:numFmt w:val="lowerLetter"/>
      <w:start w:val="3"/>
    </w:lvl>
  </w:abstractNum>
  <w:abstractNum w:abstractNumId="6">
    <w:nsid w:val="46B7D447"/>
    <w:multiLevelType w:val="hybridMultilevel"/>
    <w:lvl w:ilvl="0">
      <w:lvlJc w:val="left"/>
      <w:lvlText w:val="%1."/>
      <w:numFmt w:val="decimal"/>
      <w:start w:val="5"/>
    </w:lvl>
    <w:lvl w:ilvl="1">
      <w:lvlJc w:val="left"/>
      <w:lvlText w:val="(%2)"/>
      <w:numFmt w:val="lowerLetter"/>
      <w:start w:val="1"/>
    </w:lvl>
  </w:abstractNum>
  <w:abstractNum w:abstractNumId="7">
    <w:nsid w:val="4A2AC315"/>
    <w:multiLevelType w:val="hybridMultilevel"/>
    <w:lvl w:ilvl="0">
      <w:lvlJc w:val="left"/>
      <w:lvlText w:val="%1"/>
      <w:numFmt w:val="decimal"/>
      <w:start w:val="1"/>
    </w:lvl>
    <w:lvl w:ilvl="1">
      <w:lvlJc w:val="left"/>
      <w:lvlText w:val="(%2)"/>
      <w:numFmt w:val="lowerLetter"/>
      <w:start w:val="2"/>
    </w:lvl>
  </w:abstractNum>
  <w:abstractNum w:abstractNumId="8">
    <w:nsid w:val="39EE015C"/>
    <w:multiLevelType w:val="hybridMultilevel"/>
    <w:lvl w:ilvl="0">
      <w:lvlJc w:val="left"/>
      <w:lvlText w:val="%1."/>
      <w:numFmt w:val="decimal"/>
      <w:start w:val="7"/>
    </w:lvl>
    <w:lvl w:ilvl="1">
      <w:lvlJc w:val="left"/>
      <w:lvlText w:val="(%2)"/>
      <w:numFmt w:val="lowerLetter"/>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1)"/>
      <w:numFmt w:val="decimal"/>
      <w:start w:val="1"/>
    </w:lvl>
    <w:lvl w:ilvl="1">
      <w:lvlJc w:val="left"/>
      <w:lvlText w:val="(%2)"/>
      <w:numFmt w:val="upperLetter"/>
      <w:start w:val="2"/>
    </w:lvl>
  </w:abstractNum>
  <w:abstractNum w:abstractNumId="11">
    <w:nsid w:val="43F18422"/>
    <w:multiLevelType w:val="hybridMultilevel"/>
    <w:lvl w:ilvl="0">
      <w:lvlJc w:val="left"/>
      <w:lvlText w:val="(%1)"/>
      <w:numFmt w:val="upperLetter"/>
      <w:start w:val="2"/>
    </w:lvl>
  </w:abstractNum>
  <w:abstractNum w:abstractNumId="12">
    <w:nsid w:val="60EF0119"/>
    <w:multiLevelType w:val="hybridMultilevel"/>
    <w:lvl w:ilvl="0">
      <w:lvlJc w:val="left"/>
      <w:lvlText w:val="(%1)"/>
      <w:numFmt w:val="decimal"/>
      <w:start w:val="1"/>
    </w:lvl>
  </w:abstractNum>
  <w:abstractNum w:abstractNumId="13">
    <w:nsid w:val="26F324BA"/>
    <w:multiLevelType w:val="hybridMultilevel"/>
    <w:lvl w:ilvl="0">
      <w:lvlJc w:val="left"/>
      <w:lvlText w:val="(%1)"/>
      <w:numFmt w:val="lowerLetter"/>
      <w:start w:val="1"/>
    </w:lvl>
  </w:abstractNum>
  <w:abstractNum w:abstractNumId="14">
    <w:nsid w:val="7F01579B"/>
    <w:multiLevelType w:val="hybridMultilevel"/>
    <w:lvl w:ilvl="0">
      <w:lvlJc w:val="left"/>
      <w:lvlText w:val="(%1)"/>
      <w:numFmt w:val="decimal"/>
      <w:start w:val="2"/>
    </w:lvl>
  </w:abstractNum>
  <w:abstractNum w:abstractNumId="15">
    <w:nsid w:val="49DA307D"/>
    <w:multiLevelType w:val="hybridMultilevel"/>
    <w:lvl w:ilvl="0">
      <w:lvlJc w:val="left"/>
      <w:lvlText w:val="(%1)"/>
      <w:numFmt w:val="decimal"/>
      <w:start w:val="1"/>
    </w:lvl>
  </w:abstractNum>
  <w:abstractNum w:abstractNumId="16">
    <w:nsid w:val="7055A5F5"/>
    <w:multiLevelType w:val="hybridMultilevel"/>
    <w:lvl w:ilvl="0">
      <w:lvlJc w:val="left"/>
      <w:lvlText w:val="(%1)"/>
      <w:numFmt w:val="decimal"/>
      <w:start w:val="3"/>
    </w:lvl>
  </w:abstractNum>
  <w:abstractNum w:abstractNumId="17">
    <w:nsid w:val="5FB8370B"/>
    <w:multiLevelType w:val="hybridMultilevel"/>
    <w:lvl w:ilvl="0">
      <w:lvlJc w:val="left"/>
      <w:lvlText w:val="(%1)"/>
      <w:numFmt w:val="decimal"/>
      <w:start w:val="1"/>
    </w:lvl>
  </w:abstractNum>
  <w:abstractNum w:abstractNumId="18">
    <w:nsid w:val="50801EE1"/>
    <w:multiLevelType w:val="hybridMultilevel"/>
    <w:lvl w:ilvl="0">
      <w:lvlJc w:val="left"/>
      <w:lvlText w:val="(%1)"/>
      <w:numFmt w:val="lowerRoman"/>
      <w:start w:val="1"/>
    </w:lvl>
  </w:abstractNum>
  <w:abstractNum w:abstractNumId="19">
    <w:nsid w:val="488AC1A"/>
    <w:multiLevelType w:val="hybridMultilevel"/>
    <w:lvl w:ilvl="0">
      <w:lvlJc w:val="left"/>
      <w:lvlText w:val="(%1)"/>
      <w:numFmt w:val="lowerRoman"/>
      <w:start w:val="2"/>
    </w:lvl>
  </w:abstractNum>
  <w:abstractNum w:abstractNumId="20">
    <w:nsid w:val="5FB8011C"/>
    <w:multiLevelType w:val="hybridMultilevel"/>
    <w:lvl w:ilvl="0">
      <w:lvlJc w:val="left"/>
      <w:lvlText w:val="(%1)"/>
      <w:numFmt w:val="decimal"/>
      <w:start w:val="1"/>
    </w:lvl>
  </w:abstractNum>
  <w:abstractNum w:abstractNumId="21">
    <w:nsid w:val="6AA78F7F"/>
    <w:multiLevelType w:val="hybridMultilevel"/>
    <w:lvl w:ilvl="0">
      <w:lvlJc w:val="left"/>
      <w:lvlText w:val="(%1)"/>
      <w:numFmt w:val="lowerLetter"/>
      <w:start w:val="1"/>
    </w:lvl>
    <w:lvl w:ilvl="1">
      <w:lvlJc w:val="left"/>
      <w:lvlText w:val="(%2)"/>
      <w:numFmt w:val="lowerLetter"/>
      <w:start w:val="9"/>
    </w:lvl>
  </w:abstractNum>
  <w:abstractNum w:abstractNumId="22">
    <w:nsid w:val="7672BD23"/>
    <w:multiLevelType w:val="hybridMultilevel"/>
    <w:lvl w:ilvl="0">
      <w:lvlJc w:val="left"/>
      <w:lvlText w:val="(%1)"/>
      <w:numFmt w:val="lowerRoman"/>
      <w:start w:val="2"/>
    </w:lvl>
  </w:abstractNum>
  <w:abstractNum w:abstractNumId="23">
    <w:nsid w:val="6FC75AF8"/>
    <w:multiLevelType w:val="hybridMultilevel"/>
    <w:lvl w:ilvl="0">
      <w:lvlJc w:val="left"/>
      <w:lvlText w:val="(%1)"/>
      <w:numFmt w:val="lowerLetter"/>
      <w:start w:val="2"/>
    </w:lvl>
  </w:abstractNum>
  <w:abstractNum w:abstractNumId="24">
    <w:nsid w:val="6A5F7029"/>
    <w:multiLevelType w:val="hybridMultilevel"/>
    <w:lvl w:ilvl="0">
      <w:lvlJc w:val="left"/>
      <w:lvlText w:val="(%1)"/>
      <w:numFmt w:val="lowerLetter"/>
      <w:start w:val="2"/>
    </w:lvl>
  </w:abstractNum>
  <w:abstractNum w:abstractNumId="25">
    <w:nsid w:val="7D5E18F8"/>
    <w:multiLevelType w:val="hybridMultilevel"/>
    <w:lvl w:ilvl="0">
      <w:lvlJc w:val="left"/>
      <w:lvlText w:val="(%1)"/>
      <w:numFmt w:val="lowerRoman"/>
      <w:start w:val="1"/>
    </w:lvl>
  </w:abstractNum>
  <w:abstractNum w:abstractNumId="26">
    <w:nsid w:val="5F3534A4"/>
    <w:multiLevelType w:val="hybridMultilevel"/>
    <w:lvl w:ilvl="0">
      <w:lvlJc w:val="left"/>
      <w:lvlText w:val="(%1)"/>
      <w:numFmt w:val="decimal"/>
      <w:start w:val="1"/>
    </w:lvl>
  </w:abstractNum>
  <w:abstractNum w:abstractNumId="27">
    <w:nsid w:val="73A1821B"/>
    <w:multiLevelType w:val="hybridMultilevel"/>
    <w:lvl w:ilvl="0">
      <w:lvlJc w:val="left"/>
      <w:lvlText w:val="(%1)"/>
      <w:numFmt w:val="lowerLetter"/>
      <w:start w:val="1"/>
    </w:lvl>
  </w:abstractNum>
  <w:abstractNum w:abstractNumId="28">
    <w:nsid w:val="7DE67713"/>
    <w:multiLevelType w:val="hybridMultilevel"/>
    <w:lvl w:ilvl="0">
      <w:lvlJc w:val="left"/>
      <w:lvlText w:val="(%1)"/>
      <w:numFmt w:val="lowerRoman"/>
      <w:start w:val="4"/>
    </w:lvl>
  </w:abstractNum>
  <w:abstractNum w:abstractNumId="29">
    <w:nsid w:val="555C55B5"/>
    <w:multiLevelType w:val="hybridMultilevel"/>
    <w:lvl w:ilvl="0">
      <w:lvlJc w:val="left"/>
      <w:lvlText w:val="(%1)"/>
      <w:numFmt w:val="lowerRoman"/>
      <w:start w:val="2"/>
    </w:lvl>
  </w:abstractNum>
  <w:abstractNum w:abstractNumId="30">
    <w:nsid w:val="3FA62ACA"/>
    <w:multiLevelType w:val="hybridMultilevel"/>
    <w:lvl w:ilvl="0">
      <w:lvlJc w:val="left"/>
      <w:lvlText w:val="(%1)"/>
      <w:numFmt w:val="lowerLetter"/>
      <w:start w:val="1"/>
    </w:lvl>
    <w:lvl w:ilvl="1">
      <w:lvlJc w:val="left"/>
      <w:lvlText w:val="(%2)"/>
      <w:numFmt w:val="lowerRoman"/>
      <w:start w:val="2"/>
    </w:lvl>
  </w:abstractNum>
  <w:abstractNum w:abstractNumId="31">
    <w:nsid w:val="14FCE74E"/>
    <w:multiLevelType w:val="hybridMultilevel"/>
    <w:lvl w:ilvl="0">
      <w:lvlJc w:val="left"/>
      <w:lvlText w:val="%1"/>
      <w:numFmt w:val="lowerLetter"/>
      <w:start w:val="1"/>
    </w:lvl>
    <w:lvl w:ilvl="1">
      <w:lvlJc w:val="left"/>
      <w:lvlText w:val="(%2)"/>
      <w:numFmt w:val="lowerRoman"/>
      <w:start w:val="4"/>
    </w:lvl>
  </w:abstractNum>
  <w:abstractNum w:abstractNumId="32">
    <w:nsid w:val="6A3DD3E8"/>
    <w:multiLevelType w:val="hybridMultilevel"/>
    <w:lvl w:ilvl="0">
      <w:lvlJc w:val="left"/>
      <w:lvlText w:val="(%1)"/>
      <w:numFmt w:val="lowerLetter"/>
      <w:start w:val="3"/>
    </w:lvl>
    <w:lvl w:ilvl="1">
      <w:lvlJc w:val="left"/>
      <w:lvlText w:val="%2"/>
      <w:numFmt w:val="lowerRoman"/>
      <w:start w:val="1"/>
    </w:lvl>
  </w:abstractNum>
  <w:abstractNum w:abstractNumId="33">
    <w:nsid w:val="71C91298"/>
    <w:multiLevelType w:val="hybridMultilevel"/>
    <w:lvl w:ilvl="0">
      <w:lvlJc w:val="left"/>
      <w:lvlText w:val="(%1)"/>
      <w:numFmt w:val="lowerLetter"/>
      <w:start w:val="1"/>
    </w:lvl>
  </w:abstractNum>
  <w:abstractNum w:abstractNumId="34">
    <w:nsid w:val="9DAF632"/>
    <w:multiLevelType w:val="hybridMultilevel"/>
    <w:lvl w:ilvl="0">
      <w:lvlJc w:val="left"/>
      <w:lvlText w:val="(%1)"/>
      <w:numFmt w:val="lowerLetter"/>
      <w:start w:val="1"/>
    </w:lvl>
  </w:abstractNum>
  <w:abstractNum w:abstractNumId="35">
    <w:nsid w:val="53299938"/>
    <w:multiLevelType w:val="hybridMultilevel"/>
    <w:lvl w:ilvl="0">
      <w:lvlJc w:val="left"/>
      <w:lvlText w:val="(%1)"/>
      <w:numFmt w:val="lowerLetter"/>
      <w:start w:val="1"/>
    </w:lvl>
  </w:abstractNum>
  <w:abstractNum w:abstractNumId="36">
    <w:nsid w:val="1FBFE8E0"/>
    <w:multiLevelType w:val="hybridMultilevel"/>
    <w:lvl w:ilvl="0">
      <w:lvlJc w:val="left"/>
      <w:lvlText w:val="(%1)"/>
      <w:numFmt w:val="lowerLetter"/>
      <w:start w:val="2"/>
    </w:lvl>
  </w:abstractNum>
  <w:abstractNum w:abstractNumId="37">
    <w:nsid w:val="5092CA79"/>
    <w:multiLevelType w:val="hybridMultilevel"/>
    <w:lvl w:ilvl="0">
      <w:lvlJc w:val="left"/>
      <w:lvlText w:val="(%1)"/>
      <w:numFmt w:val="lowerLetter"/>
      <w:start w:val="1"/>
    </w:lvl>
  </w:abstractNum>
  <w:abstractNum w:abstractNumId="38">
    <w:nsid w:val="1D545C4D"/>
    <w:multiLevelType w:val="hybridMultilevel"/>
    <w:lvl w:ilvl="0">
      <w:lvlJc w:val="left"/>
      <w:lvlText w:val="(%1)"/>
      <w:numFmt w:val="lowerLetter"/>
      <w:start w:val="2"/>
    </w:lvl>
  </w:abstractNum>
  <w:abstractNum w:abstractNumId="39">
    <w:nsid w:val="59ADEA3D"/>
    <w:multiLevelType w:val="hybridMultilevel"/>
    <w:lvl w:ilvl="0">
      <w:lvlJc w:val="left"/>
      <w:lvlText w:val="(%1)"/>
      <w:numFmt w:val="lowerLetter"/>
      <w:start w:val="1"/>
    </w:lvl>
  </w:abstractNum>
  <w:abstractNum w:abstractNumId="40">
    <w:nsid w:val="288F1A34"/>
    <w:multiLevelType w:val="hybridMultilevel"/>
    <w:lvl w:ilvl="0">
      <w:lvlJc w:val="left"/>
      <w:lvlText w:val="(%1)"/>
      <w:numFmt w:val="lowerLetter"/>
      <w:start w:val="1"/>
    </w:lvl>
    <w:lvl w:ilvl="1">
      <w:lvlJc w:val="left"/>
      <w:lvlText w:val="(%2)"/>
      <w:numFmt w:val="lowerRoman"/>
      <w:start w:val="1"/>
    </w:lvl>
  </w:abstractNum>
  <w:abstractNum w:abstractNumId="41">
    <w:nsid w:val="2A155DBC"/>
    <w:multiLevelType w:val="hybridMultilevel"/>
    <w:lvl w:ilvl="0">
      <w:lvlJc w:val="left"/>
      <w:lvlText w:val="(%1)"/>
      <w:numFmt w:val="lowerRoman"/>
      <w:start w:val="4"/>
    </w:lvl>
  </w:abstractNum>
  <w:abstractNum w:abstractNumId="42">
    <w:nsid w:val="1D9F6E5F"/>
    <w:multiLevelType w:val="hybridMultilevel"/>
    <w:lvl w:ilvl="0">
      <w:lvlJc w:val="left"/>
      <w:lvlText w:val="(%1)"/>
      <w:numFmt w:val="lowerLetter"/>
      <w:start w:val="1"/>
    </w:lvl>
  </w:abstractNum>
  <w:abstractNum w:abstractNumId="43">
    <w:nsid w:val="97E1B4E"/>
    <w:multiLevelType w:val="hybridMultilevel"/>
    <w:lvl w:ilvl="0">
      <w:lvlJc w:val="left"/>
      <w:lvlText w:val="(%1)"/>
      <w:numFmt w:val="lowerLetter"/>
      <w:start w:val="2"/>
    </w:lvl>
  </w:abstractNum>
  <w:abstractNum w:abstractNumId="44">
    <w:nsid w:val="51088277"/>
    <w:multiLevelType w:val="hybridMultilevel"/>
    <w:lvl w:ilvl="0">
      <w:lvlJc w:val="left"/>
      <w:lvlText w:val="(%1)"/>
      <w:numFmt w:val="lowerLetter"/>
      <w:start w:val="5"/>
    </w:lvl>
  </w:abstractNum>
  <w:abstractNum w:abstractNumId="45">
    <w:nsid w:val="1CA0C5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
    <w:nsid w:val="53584BCB"/>
    <w:multiLevelType w:val="hybridMultilevel"/>
    <w:lvl w:ilvl="0">
      <w:lvlJc w:val="left"/>
      <w:lvlText w:val="(%1)"/>
      <w:numFmt w:val="lowerRoman"/>
      <w:start w:val="3"/>
    </w:lvl>
    <w:lvl w:ilvl="1">
      <w:lvlJc w:val="left"/>
      <w:lvlText w:val="(%2)"/>
      <w:numFmt w:val="upperLetter"/>
      <w:start w:val="1"/>
    </w:lvl>
  </w:abstractNum>
  <w:abstractNum w:abstractNumId="47">
    <w:nsid w:val="415E286C"/>
    <w:multiLevelType w:val="hybridMultilevel"/>
    <w:lvl w:ilvl="0">
      <w:lvlJc w:val="left"/>
      <w:lvlText w:val="(%1)"/>
      <w:numFmt w:val="lowerLetter"/>
      <w:start w:val="2"/>
    </w:lvl>
    <w:lvl w:ilvl="1">
      <w:lvlJc w:val="left"/>
      <w:lvlText w:val="(%2)"/>
      <w:numFmt w:val="lowerRoman"/>
      <w:start w:val="1"/>
    </w:lvl>
  </w:abstractNum>
  <w:abstractNum w:abstractNumId="48">
    <w:nsid w:val="7C58FD05"/>
    <w:multiLevelType w:val="hybridMultilevel"/>
    <w:lvl w:ilvl="0">
      <w:lvlJc w:val="left"/>
      <w:lvlText w:val="%1"/>
      <w:numFmt w:val="lowerLetter"/>
      <w:start w:val="1"/>
    </w:lvl>
    <w:lvl w:ilvl="1">
      <w:lvlJc w:val="left"/>
      <w:lvlText w:val="(%2)"/>
      <w:numFmt w:val="lowerRoman"/>
      <w:start w:val="3"/>
    </w:lvl>
  </w:abstractNum>
  <w:abstractNum w:abstractNumId="49">
    <w:nsid w:val="23D86AAC"/>
    <w:multiLevelType w:val="hybridMultilevel"/>
    <w:lvl w:ilvl="0">
      <w:lvlJc w:val="left"/>
      <w:lvlText w:val="(%1)"/>
      <w:numFmt w:val="lowerLetter"/>
      <w:start w:val="3"/>
    </w:lvl>
    <w:lvl w:ilvl="1">
      <w:lvlJc w:val="left"/>
      <w:lvlText w:val="(%2)"/>
      <w:numFmt w:val="lowerRoman"/>
      <w:start w:val="1"/>
    </w:lvl>
  </w:abstractNum>
  <w:abstractNum w:abstractNumId="50">
    <w:nsid w:val="45E6D486"/>
    <w:multiLevelType w:val="hybridMultilevel"/>
    <w:lvl w:ilvl="0">
      <w:lvlJc w:val="left"/>
      <w:lvlText w:val="(%1)"/>
      <w:numFmt w:val="lowerRoman"/>
      <w:start w:val="2"/>
    </w:lvl>
  </w:abstractNum>
  <w:abstractNum w:abstractNumId="51">
    <w:nsid w:val="5C10FE21"/>
    <w:multiLevelType w:val="hybridMultilevel"/>
    <w:lvl w:ilvl="0">
      <w:lvlJc w:val="left"/>
      <w:lvlText w:val="%1"/>
      <w:numFmt w:val="lowerLetter"/>
      <w:start w:val="1"/>
    </w:lvl>
    <w:lvl w:ilvl="1">
      <w:lvlJc w:val="left"/>
      <w:lvlText w:val="(%2)"/>
      <w:numFmt w:val="lowerRoman"/>
      <w:start w:val="6"/>
    </w:lvl>
  </w:abstractNum>
  <w:abstractNum w:abstractNumId="52">
    <w:nsid w:val="E7FFA2B"/>
    <w:multiLevelType w:val="hybridMultilevel"/>
    <w:lvl w:ilvl="0">
      <w:lvlJc w:val="left"/>
      <w:lvlText w:val="(%1)"/>
      <w:numFmt w:val="lowerLetter"/>
      <w:start w:val="4"/>
    </w:lvl>
    <w:lvl w:ilvl="1">
      <w:lvlJc w:val="left"/>
      <w:lvlText w:val="(%2)"/>
      <w:numFmt w:val="lowerRoman"/>
      <w:start w:val="1"/>
    </w:lvl>
  </w:abstractNum>
  <w:abstractNum w:abstractNumId="53">
    <w:nsid w:val="3C5991AA"/>
    <w:multiLevelType w:val="hybridMultilevel"/>
    <w:lvl w:ilvl="0">
      <w:lvlJc w:val="left"/>
      <w:lvlText w:val="(%1)"/>
      <w:numFmt w:val="lowerRoman"/>
      <w:start w:val="1"/>
    </w:lvl>
  </w:abstractNum>
  <w:abstractNum w:abstractNumId="54">
    <w:nsid w:val="4BD8591A"/>
    <w:multiLevelType w:val="hybridMultilevel"/>
    <w:lvl w:ilvl="0">
      <w:lvlJc w:val="left"/>
      <w:lvlText w:val="(%1)"/>
      <w:numFmt w:val="lowerLetter"/>
      <w:start w:val="6"/>
    </w:lvl>
  </w:abstractNum>
  <w:abstractNum w:abstractNumId="55">
    <w:nsid w:val="78DF6A55"/>
    <w:multiLevelType w:val="hybridMultilevel"/>
    <w:lvl w:ilvl="0">
      <w:lvlJc w:val="left"/>
      <w:lvlText w:val="(%1)"/>
      <w:numFmt w:val="lowerLetter"/>
      <w:start w:val="8"/>
    </w:lvl>
  </w:abstractNum>
  <w:abstractNum w:abstractNumId="56">
    <w:nsid w:val="39B7AAA2"/>
    <w:multiLevelType w:val="hybridMultilevel"/>
    <w:lvl w:ilvl="0">
      <w:lvlJc w:val="left"/>
      <w:lvlText w:val="%1"/>
      <w:numFmt w:val="lowerLetter"/>
      <w:start w:val="1"/>
    </w:lvl>
    <w:lvl w:ilvl="1">
      <w:lvlJc w:val="left"/>
      <w:lvlText w:val="(%2)"/>
      <w:numFmt w:val="lowerLetter"/>
      <w:start w:val="1"/>
    </w:lvl>
  </w:abstractNum>
  <w:abstractNum w:abstractNumId="57">
    <w:nsid w:val="2B0D8DBE"/>
    <w:multiLevelType w:val="hybridMultilevel"/>
    <w:lvl w:ilvl="0">
      <w:lvlJc w:val="left"/>
      <w:lvlText w:val="(%1)"/>
      <w:numFmt w:val="lowerLetter"/>
      <w:start w:val="61"/>
    </w:lvl>
    <w:lvl w:ilvl="1">
      <w:lvlJc w:val="left"/>
      <w:lvlText w:val="(%2)"/>
      <w:numFmt w:val="lowerLetter"/>
      <w:start w:val="2"/>
    </w:lvl>
  </w:abstractNum>
  <w:abstractNum w:abstractNumId="58">
    <w:nsid w:val="6C80EC70"/>
    <w:multiLevelType w:val="hybridMultilevel"/>
    <w:lvl w:ilvl="0">
      <w:lvlJc w:val="left"/>
      <w:lvlText w:val="(%1)"/>
      <w:numFmt w:val="lowerLetter"/>
      <w:start w:val="3"/>
    </w:lvl>
    <w:lvl w:ilvl="1">
      <w:lvlJc w:val="left"/>
      <w:lvlText w:val="(%2)"/>
      <w:numFmt w:val="lowerRoman"/>
      <w:start w:val="1"/>
    </w:lvl>
  </w:abstractNum>
  <w:abstractNum w:abstractNumId="59">
    <w:nsid w:val="379E21B5"/>
    <w:multiLevelType w:val="hybridMultilevel"/>
    <w:lvl w:ilvl="0">
      <w:lvlJc w:val="left"/>
      <w:lvlText w:val="(%1)"/>
      <w:numFmt w:val="lowerLetter"/>
      <w:start w:val="4"/>
    </w:lvl>
    <w:lvl w:ilvl="1">
      <w:lvlJc w:val="left"/>
      <w:lvlText w:val="(%2)"/>
      <w:numFmt w:val="lowerRoman"/>
      <w:start w:val="1"/>
    </w:lvl>
  </w:abstractNum>
  <w:abstractNum w:abstractNumId="60">
    <w:nsid w:val="69E373"/>
    <w:multiLevelType w:val="hybridMultilevel"/>
    <w:lvl w:ilvl="0">
      <w:lvlJc w:val="left"/>
      <w:lvlText w:val="(%1)"/>
      <w:numFmt w:val="lowerLetter"/>
      <w:start w:val="1"/>
    </w:lvl>
    <w:lvl w:ilvl="1">
      <w:lvlJc w:val="left"/>
      <w:lvlText w:val="(%2)"/>
      <w:numFmt w:val="lowerLetter"/>
      <w:start w:val="9"/>
    </w:lvl>
  </w:abstractNum>
  <w:abstractNum w:abstractNumId="61">
    <w:nsid w:val="2C27173B"/>
    <w:multiLevelType w:val="hybridMultilevel"/>
    <w:lvl w:ilvl="0">
      <w:lvlJc w:val="left"/>
      <w:lvlText w:val="%1"/>
      <w:numFmt w:val="lowerRoman"/>
      <w:start w:val="1"/>
    </w:lvl>
    <w:lvl w:ilvl="1">
      <w:lvlJc w:val="left"/>
      <w:lvlText w:val="(%2)"/>
      <w:numFmt w:val="lowerRoman"/>
      <w:start w:val="2"/>
    </w:lvl>
  </w:abstractNum>
  <w:abstractNum w:abstractNumId="62">
    <w:nsid w:val="4C9B0904"/>
    <w:multiLevelType w:val="hybridMultilevel"/>
    <w:lvl w:ilvl="0">
      <w:lvlJc w:val="left"/>
      <w:lvlText w:val="(%1)"/>
      <w:numFmt w:val="lowerRoman"/>
      <w:start w:val="1"/>
    </w:lvl>
    <w:lvl w:ilvl="1">
      <w:lvlJc w:val="left"/>
      <w:lvlText w:val="%2"/>
      <w:numFmt w:val="lowerRoman"/>
      <w:start w:val="1"/>
    </w:lvl>
  </w:abstractNum>
  <w:abstractNum w:abstractNumId="63">
    <w:nsid w:val="6AA7B75C"/>
    <w:multiLevelType w:val="hybridMultilevel"/>
    <w:lvl w:ilvl="0">
      <w:lvlJc w:val="left"/>
      <w:lvlText w:val="(%1)"/>
      <w:numFmt w:val="lowerLetter"/>
      <w:start w:val="2"/>
    </w:lvl>
    <w:lvl w:ilvl="1">
      <w:lvlJc w:val="left"/>
      <w:lvlText w:val="(%2)"/>
      <w:numFmt w:val="lowerRoman"/>
      <w:start w:val="1"/>
    </w:lvl>
  </w:abstractNum>
  <w:abstractNum w:abstractNumId="64">
    <w:nsid w:val="1DF029D3"/>
    <w:multiLevelType w:val="hybridMultilevel"/>
    <w:lvl w:ilvl="0">
      <w:lvlJc w:val="left"/>
      <w:lvlText w:val="(%1)"/>
      <w:numFmt w:val="lowerLetter"/>
      <w:start w:val="1"/>
    </w:lvl>
  </w:abstractNum>
  <w:abstractNum w:abstractNumId="65">
    <w:nsid w:val="5675FF36"/>
    <w:multiLevelType w:val="hybridMultilevel"/>
    <w:lvl w:ilvl="0">
      <w:lvlJc w:val="left"/>
      <w:lvlText w:val="(%1)"/>
      <w:numFmt w:val="lowerLetter"/>
      <w:start w:val="1"/>
    </w:lvl>
    <w:lvl w:ilvl="1">
      <w:lvlJc w:val="left"/>
      <w:lvlText w:val="(%2)"/>
      <w:numFmt w:val="lowerRoman"/>
      <w:start w:val="2"/>
    </w:lvl>
  </w:abstractNum>
  <w:abstractNum w:abstractNumId="66">
    <w:nsid w:val="3DD15094"/>
    <w:multiLevelType w:val="hybridMultilevel"/>
    <w:lvl w:ilvl="0">
      <w:lvlJc w:val="left"/>
      <w:lvlText w:val="(%1)"/>
      <w:numFmt w:val="lowerLetter"/>
      <w:start w:val="1"/>
    </w:lvl>
  </w:abstractNum>
  <w:abstractNum w:abstractNumId="67">
    <w:nsid w:val="3DB012B3"/>
    <w:multiLevelType w:val="hybridMultilevel"/>
    <w:lvl w:ilvl="0">
      <w:lvlJc w:val="left"/>
      <w:lvlText w:val="(%1)"/>
      <w:numFmt w:val="lowerLetter"/>
      <w:start w:val="2"/>
    </w:lvl>
    <w:lvl w:ilvl="1">
      <w:lvlJc w:val="left"/>
      <w:lvlText w:val="(%2)"/>
      <w:numFmt w:val="lowerRoman"/>
      <w:start w:val="1"/>
    </w:lvl>
  </w:abstractNum>
  <w:abstractNum w:abstractNumId="68">
    <w:nsid w:val="2708C9AF"/>
    <w:multiLevelType w:val="hybridMultilevel"/>
    <w:lvl w:ilvl="0">
      <w:lvlJc w:val="left"/>
      <w:lvlText w:val="(%1)"/>
      <w:numFmt w:val="lowerLetter"/>
      <w:start w:val="1"/>
    </w:lvl>
  </w:abstractNum>
  <w:abstractNum w:abstractNumId="69">
    <w:nsid w:val="5B25ACE2"/>
    <w:multiLevelType w:val="hybridMultilevel"/>
    <w:lvl w:ilvl="0">
      <w:lvlJc w:val="left"/>
      <w:lvlText w:val="(%1)"/>
      <w:numFmt w:val="lowerLetter"/>
      <w:start w:val="2"/>
    </w:lvl>
  </w:abstractNum>
  <w:abstractNum w:abstractNumId="70">
    <w:nsid w:val="175DFCF0"/>
    <w:multiLevelType w:val="hybridMultilevel"/>
    <w:lvl w:ilvl="0">
      <w:lvlJc w:val="left"/>
      <w:lvlText w:val="(%1)"/>
      <w:numFmt w:val="lowerLetter"/>
      <w:start w:val="1"/>
    </w:lvl>
  </w:abstractNum>
  <w:abstractNum w:abstractNumId="71">
    <w:nsid w:val="4F97E3E4"/>
    <w:multiLevelType w:val="hybridMultilevel"/>
    <w:lvl w:ilvl="0">
      <w:lvlJc w:val="left"/>
      <w:lvlText w:val="(%1)"/>
      <w:numFmt w:val="upperLetter"/>
      <w:start w:val="2"/>
    </w:lvl>
    <w:lvl w:ilvl="1">
      <w:lvlJc w:val="left"/>
      <w:lvlText w:val="(%2)"/>
      <w:numFmt w:val="lowerRoman"/>
      <w:start w:val="2"/>
    </w:lvl>
  </w:abstractNum>
  <w:abstractNum w:abstractNumId="72">
    <w:nsid w:val="53B0A9E"/>
    <w:multiLevelType w:val="hybridMultilevel"/>
    <w:lvl w:ilvl="0">
      <w:lvlJc w:val="left"/>
      <w:lvlText w:val="(%1)"/>
      <w:numFmt w:val="lowerLetter"/>
      <w:start w:val="3"/>
    </w:lvl>
  </w:abstractNum>
  <w:abstractNum w:abstractNumId="73">
    <w:nsid w:val="34FD6B4F"/>
    <w:multiLevelType w:val="hybridMultilevel"/>
    <w:lvl w:ilvl="0">
      <w:lvlJc w:val="left"/>
      <w:lvlText w:val="(%1)"/>
      <w:numFmt w:val="lowerRoman"/>
      <w:start w:val="1"/>
    </w:lvl>
  </w:abstractNum>
  <w:abstractNum w:abstractNumId="74">
    <w:nsid w:val="5915FF32"/>
    <w:multiLevelType w:val="hybridMultilevel"/>
    <w:lvl w:ilvl="0">
      <w:lvlJc w:val="left"/>
      <w:lvlText w:val="(%1)"/>
      <w:numFmt w:val="lowerLetter"/>
      <w:start w:val="1"/>
    </w:lvl>
  </w:abstractNum>
  <w:abstractNum w:abstractNumId="75">
    <w:nsid w:val="56438D15"/>
    <w:multiLevelType w:val="hybridMultilevel"/>
    <w:lvl w:ilvl="0">
      <w:lvlJc w:val="left"/>
      <w:lvlText w:val="(%1)"/>
      <w:numFmt w:val="lowerLetter"/>
      <w:start w:val="3"/>
    </w:lvl>
  </w:abstractNum>
  <w:abstractNum w:abstractNumId="76">
    <w:nsid w:val="519E3149"/>
    <w:multiLevelType w:val="hybridMultilevel"/>
    <w:lvl w:ilvl="0">
      <w:lvlJc w:val="left"/>
      <w:lvlText w:val="(%1)"/>
      <w:numFmt w:val="lowerLetter"/>
      <w:start w:val="1"/>
    </w:lvl>
  </w:abstractNum>
  <w:abstractNum w:abstractNumId="77">
    <w:nsid w:val="2C6E4AFD"/>
    <w:multiLevelType w:val="hybridMultilevel"/>
    <w:lvl w:ilvl="0">
      <w:lvlJc w:val="left"/>
      <w:lvlText w:val="(%1)"/>
      <w:numFmt w:val="lowerLetter"/>
      <w:start w:val="61"/>
    </w:lvl>
    <w:lvl w:ilvl="1">
      <w:lvlJc w:val="left"/>
      <w:lvlText w:val="(%2)"/>
      <w:numFmt w:val="lowerLetter"/>
      <w:start w:val="2"/>
    </w:lvl>
  </w:abstractNum>
  <w:abstractNum w:abstractNumId="78">
    <w:nsid w:val="17A1B582"/>
    <w:multiLevelType w:val="hybridMultilevel"/>
    <w:lvl w:ilvl="0">
      <w:lvlJc w:val="left"/>
      <w:lvlText w:val="(%1)"/>
      <w:numFmt w:val="lowerLetter"/>
      <w:start w:val="1"/>
    </w:lvl>
  </w:abstractNum>
  <w:abstractNum w:abstractNumId="79">
    <w:nsid w:val="4DF72E4E"/>
    <w:multiLevelType w:val="hybridMultilevel"/>
    <w:lvl w:ilvl="0">
      <w:lvlJc w:val="left"/>
      <w:lvlText w:val="(%1)"/>
      <w:numFmt w:val="lowerRoman"/>
      <w:start w:val="1"/>
    </w:lvl>
    <w:lvl w:ilvl="1">
      <w:lvlJc w:val="left"/>
      <w:lvlText w:val="(%2)"/>
      <w:numFmt w:val="upperLetter"/>
      <w:start w:val="1"/>
    </w:lvl>
  </w:abstractNum>
  <w:abstractNum w:abstractNumId="80">
    <w:nsid w:val="5046B5A9"/>
    <w:multiLevelType w:val="hybridMultilevel"/>
    <w:lvl w:ilvl="0">
      <w:lvlJc w:val="left"/>
      <w:lvlText w:val="%1"/>
      <w:numFmt w:val="lowerLetter"/>
      <w:start w:val="1"/>
    </w:lvl>
    <w:lvl w:ilvl="1">
      <w:lvlJc w:val="left"/>
      <w:lvlText w:val="(%2)"/>
      <w:numFmt w:val="upperLetter"/>
      <w:start w:val="2"/>
    </w:lvl>
  </w:abstractNum>
  <w:abstractNum w:abstractNumId="81">
    <w:nsid w:val="5D888A08"/>
    <w:multiLevelType w:val="hybridMultilevel"/>
    <w:lvl w:ilvl="0">
      <w:lvlJc w:val="left"/>
      <w:lvlText w:val="(%1)"/>
      <w:numFmt w:val="lowerLetter"/>
      <w:start w:val="2"/>
    </w:lvl>
    <w:lvl w:ilvl="1">
      <w:lvlJc w:val="left"/>
      <w:lvlText w:val="%2"/>
      <w:numFmt w:val="upperLetter"/>
      <w:start w:val="1"/>
    </w:lvl>
  </w:abstractNum>
  <w:abstractNum w:abstractNumId="82">
    <w:nsid w:val="2A082C70"/>
    <w:multiLevelType w:val="hybridMultilevel"/>
    <w:lvl w:ilvl="0">
      <w:lvlJc w:val="left"/>
      <w:lvlText w:val="(%1)"/>
      <w:numFmt w:val="lowerLetter"/>
      <w:start w:val="1"/>
    </w:lvl>
  </w:abstractNum>
  <w:abstractNum w:abstractNumId="83">
    <w:nsid w:val="5EC6AFD4"/>
    <w:multiLevelType w:val="hybridMultilevel"/>
    <w:lvl w:ilvl="0">
      <w:lvlJc w:val="left"/>
      <w:lvlText w:val="(%1)"/>
      <w:numFmt w:val="lowerLetter"/>
      <w:start w:val="6"/>
    </w:lvl>
    <w:lvl w:ilvl="1">
      <w:lvlJc w:val="left"/>
      <w:lvlText w:val="(%2)"/>
      <w:numFmt w:val="lowerRoman"/>
      <w:start w:val="1"/>
    </w:lvl>
  </w:abstractNum>
  <w:abstractNum w:abstractNumId="84">
    <w:nsid w:val="19E21BB2"/>
    <w:multiLevelType w:val="hybridMultilevel"/>
    <w:lvl w:ilvl="0">
      <w:lvlJc w:val="left"/>
      <w:lvlText w:val="(%1)"/>
      <w:numFmt w:val="lowerLetter"/>
      <w:start w:val="1"/>
    </w:lvl>
    <w:lvl w:ilvl="1">
      <w:lvlJc w:val="left"/>
      <w:lvlText w:val="(%2)"/>
      <w:numFmt w:val="lowerRoman"/>
      <w:start w:val="1"/>
    </w:lvl>
  </w:abstractNum>
  <w:abstractNum w:abstractNumId="85">
    <w:nsid w:val="75E0858A"/>
    <w:multiLevelType w:val="hybridMultilevel"/>
    <w:lvl w:ilvl="0">
      <w:lvlJc w:val="left"/>
      <w:lvlText w:val="%1"/>
      <w:numFmt w:val="lowerLetter"/>
      <w:start w:val="1"/>
    </w:lvl>
    <w:lvl w:ilvl="1">
      <w:lvlJc w:val="left"/>
      <w:lvlText w:val="(%2)"/>
      <w:numFmt w:val="lowerLetter"/>
      <w:start w:val="61"/>
    </w:lvl>
  </w:abstractNum>
  <w:abstractNum w:abstractNumId="86">
    <w:nsid w:val="57A61A29"/>
    <w:multiLevelType w:val="hybridMultilevel"/>
    <w:lvl w:ilvl="0">
      <w:lvlJc w:val="left"/>
      <w:lvlText w:val="(%1)"/>
      <w:numFmt w:val="lowerLetter"/>
      <w:start w:val="2"/>
    </w:lvl>
    <w:lvl w:ilvl="1">
      <w:lvlJc w:val="left"/>
      <w:lvlText w:val="(%2)"/>
      <w:numFmt w:val="lowerLetter"/>
      <w:start w:val="35"/>
    </w:lvl>
  </w:abstractNum>
  <w:abstractNum w:abstractNumId="87">
    <w:nsid w:val="5399C65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8">
    <w:nsid w:val="20EE1348"/>
    <w:multiLevelType w:val="hybridMultilevel"/>
    <w:lvl w:ilvl="0">
      <w:lvlJc w:val="left"/>
      <w:lvlText w:val="(%1)"/>
      <w:numFmt w:val="upperLetter"/>
      <w:start w:val="2"/>
    </w:lvl>
    <w:lvl w:ilvl="1">
      <w:lvlJc w:val="left"/>
      <w:lvlText w:val="(%2)"/>
      <w:numFmt w:val="decimal"/>
      <w:start w:val="1"/>
    </w:lvl>
  </w:abstractNum>
  <w:abstractNum w:abstractNumId="89">
    <w:nsid w:val="4427069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90">
    <w:nsid w:val="B37E80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91">
    <w:nsid w:val="2157F6BC"/>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92">
    <w:nsid w:val="704E1DD5"/>
    <w:multiLevelType w:val="hybridMultilevel"/>
    <w:lvl w:ilvl="0">
      <w:lvlJc w:val="left"/>
      <w:lvlText w:val="(%1)"/>
      <w:numFmt w:val="lowerLetter"/>
      <w:start w:val="7"/>
    </w:lvl>
  </w:abstractNum>
  <w:abstractNum w:abstractNumId="93">
    <w:nsid w:val="57D2F10E"/>
    <w:multiLevelType w:val="hybridMultilevel"/>
    <w:lvl w:ilvl="0">
      <w:lvlJc w:val="left"/>
      <w:lvlText w:val="(%1)"/>
      <w:numFmt w:val="lowerLetter"/>
      <w:start w:val="1"/>
    </w:lvl>
    <w:lvl w:ilvl="1">
      <w:lvlJc w:val="left"/>
      <w:lvlText w:val="(%2)"/>
      <w:numFmt w:val="lowerRoman"/>
      <w:start w:val="1"/>
    </w:lvl>
  </w:abstractNum>
  <w:abstractNum w:abstractNumId="94">
    <w:nsid w:val="BFFAE18"/>
    <w:multiLevelType w:val="hybridMultilevel"/>
    <w:lvl w:ilvl="0">
      <w:lvlJc w:val="left"/>
      <w:lvlText w:val="(%1)"/>
      <w:numFmt w:val="lowerLetter"/>
      <w:start w:val="2"/>
    </w:lvl>
  </w:abstractNum>
  <w:abstractNum w:abstractNumId="95">
    <w:nsid w:val="E3E47A8"/>
    <w:multiLevelType w:val="hybridMultilevel"/>
    <w:lvl w:ilvl="0">
      <w:lvlJc w:val="left"/>
      <w:lvlText w:val="(%1)"/>
      <w:numFmt w:val="lowerLetter"/>
      <w:start w:val="1"/>
    </w:lvl>
    <w:lvl w:ilvl="1">
      <w:lvlJc w:val="left"/>
      <w:lvlText w:val="(%2)"/>
      <w:numFmt w:val="lowerRoman"/>
      <w:start w:val="1"/>
    </w:lvl>
  </w:abstractNum>
  <w:abstractNum w:abstractNumId="96">
    <w:nsid w:val="2E48F044"/>
    <w:multiLevelType w:val="hybridMultilevel"/>
    <w:lvl w:ilvl="0">
      <w:lvlJc w:val="left"/>
      <w:lvlText w:val="(%1)"/>
      <w:numFmt w:val="lowerLetter"/>
      <w:start w:val="2"/>
    </w:lvl>
  </w:abstractNum>
  <w:abstractNum w:abstractNumId="97">
    <w:nsid w:val="49D0FEAC"/>
    <w:multiLevelType w:val="hybridMultilevel"/>
    <w:lvl w:ilvl="0">
      <w:lvlJc w:val="left"/>
      <w:lvlText w:val="(%1)"/>
      <w:numFmt w:val="lowerLetter"/>
      <w:start w:val="1"/>
    </w:lvl>
  </w:abstractNum>
  <w:abstractNum w:abstractNumId="98">
    <w:nsid w:val="4BEE5A5B"/>
    <w:multiLevelType w:val="hybridMultilevel"/>
    <w:lvl w:ilvl="0">
      <w:lvlJc w:val="left"/>
      <w:lvlText w:val="(%1)"/>
      <w:numFmt w:val="lowerLetter"/>
      <w:start w:val="1"/>
    </w:lvl>
  </w:abstractNum>
  <w:abstractNum w:abstractNumId="99">
    <w:nsid w:val="5551B9F3"/>
    <w:multiLevelType w:val="hybridMultilevel"/>
    <w:lvl w:ilvl="0">
      <w:lvlJc w:val="left"/>
      <w:lvlText w:val="(%1)"/>
      <w:numFmt w:val="lowerLetter"/>
      <w:start w:val="1"/>
    </w:lvl>
    <w:lvl w:ilvl="1">
      <w:lvlJc w:val="left"/>
      <w:lvlText w:val="(%2)"/>
      <w:numFmt w:val="lowerRoman"/>
      <w:start w:val="1"/>
    </w:lvl>
  </w:abstractNum>
  <w:abstractNum w:abstractNumId="100">
    <w:nsid w:val="24F6AB8E"/>
    <w:multiLevelType w:val="hybridMultilevel"/>
    <w:lvl w:ilvl="0">
      <w:lvlJc w:val="left"/>
      <w:lvlText w:val="(%1)"/>
      <w:numFmt w:val="lowerLetter"/>
      <w:start w:val="2"/>
    </w:lvl>
  </w:abstractNum>
  <w:abstractNum w:abstractNumId="101">
    <w:nsid w:val="634C574C"/>
    <w:multiLevelType w:val="hybridMultilevel"/>
    <w:lvl w:ilvl="0">
      <w:lvlJc w:val="left"/>
      <w:lvlText w:val="(%1)"/>
      <w:numFmt w:val="lowerLetter"/>
      <w:start w:val="2"/>
    </w:lvl>
  </w:abstractNum>
  <w:abstractNum w:abstractNumId="102">
    <w:nsid w:val="24E99DD7"/>
    <w:multiLevelType w:val="hybridMultilevel"/>
    <w:lvl w:ilvl="0">
      <w:lvlJc w:val="left"/>
      <w:lvlText w:val="(%1)"/>
      <w:numFmt w:val="lowerLetter"/>
      <w:start w:val="3"/>
    </w:lvl>
  </w:abstractNum>
  <w:abstractNum w:abstractNumId="103">
    <w:nsid w:val="2A31B62D"/>
    <w:multiLevelType w:val="hybridMultilevel"/>
    <w:lvl w:ilvl="0">
      <w:lvlJc w:val="left"/>
      <w:lvlText w:val="(%1)"/>
      <w:numFmt w:val="lowerLetter"/>
      <w:start w:val="1"/>
    </w:lvl>
  </w:abstractNum>
  <w:abstractNum w:abstractNumId="104">
    <w:nsid w:val="1849C29B"/>
    <w:multiLevelType w:val="hybridMultilevel"/>
    <w:lvl w:ilvl="0">
      <w:lvlJc w:val="left"/>
      <w:lvlText w:val="(%1)"/>
      <w:numFmt w:val="lowerLetter"/>
      <w:start w:val="3"/>
    </w:lvl>
  </w:abstractNum>
  <w:abstractNum w:abstractNumId="105">
    <w:nsid w:val="7DFF9D09"/>
    <w:multiLevelType w:val="hybridMultilevel"/>
    <w:lvl w:ilvl="0">
      <w:lvlJc w:val="left"/>
      <w:lvlText w:val="(%1)"/>
      <w:numFmt w:val="lowerLetter"/>
      <w:start w:val="1"/>
    </w:lvl>
  </w:abstractNum>
  <w:abstractNum w:abstractNumId="106">
    <w:nsid w:val="754342"/>
    <w:multiLevelType w:val="hybridMultilevel"/>
    <w:lvl w:ilvl="0">
      <w:lvlJc w:val="left"/>
      <w:lvlText w:val="(%1)"/>
      <w:numFmt w:val="lowerLetter"/>
      <w:start w:val="1"/>
    </w:lvl>
    <w:lvl w:ilvl="1">
      <w:lvlJc w:val="left"/>
      <w:lvlText w:val="(%2)"/>
      <w:numFmt w:val="lowerRoman"/>
      <w:start w:val="1"/>
    </w:lvl>
  </w:abstractNum>
  <w:abstractNum w:abstractNumId="107">
    <w:nsid w:val="69E7F3E5"/>
    <w:multiLevelType w:val="hybridMultilevel"/>
    <w:lvl w:ilvl="0">
      <w:lvlJc w:val="left"/>
      <w:lvlText w:val="%1"/>
      <w:numFmt w:val="lowerLetter"/>
      <w:start w:val="1"/>
    </w:lvl>
    <w:lvl w:ilvl="1">
      <w:lvlJc w:val="left"/>
      <w:lvlText w:val="(%2)"/>
      <w:numFmt w:val="lowerRoman"/>
      <w:start w:val="4"/>
    </w:lvl>
  </w:abstractNum>
  <w:abstractNum w:abstractNumId="108">
    <w:nsid w:val="2A6DE806"/>
    <w:multiLevelType w:val="hybridMultilevel"/>
    <w:lvl w:ilvl="0">
      <w:lvlJc w:val="left"/>
      <w:lvlText w:val="(%1)"/>
      <w:numFmt w:val="lowerLetter"/>
      <w:start w:val="6"/>
    </w:lvl>
    <w:lvl w:ilvl="1">
      <w:lvlJc w:val="left"/>
      <w:lvlText w:val="(%2)"/>
      <w:numFmt w:val="lowerRoman"/>
      <w:start w:val="1"/>
    </w:lvl>
  </w:abstractNum>
  <w:abstractNum w:abstractNumId="109">
    <w:nsid w:val="1816F8C4"/>
    <w:multiLevelType w:val="hybridMultilevel"/>
    <w:lvl w:ilvl="0">
      <w:lvlJc w:val="left"/>
      <w:lvlText w:val="(%1)"/>
      <w:numFmt w:val="lowerLetter"/>
      <w:start w:val="1"/>
    </w:lvl>
  </w:abstractNum>
  <w:abstractNum w:abstractNumId="110">
    <w:nsid w:val="37DF2233"/>
    <w:multiLevelType w:val="hybridMultilevel"/>
    <w:lvl w:ilvl="0">
      <w:lvlJc w:val="left"/>
      <w:lvlText w:val="%1"/>
      <w:numFmt w:val="lowerLetter"/>
      <w:start w:val="1"/>
    </w:lvl>
    <w:lvl w:ilvl="1">
      <w:lvlJc w:val="left"/>
      <w:lvlText w:val="(%2)"/>
      <w:numFmt w:val="lowerLetter"/>
      <w:start w:val="1"/>
    </w:lvl>
  </w:abstractNum>
  <w:abstractNum w:abstractNumId="111">
    <w:nsid w:val="7AB49DAF"/>
    <w:multiLevelType w:val="hybridMultilevel"/>
    <w:lvl w:ilvl="0">
      <w:lvlJc w:val="left"/>
      <w:lvlText w:val="(%1)"/>
      <w:numFmt w:val="lowerLetter"/>
      <w:start w:val="35"/>
    </w:lvl>
    <w:lvl w:ilvl="1">
      <w:lvlJc w:val="left"/>
      <w:lvlText w:val="%2"/>
      <w:numFmt w:val="lowerLetter"/>
      <w:start w:val="1"/>
    </w:lvl>
  </w:abstractNum>
  <w:abstractNum w:abstractNumId="112">
    <w:nsid w:val="759F82CD"/>
    <w:multiLevelType w:val="hybridMultilevel"/>
    <w:lvl w:ilvl="0">
      <w:lvlJc w:val="left"/>
      <w:lvlText w:val="(%1)"/>
      <w:numFmt w:val="lowerLetter"/>
      <w:start w:val="2"/>
    </w:lvl>
  </w:abstractNum>
  <w:abstractNum w:abstractNumId="113">
    <w:nsid w:val="61E74EA3"/>
    <w:multiLevelType w:val="hybridMultilevel"/>
    <w:lvl w:ilvl="0">
      <w:lvlJc w:val="left"/>
      <w:lvlText w:val="(%1)"/>
      <w:numFmt w:val="lowerLetter"/>
      <w:start w:val="3"/>
    </w:lvl>
  </w:abstractNum>
  <w:abstractNum w:abstractNumId="114">
    <w:nsid w:val="597B4D84"/>
    <w:multiLevelType w:val="hybridMultilevel"/>
    <w:lvl w:ilvl="0">
      <w:lvlJc w:val="left"/>
      <w:lvlText w:val="(%1)"/>
      <w:numFmt w:val="lowerRoman"/>
      <w:start w:val="1"/>
    </w:lvl>
  </w:abstractNum>
  <w:abstractNum w:abstractNumId="115">
    <w:nsid w:val="F819E7F"/>
    <w:multiLevelType w:val="hybridMultilevel"/>
    <w:lvl w:ilvl="0">
      <w:lvlJc w:val="left"/>
      <w:lvlText w:val="(%1)"/>
      <w:numFmt w:val="lowerLetter"/>
      <w:start w:val="1"/>
    </w:lvl>
  </w:abstractNum>
  <w:abstractNum w:abstractNumId="116">
    <w:nsid w:val="57C7D42D"/>
    <w:multiLevelType w:val="hybridMultilevel"/>
    <w:lvl w:ilvl="0">
      <w:lvlJc w:val="left"/>
      <w:lvlText w:val="(%1)"/>
      <w:numFmt w:val="lowerLetter"/>
      <w:start w:val="1"/>
    </w:lvl>
  </w:abstractNum>
  <w:abstractNum w:abstractNumId="117">
    <w:nsid w:val="312167AD"/>
    <w:multiLevelType w:val="hybridMultilevel"/>
    <w:lvl w:ilvl="0">
      <w:lvlJc w:val="left"/>
      <w:lvlText w:val="(%1)"/>
      <w:numFmt w:val="lowerLetter"/>
      <w:start w:val="3"/>
    </w:lvl>
    <w:lvl w:ilvl="1">
      <w:lvlJc w:val="left"/>
      <w:lvlText w:val="(%2)"/>
      <w:numFmt w:val="lowerRoman"/>
      <w:start w:val="1"/>
    </w:lvl>
  </w:abstractNum>
  <w:abstractNum w:abstractNumId="118">
    <w:nsid w:val="631B64D4"/>
    <w:multiLevelType w:val="hybridMultilevel"/>
    <w:lvl w:ilvl="0">
      <w:lvlJc w:val="left"/>
      <w:lvlText w:val="%1"/>
      <w:numFmt w:val="lowerLetter"/>
      <w:start w:val="1"/>
    </w:lvl>
    <w:lvl w:ilvl="1">
      <w:lvlJc w:val="left"/>
      <w:lvlText w:val="(%2)"/>
      <w:numFmt w:val="lowerLetter"/>
      <w:start w:val="22"/>
    </w:lvl>
  </w:abstractNum>
  <w:abstractNum w:abstractNumId="119">
    <w:nsid w:val="78B5E776"/>
    <w:multiLevelType w:val="hybridMultilevel"/>
    <w:lvl w:ilvl="0">
      <w:lvlJc w:val="left"/>
      <w:lvlText w:val="(%1)"/>
      <w:numFmt w:val="lowerLetter"/>
      <w:start w:val="6"/>
    </w:lvl>
    <w:lvl w:ilvl="1">
      <w:lvlJc w:val="left"/>
      <w:lvlText w:val="%2"/>
      <w:numFmt w:val="lowerLetter"/>
      <w:start w:val="1"/>
    </w:lvl>
  </w:abstractNum>
  <w:abstractNum w:abstractNumId="120">
    <w:nsid w:val="75486E47"/>
    <w:multiLevelType w:val="hybridMultilevel"/>
    <w:lvl w:ilvl="0">
      <w:lvlJc w:val="left"/>
      <w:lvlText w:val="(%1)"/>
      <w:numFmt w:val="lowerLetter"/>
      <w:start w:val="1"/>
    </w:lvl>
  </w:abstractNum>
  <w:abstractNum w:abstractNumId="121">
    <w:nsid w:val="6E534CDE"/>
    <w:multiLevelType w:val="hybridMultilevel"/>
    <w:lvl w:ilvl="0">
      <w:lvlJc w:val="left"/>
      <w:lvlText w:val="(%1)"/>
      <w:numFmt w:val="lowerLetter"/>
      <w:start w:val="1"/>
    </w:lvl>
  </w:abstractNum>
  <w:abstractNum w:abstractNumId="122">
    <w:nsid w:val="1A0DDE32"/>
    <w:multiLevelType w:val="hybridMultilevel"/>
    <w:lvl w:ilvl="0">
      <w:lvlJc w:val="left"/>
      <w:lvlText w:val="(%1)"/>
      <w:numFmt w:val="lowerLetter"/>
      <w:start w:val="1"/>
    </w:lvl>
  </w:abstractNum>
  <w:abstractNum w:abstractNumId="123">
    <w:nsid w:val="65968C1C"/>
    <w:multiLevelType w:val="hybridMultilevel"/>
    <w:lvl w:ilvl="0">
      <w:lvlJc w:val="left"/>
      <w:lvlText w:val="(%1)"/>
      <w:numFmt w:val="lowerLetter"/>
      <w:start w:val="1"/>
    </w:lvl>
  </w:abstractNum>
  <w:abstractNum w:abstractNumId="124">
    <w:nsid w:val="46263DEC"/>
    <w:multiLevelType w:val="hybridMultilevel"/>
    <w:lvl w:ilvl="0">
      <w:lvlJc w:val="left"/>
      <w:lvlText w:val="(%1)"/>
      <w:numFmt w:val="lowerLetter"/>
      <w:start w:val="3"/>
    </w:lvl>
  </w:abstractNum>
  <w:abstractNum w:abstractNumId="125">
    <w:nsid w:val="260D8C4A"/>
    <w:multiLevelType w:val="hybridMultilevel"/>
    <w:lvl w:ilvl="0">
      <w:lvlJc w:val="left"/>
      <w:lvlText w:val="(%1)"/>
      <w:numFmt w:val="lowerLetter"/>
      <w:start w:val="5"/>
    </w:lvl>
  </w:abstractNum>
  <w:abstractNum w:abstractNumId="126">
    <w:nsid w:val="73D4D3C4"/>
    <w:multiLevelType w:val="hybridMultilevel"/>
    <w:lvl w:ilvl="0">
      <w:lvlJc w:val="left"/>
      <w:lvlText w:val="(%1)"/>
      <w:numFmt w:val="lowerLetter"/>
      <w:start w:val="16"/>
    </w:lvl>
  </w:abstractNum>
  <w:abstractNum w:abstractNumId="127">
    <w:nsid w:val="746F2E30"/>
    <w:multiLevelType w:val="hybridMultilevel"/>
    <w:lvl w:ilvl="0">
      <w:lvlJc w:val="left"/>
      <w:lvlText w:val="(%1)"/>
      <w:numFmt w:val="lowerLetter"/>
      <w:start w:val="1"/>
    </w:lvl>
  </w:abstractNum>
  <w:abstractNum w:abstractNumId="128">
    <w:nsid w:val="6FDE8AF6"/>
    <w:multiLevelType w:val="hybridMultilevel"/>
    <w:lvl w:ilvl="0">
      <w:lvlJc w:val="left"/>
      <w:lvlText w:val="(%1)"/>
      <w:numFmt w:val="lowerLetter"/>
      <w:start w:val="6"/>
    </w:lvl>
  </w:abstractNum>
  <w:abstractNum w:abstractNumId="129">
    <w:nsid w:val="3FC32E20"/>
    <w:multiLevelType w:val="hybridMultilevel"/>
    <w:lvl w:ilvl="0">
      <w:lvlJc w:val="left"/>
      <w:lvlText w:val="(%1)"/>
      <w:numFmt w:val="lowerLetter"/>
      <w:start w:val="14"/>
    </w:lvl>
  </w:abstractNum>
  <w:abstractNum w:abstractNumId="130">
    <w:nsid w:val="49C0E823"/>
    <w:multiLevelType w:val="hybridMultilevel"/>
    <w:lvl w:ilvl="0">
      <w:lvlJc w:val="left"/>
      <w:lvlText w:val="(%1)"/>
      <w:numFmt w:val="lowerLetter"/>
      <w:start w:val="1"/>
    </w:lvl>
  </w:abstractNum>
  <w:abstractNum w:abstractNumId="131">
    <w:nsid w:val="14D53685"/>
    <w:multiLevelType w:val="hybridMultilevel"/>
    <w:lvl w:ilvl="0">
      <w:lvlJc w:val="left"/>
      <w:lvlText w:val="(%1)"/>
      <w:numFmt w:val="lowerLetter"/>
      <w:start w:val="2"/>
    </w:lvl>
  </w:abstractNum>
  <w:abstractNum w:abstractNumId="132">
    <w:nsid w:val="230F856C"/>
    <w:multiLevelType w:val="hybridMultilevel"/>
    <w:lvl w:ilvl="0">
      <w:lvlJc w:val="left"/>
      <w:lvlText w:val="(%1)"/>
      <w:numFmt w:val="lowerLetter"/>
      <w:start w:val="1"/>
    </w:lvl>
  </w:abstractNum>
  <w:abstractNum w:abstractNumId="133">
    <w:nsid w:val="6EAA85FB"/>
    <w:multiLevelType w:val="hybridMultilevel"/>
    <w:lvl w:ilvl="0">
      <w:lvlJc w:val="left"/>
      <w:lvlText w:val="(%1)"/>
      <w:numFmt w:val="lowerLetter"/>
      <w:start w:val="5"/>
    </w:lvl>
  </w:abstractNum>
  <w:abstractNum w:abstractNumId="134">
    <w:nsid w:val="3F06ECB2"/>
    <w:multiLevelType w:val="hybridMultilevel"/>
    <w:lvl w:ilvl="0">
      <w:lvlJc w:val="left"/>
      <w:lvlText w:val="(%1)"/>
      <w:numFmt w:val="lowerLetter"/>
      <w:start w:val="1"/>
    </w:lvl>
  </w:abstractNum>
  <w:abstractNum w:abstractNumId="135">
    <w:nsid w:val="3B594807"/>
    <w:multiLevelType w:val="hybridMultilevel"/>
    <w:lvl w:ilvl="0">
      <w:lvlJc w:val="left"/>
      <w:lvlText w:val="(%1)"/>
      <w:numFmt w:val="lowerLetter"/>
      <w:start w:val="2"/>
    </w:lvl>
  </w:abstractNum>
  <w:abstractNum w:abstractNumId="136">
    <w:nsid w:val="6CAA2304"/>
    <w:multiLevelType w:val="hybridMultilevel"/>
    <w:lvl w:ilvl="0">
      <w:lvlJc w:val="left"/>
      <w:lvlText w:val="(%1)"/>
      <w:numFmt w:val="lowerLetter"/>
      <w:start w:val="14"/>
    </w:lvl>
  </w:abstractNum>
  <w:abstractNum w:abstractNumId="137">
    <w:nsid w:val="3F7C2FF4"/>
    <w:multiLevelType w:val="hybridMultilevel"/>
    <w:lvl w:ilvl="0">
      <w:lvlJc w:val="left"/>
      <w:lvlText w:val="(%1)"/>
      <w:numFmt w:val="lowerLetter"/>
      <w:start w:val="1"/>
    </w:lvl>
  </w:abstractNum>
  <w:abstractNum w:abstractNumId="138">
    <w:nsid w:val="25413BEC"/>
    <w:multiLevelType w:val="hybridMultilevel"/>
    <w:lvl w:ilvl="0">
      <w:lvlJc w:val="left"/>
      <w:lvlText w:val="(%1)"/>
      <w:numFmt w:val="lowerLetter"/>
      <w:start w:val="1"/>
    </w:lvl>
  </w:abstractNum>
  <w:abstractNum w:abstractNumId="139">
    <w:nsid w:val="17180B0B"/>
    <w:multiLevelType w:val="hybridMultilevel"/>
    <w:lvl w:ilvl="0">
      <w:lvlJc w:val="left"/>
      <w:lvlText w:val="(%1)"/>
      <w:numFmt w:val="lowerLetter"/>
      <w:start w:val="3"/>
    </w:lvl>
  </w:abstractNum>
  <w:abstractNum w:abstractNumId="140">
    <w:nsid w:val="579328B9"/>
    <w:multiLevelType w:val="hybridMultilevel"/>
    <w:lvl w:ilvl="0">
      <w:lvlJc w:val="left"/>
      <w:lvlText w:val="(%1)"/>
      <w:numFmt w:val="lowerLetter"/>
      <w:start w:val="8"/>
    </w:lvl>
  </w:abstractNum>
  <w:abstractNum w:abstractNumId="141">
    <w:nsid w:val="5D205E20"/>
    <w:multiLevelType w:val="hybridMultilevel"/>
    <w:lvl w:ilvl="0">
      <w:lvlJc w:val="left"/>
      <w:lvlText w:val="(%1)"/>
      <w:numFmt w:val="lowerLetter"/>
      <w:start w:val="1"/>
    </w:lvl>
  </w:abstractNum>
  <w:abstractNum w:abstractNumId="142">
    <w:nsid w:val="11CCA8BA"/>
    <w:multiLevelType w:val="hybridMultilevel"/>
    <w:lvl w:ilvl="0">
      <w:lvlJc w:val="left"/>
      <w:lvlText w:val="(%1)"/>
      <w:numFmt w:val="lowerLetter"/>
      <w:start w:val="1"/>
    </w:lvl>
  </w:abstractNum>
  <w:abstractNum w:abstractNumId="143">
    <w:nsid w:val="4D32AB86"/>
    <w:multiLevelType w:val="hybridMultilevel"/>
    <w:lvl w:ilvl="0">
      <w:lvlJc w:val="left"/>
      <w:lvlText w:val="(%1)"/>
      <w:numFmt w:val="lowerLetter"/>
      <w:start w:val="1"/>
    </w:lvl>
  </w:abstractNum>
  <w:abstractNum w:abstractNumId="144">
    <w:nsid w:val="3F07ACC3"/>
    <w:multiLevelType w:val="hybridMultilevel"/>
    <w:lvl w:ilvl="0">
      <w:lvlJc w:val="left"/>
      <w:lvlText w:val="(%1)"/>
      <w:numFmt w:val="lowerLetter"/>
      <w:start w:val="2"/>
    </w:lvl>
  </w:abstractNum>
  <w:abstractNum w:abstractNumId="145">
    <w:nsid w:val="6B47F63E"/>
    <w:multiLevelType w:val="hybridMultilevel"/>
    <w:lvl w:ilvl="0">
      <w:lvlJc w:val="left"/>
      <w:lvlText w:val="(%1)"/>
      <w:numFmt w:val="lowerLetter"/>
      <w:start w:val="1"/>
    </w:lvl>
  </w:abstractNum>
  <w:abstractNum w:abstractNumId="146">
    <w:nsid w:val="5CB44A05"/>
    <w:multiLevelType w:val="hybridMultilevel"/>
    <w:lvl w:ilvl="0">
      <w:lvlJc w:val="left"/>
      <w:lvlText w:val="(%1)"/>
      <w:numFmt w:val="lowerLetter"/>
      <w:start w:val="1"/>
    </w:lvl>
    <w:lvl w:ilvl="1">
      <w:lvlJc w:val="left"/>
      <w:lvlText w:val="(%2)"/>
      <w:numFmt w:val="lowerRoman"/>
      <w:start w:val="1"/>
    </w:lvl>
  </w:abstractNum>
  <w:abstractNum w:abstractNumId="147">
    <w:nsid w:val="16CF80F1"/>
    <w:multiLevelType w:val="hybridMultilevel"/>
    <w:lvl w:ilvl="0">
      <w:lvlJc w:val="left"/>
      <w:lvlText w:val="(%1)"/>
      <w:numFmt w:val="lowerLetter"/>
      <w:start w:val="4"/>
    </w:lvl>
  </w:abstractNum>
  <w:abstractNum w:abstractNumId="148">
    <w:nsid w:val="1C695DEC"/>
    <w:multiLevelType w:val="hybridMultilevel"/>
    <w:lvl w:ilvl="0">
      <w:lvlJc w:val="left"/>
      <w:lvlText w:val="(%1)"/>
      <w:numFmt w:val="lowerLetter"/>
      <w:start w:val="1"/>
    </w:lvl>
  </w:abstractNum>
  <w:abstractNum w:abstractNumId="149">
    <w:nsid w:val="3FCFAED9"/>
    <w:multiLevelType w:val="hybridMultilevel"/>
    <w:lvl w:ilvl="0">
      <w:lvlJc w:val="left"/>
      <w:lvlText w:val="(%1)"/>
      <w:numFmt w:val="lowerRoman"/>
      <w:start w:val="1"/>
    </w:lvl>
  </w:abstractNum>
  <w:abstractNum w:abstractNumId="150">
    <w:nsid w:val="F856867"/>
    <w:multiLevelType w:val="hybridMultilevel"/>
    <w:lvl w:ilvl="0">
      <w:lvlJc w:val="left"/>
      <w:lvlText w:val="(%1)"/>
      <w:numFmt w:val="lowerLetter"/>
      <w:start w:val="2"/>
    </w:lvl>
  </w:abstractNum>
  <w:abstractNum w:abstractNumId="151">
    <w:nsid w:val="11B1CC33"/>
    <w:multiLevelType w:val="hybridMultilevel"/>
    <w:lvl w:ilvl="0">
      <w:lvlJc w:val="left"/>
      <w:lvlText w:val="(%1)"/>
      <w:numFmt w:val="lowerLetter"/>
      <w:start w:val="9"/>
    </w:lvl>
    <w:lvl w:ilvl="1">
      <w:lvlJc w:val="left"/>
      <w:lvlText w:val="(%2)"/>
      <w:numFmt w:val="lowerLetter"/>
      <w:start w:val="3"/>
    </w:lvl>
  </w:abstractNum>
  <w:abstractNum w:abstractNumId="152">
    <w:nsid w:val="2E22FBB7"/>
    <w:multiLevelType w:val="hybridMultilevel"/>
    <w:lvl w:ilvl="0">
      <w:lvlJc w:val="left"/>
      <w:lvlText w:val="(%1)"/>
      <w:numFmt w:val="lowerLetter"/>
      <w:start w:val="4"/>
    </w:lvl>
  </w:abstractNum>
  <w:abstractNum w:abstractNumId="153">
    <w:nsid w:val="29934699"/>
    <w:multiLevelType w:val="hybridMultilevel"/>
    <w:lvl w:ilvl="0">
      <w:lvlJc w:val="left"/>
      <w:lvlText w:val="(%1)"/>
      <w:numFmt w:val="lowerLetter"/>
      <w:start w:val="1"/>
    </w:lvl>
  </w:abstractNum>
  <w:abstractNum w:abstractNumId="154">
    <w:nsid w:val="77485850"/>
    <w:multiLevelType w:val="hybridMultilevel"/>
    <w:lvl w:ilvl="0">
      <w:lvlJc w:val="left"/>
      <w:lvlText w:val="%1"/>
      <w:numFmt w:val="lowerLetter"/>
      <w:start w:val="1"/>
    </w:lvl>
    <w:lvl w:ilvl="1">
      <w:lvlJc w:val="left"/>
      <w:lvlText w:val="(%2)"/>
      <w:numFmt w:val="lowerLetter"/>
      <w:start w:val="2"/>
    </w:lvl>
  </w:abstractNum>
  <w:abstractNum w:abstractNumId="155">
    <w:nsid w:val="744939A3"/>
    <w:multiLevelType w:val="hybridMultilevel"/>
    <w:lvl w:ilvl="0">
      <w:lvlJc w:val="left"/>
      <w:lvlText w:val="(%1)"/>
      <w:numFmt w:val="lowerLetter"/>
      <w:start w:val="1"/>
    </w:lvl>
    <w:lvl w:ilvl="1">
      <w:lvlJc w:val="left"/>
      <w:lvlText w:val="%2"/>
      <w:numFmt w:val="lowerLetter"/>
      <w:start w:val="1"/>
    </w:lvl>
  </w:abstractNum>
  <w:abstractNum w:abstractNumId="156">
    <w:nsid w:val="4FA0D2E3"/>
    <w:multiLevelType w:val="hybridMultilevel"/>
    <w:lvl w:ilvl="0">
      <w:lvlJc w:val="left"/>
      <w:lvlText w:val="(%1)"/>
      <w:numFmt w:val="lowerLetter"/>
      <w:start w:val="4"/>
    </w:lvl>
  </w:abstractNum>
  <w:abstractNum w:abstractNumId="157">
    <w:nsid w:val="6B1D2C1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8">
    <w:nsid w:val="68B867D3"/>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159">
    <w:nsid w:val="3F7F5DD9"/>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1"/>
    </w:lvl>
  </w:abstractNum>
  <w:abstractNum w:abstractNumId="160">
    <w:nsid w:val="2AE05A34"/>
    <w:multiLevelType w:val="hybridMultilevel"/>
    <w:lvl w:ilvl="0">
      <w:lvlJc w:val="left"/>
      <w:lvlText w:val="(%1)"/>
      <w:numFmt w:val="lowerRoman"/>
      <w:start w:val="7"/>
    </w:lvl>
  </w:abstractNum>
  <w:abstractNum w:abstractNumId="161">
    <w:nsid w:val="32794FF7"/>
    <w:multiLevelType w:val="hybridMultilevel"/>
    <w:lvl w:ilvl="0">
      <w:lvlJc w:val="left"/>
      <w:lvlText w:val="(%1)"/>
      <w:numFmt w:val="lowerLetter"/>
      <w:start w:val="3"/>
    </w:lvl>
  </w:abstractNum>
  <w:abstractNum w:abstractNumId="162">
    <w:nsid w:val="5454945E"/>
    <w:multiLevelType w:val="hybridMultilevel"/>
    <w:lvl w:ilvl="0">
      <w:lvlJc w:val="left"/>
      <w:lvlText w:val="(%1)"/>
      <w:numFmt w:val="lowerLetter"/>
      <w:start w:val="4"/>
    </w:lvl>
  </w:abstractNum>
  <w:abstractNum w:abstractNumId="163">
    <w:nsid w:val="4DEFDFA0"/>
    <w:multiLevelType w:val="hybridMultilevel"/>
    <w:lvl w:ilvl="0">
      <w:lvlJc w:val="left"/>
      <w:lvlText w:val="(%1)"/>
      <w:numFmt w:val="lowerLetter"/>
      <w:start w:val="5"/>
    </w:lvl>
  </w:abstractNum>
  <w:abstractNum w:abstractNumId="164">
    <w:nsid w:val="2123D5F2"/>
    <w:multiLevelType w:val="hybridMultilevel"/>
    <w:lvl w:ilvl="0">
      <w:lvlJc w:val="left"/>
      <w:lvlText w:val="(%1)"/>
      <w:numFmt w:val="lowerRoman"/>
      <w:start w:val="2"/>
    </w:lvl>
  </w:abstractNum>
  <w:abstractNum w:abstractNumId="165">
    <w:nsid w:val="135B8110"/>
    <w:multiLevelType w:val="hybridMultilevel"/>
    <w:lvl w:ilvl="0">
      <w:lvlJc w:val="left"/>
      <w:lvlText w:val="(%1)"/>
      <w:numFmt w:val="upperLetter"/>
      <w:start w:val="35"/>
    </w:lvl>
  </w:abstractNum>
  <w:abstractNum w:abstractNumId="166">
    <w:nsid w:val="94927A8"/>
    <w:multiLevelType w:val="hybridMultilevel"/>
    <w:lvl w:ilvl="0">
      <w:lvlJc w:val="left"/>
      <w:lvlText w:val="(%1)"/>
      <w:numFmt w:val="lowerRoman"/>
      <w:start w:val="1"/>
    </w:lvl>
  </w:abstractNum>
  <w:abstractNum w:abstractNumId="167">
    <w:nsid w:val="DCDF8F6"/>
    <w:multiLevelType w:val="hybridMultilevel"/>
    <w:lvl w:ilvl="0">
      <w:lvlJc w:val="left"/>
      <w:lvlText w:val="(%1)"/>
      <w:numFmt w:val="lowerLetter"/>
      <w:start w:val="1"/>
    </w:lvl>
  </w:abstractNum>
  <w:abstractNum w:abstractNumId="168">
    <w:nsid w:val="52D7B105"/>
    <w:multiLevelType w:val="hybridMultilevel"/>
    <w:lvl w:ilvl="0">
      <w:lvlJc w:val="left"/>
      <w:lvlText w:val="(%1)"/>
      <w:numFmt w:val="lowerLetter"/>
      <w:start w:val="1"/>
    </w:lvl>
  </w:abstractNum>
  <w:abstractNum w:abstractNumId="169">
    <w:nsid w:val="2E8A6394"/>
    <w:multiLevelType w:val="hybridMultilevel"/>
    <w:lvl w:ilvl="0">
      <w:lvlJc w:val="left"/>
      <w:lvlText w:val="(%1)"/>
      <w:numFmt w:val="lowerLetter"/>
      <w:start w:val="6"/>
    </w:lvl>
  </w:abstractNum>
  <w:abstractNum w:abstractNumId="170">
    <w:nsid w:val="24E60401"/>
    <w:multiLevelType w:val="hybridMultilevel"/>
    <w:lvl w:ilvl="0">
      <w:lvlJc w:val="left"/>
      <w:lvlText w:val="(%1)"/>
      <w:numFmt w:val="lowerLetter"/>
      <w:start w:val="1"/>
    </w:lvl>
    <w:lvl w:ilvl="1">
      <w:lvlJc w:val="left"/>
      <w:lvlText w:val="(%2)"/>
      <w:numFmt w:val="lowerRoman"/>
      <w:start w:val="1"/>
    </w:lvl>
  </w:abstractNum>
  <w:abstractNum w:abstractNumId="171">
    <w:nsid w:val="2A6AD9BE"/>
    <w:multiLevelType w:val="hybridMultilevel"/>
    <w:lvl w:ilvl="0">
      <w:lvlJc w:val="left"/>
      <w:lvlText w:val="(%1)"/>
      <w:numFmt w:val="lowerLetter"/>
      <w:start w:val="1"/>
    </w:lvl>
  </w:abstractNum>
  <w:abstractNum w:abstractNumId="172">
    <w:nsid w:val="BAAC1B4"/>
    <w:multiLevelType w:val="hybridMultilevel"/>
    <w:lvl w:ilvl="0">
      <w:lvlJc w:val="left"/>
      <w:lvlText w:val="(%1)"/>
      <w:numFmt w:val="lowerLetter"/>
      <w:start w:val="1"/>
    </w:lvl>
  </w:abstractNum>
  <w:abstractNum w:abstractNumId="173">
    <w:nsid w:val="36B2ACBC"/>
    <w:multiLevelType w:val="hybridMultilevel"/>
    <w:lvl w:ilvl="0">
      <w:lvlJc w:val="left"/>
      <w:lvlText w:val="%1"/>
      <w:numFmt w:val="lowerLetter"/>
      <w:start w:val="1"/>
    </w:lvl>
    <w:lvl w:ilvl="1">
      <w:lvlJc w:val="left"/>
      <w:lvlText w:val="(%2)"/>
      <w:numFmt w:val="lowerRoman"/>
      <w:start w:val="1"/>
    </w:lvl>
  </w:abstractNum>
  <w:abstractNum w:abstractNumId="174">
    <w:nsid w:val="779D8544"/>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2022-11-15T15:35:12Z</dcterms:created>
  <dcterms:modified xsi:type="dcterms:W3CDTF">2022-11-15T15:35:12Z</dcterms:modified>
</cp:coreProperties>
</file>