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6992620" cy="50634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63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Thornton Ann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 and Treasurer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12/19/2025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4,080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35.14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33,015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12/19/2025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4,080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81.95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28,935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jc w:val="center"/>
              <w:ind w:lef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4,080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35.14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12/19/2025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4,080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09/23/2026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-2106295</wp:posOffset>
            </wp:positionV>
            <wp:extent cx="29210" cy="21113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$81.65 to $82.18, inclusive.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options exercisable one third each year for the three years subsequent to the grant date.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Heidi Knueppel,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-1270</wp:posOffset>
            </wp:positionV>
            <wp:extent cx="12769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4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12/22/2025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-1270</wp:posOffset>
            </wp:positionV>
            <wp:extent cx="4883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20" w:space="18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89606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2025-12-22T10:09:18Z</dcterms:created>
  <dcterms:modified xsi:type="dcterms:W3CDTF">2025-12-22T10:09:18Z</dcterms:modified>
</cp:coreProperties>
</file>