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0001646159</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BRADY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001-14959</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6555 W GOOD HOPE RD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P O BOX 571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MILWAUKEE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WISCONSIN</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53201-0571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4143586600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Shaller Russell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12548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916910.57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44045649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09/13/2024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spacing w:after="0" w:line="9" w:lineRule="exact"/>
        <w:rPr>
          <w:sz w:val="20"/>
          <w:szCs w:val="20"/>
          <w:color w:val="auto"/>
        </w:rPr>
      </w:pPr>
    </w:p>
    <w:p>
      <w:pPr>
        <w:ind w:left="460"/>
        <w:spacing w:after="0"/>
        <w:tabs>
          <w:tab w:leader="none" w:pos="1500" w:val="left"/>
          <w:tab w:leader="none" w:pos="27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1"/>
          <w:szCs w:val="21"/>
          <w:b w:val="1"/>
          <w:bCs w:val="1"/>
          <w:color w:val="auto"/>
        </w:rPr>
        <w:t>Acquisition</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Transaction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240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Securities   Payment</w:t>
            </w:r>
          </w:p>
        </w:tc>
        <w:tc>
          <w:tcPr>
            <w:tcW w:w="12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00" w:type="dxa"/>
            <w:vAlign w:val="bottom"/>
          </w:tcPr>
          <w:p>
            <w:pPr>
              <w:spacing w:after="0"/>
              <w:rPr>
                <w:sz w:val="21"/>
                <w:szCs w:val="2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0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8" w:lineRule="exact"/>
        <w:rPr>
          <w:sz w:val="20"/>
          <w:szCs w:val="20"/>
          <w:color w:val="auto"/>
        </w:rPr>
      </w:pPr>
    </w:p>
    <w:p>
      <w:pPr>
        <w:sectPr>
          <w:pgSz w:w="11900" w:h="16838" w:orient="portrait"/>
          <w:cols w:equalWidth="0" w:num="2">
            <w:col w:w="3880" w:space="480"/>
            <w:col w:w="6460"/>
          </w:cols>
          <w:pgMar w:left="360" w:top="98" w:right="719" w:bottom="0" w:gutter="0" w:footer="0" w:header="0"/>
        </w:sectPr>
      </w:pP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05/27/2015</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07/31/2015</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09/29/2015</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10/30/2015</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01/29/2016</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04/29/2016</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07/26/2016</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10/26/2016</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01/26/2017</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04/25/2017</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07/26/2017</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10/27/2017</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01/29/2018</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04/26/2018</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07/27/2018</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10/29/2018</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01/29/2019</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04/26/2019</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07/29/2019</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10/29/2019</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01/29/2020</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04/28/2020</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07/29/2020</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10/28/2020</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01/27/2021</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04/28/2021</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07/28/2021</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10/27/2021</w:t>
            </w:r>
          </w:p>
        </w:tc>
      </w:tr>
      <w:tr>
        <w:trPr>
          <w:trHeight w:val="54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01/27/2022</w:t>
            </w:r>
          </w:p>
        </w:tc>
      </w:tr>
    </w:tbl>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Times New Roman" w:cs="Times New Roman" w:eastAsia="Times New Roman" w:hAnsi="Times New Roman"/>
          <w:sz w:val="21"/>
          <w:szCs w:val="21"/>
          <w:color w:val="auto"/>
        </w:rPr>
        <w:t>Open Market Purchase</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Dividend Reinvestment</w:t>
      </w:r>
    </w:p>
    <w:p>
      <w:pPr>
        <w:spacing w:after="0" w:line="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21"/>
          <w:szCs w:val="21"/>
          <w:color w:val="auto"/>
        </w:rPr>
        <w:t>Open Market Purchase</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Dividend Reinvestment</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Dividend Reinvestment</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Dividend Reinvestment</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Dividend Reinvestment</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Dividend Reinvestment</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Dividend Reinvestment</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Dividend Reinvestment</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Dividend Reinvestment</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Dividend Reinvestment</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Dividend Reinvestment</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Dividend Reinvestment</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Dividend Reinvestment</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Dividend Reinvestment</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Dividend Reinvestment</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Dividend Reinvestment</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Dividend Reinvestment</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Dividend Reinvestment</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Dividend Reinvestment</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Dividend Reinvestment</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Dividend Reinvestment</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Dividend Reinvestment</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Dividend Reinvestment</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Dividend Reinvestment</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Dividend Reinvestment</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Dividend Reinvestment</w:t>
      </w:r>
    </w:p>
    <w:p>
      <w:pPr>
        <w:spacing w:after="0" w:line="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Dividend Reinvestment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1000</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05/27/2015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9</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07/31/2015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1000</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09/29/2015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18</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10/30/2015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19</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01/29/2016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15</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04/29/2016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13</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07/26/2016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13</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10/26/2016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12</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01/26/2017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11</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04/25/2017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13</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07/26/2017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11</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10/27/2017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11</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01/29/2018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12</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04/26/2018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12</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07/27/2018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12</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10/29/2018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11</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01/29/2019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10</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04/26/2019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9</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07/29/2019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8</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10/29/2019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8</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01/29/2020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11</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04/28/2020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10</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07/29/2020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13</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10/28/2020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11</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01/27/2021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9</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04/28/2021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9</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07/28/2021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10</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10/27/2021 Cash</w:t>
            </w:r>
          </w:p>
        </w:tc>
      </w:tr>
      <w:tr>
        <w:trPr>
          <w:trHeight w:val="54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10</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01/27/2022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-9753600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-9410700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-9067800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-8724900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-8382000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-8039100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-7696200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-7353300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-7010400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-6667500</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-6324600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-5981700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-5638800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-5295900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-4953000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-4610100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-4267200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-3924300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-3581400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-3238500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-2895600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-2552700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-2209800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-1866900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-1524000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-1181100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-838200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-495300</wp:posOffset>
            </wp:positionV>
            <wp:extent cx="128905"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-153035</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3">
            <w:col w:w="2440" w:space="60"/>
            <w:col w:w="1180" w:space="520"/>
            <w:col w:w="6620"/>
          </w:cols>
          <w:pgMar w:left="360" w:top="98" w:right="719" w:bottom="0" w:gutter="0" w:footer="0" w:header="0"/>
          <w:type w:val="continuous"/>
        </w:sectPr>
      </w:pPr>
    </w:p>
    <w:bookmarkStart w:id="2" w:name="page3"/>
    <w:bookmarkEnd w:id="2"/>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03/15/2022 Open Market</w:t>
            </w:r>
          </w:p>
        </w:tc>
        <w:tc>
          <w:tcPr>
            <w:tcW w:w="20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10000</w:t>
            </w:r>
          </w:p>
        </w:tc>
        <w:tc>
          <w:tcPr>
            <w:tcW w:w="186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03/15/2022 Cash</w:t>
            </w: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Purchase</w:t>
            </w:r>
          </w:p>
        </w:tc>
        <w:tc>
          <w:tcPr>
            <w:tcW w:w="20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04/27/2022</w:t>
            </w:r>
          </w:p>
        </w:tc>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Dividend</w:t>
            </w:r>
          </w:p>
        </w:tc>
        <w:tc>
          <w:tcPr>
            <w:tcW w:w="20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ind w:left="1220"/>
              <w:spacing w:after="0"/>
              <w:rPr>
                <w:sz w:val="20"/>
                <w:szCs w:val="20"/>
                <w:color w:val="auto"/>
              </w:rPr>
            </w:pPr>
            <w:r>
              <w:rPr>
                <w:rFonts w:ascii="Times New Roman" w:cs="Times New Roman" w:eastAsia="Times New Roman" w:hAnsi="Times New Roman"/>
                <w:sz w:val="22"/>
                <w:szCs w:val="22"/>
                <w:color w:val="auto"/>
              </w:rPr>
              <w:t>61</w:t>
            </w:r>
          </w:p>
        </w:tc>
        <w:tc>
          <w:tcPr>
            <w:tcW w:w="186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04/27/2022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Reinvestment</w:t>
            </w:r>
          </w:p>
        </w:tc>
        <w:tc>
          <w:tcPr>
            <w:tcW w:w="200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07/27/2022</w:t>
            </w:r>
          </w:p>
        </w:tc>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Dividend</w:t>
            </w:r>
          </w:p>
        </w:tc>
        <w:tc>
          <w:tcPr>
            <w:tcW w:w="20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ind w:left="1220"/>
              <w:spacing w:after="0"/>
              <w:rPr>
                <w:sz w:val="20"/>
                <w:szCs w:val="20"/>
                <w:color w:val="auto"/>
              </w:rPr>
            </w:pPr>
            <w:r>
              <w:rPr>
                <w:rFonts w:ascii="Times New Roman" w:cs="Times New Roman" w:eastAsia="Times New Roman" w:hAnsi="Times New Roman"/>
                <w:sz w:val="22"/>
                <w:szCs w:val="22"/>
                <w:color w:val="auto"/>
              </w:rPr>
              <w:t>59</w:t>
            </w:r>
          </w:p>
        </w:tc>
        <w:tc>
          <w:tcPr>
            <w:tcW w:w="186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07/27/2022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Reinvestment</w:t>
            </w:r>
          </w:p>
        </w:tc>
        <w:tc>
          <w:tcPr>
            <w:tcW w:w="200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10/26/2022</w:t>
            </w:r>
          </w:p>
        </w:tc>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Dividend</w:t>
            </w:r>
          </w:p>
        </w:tc>
        <w:tc>
          <w:tcPr>
            <w:tcW w:w="20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ind w:left="1220"/>
              <w:spacing w:after="0"/>
              <w:rPr>
                <w:sz w:val="20"/>
                <w:szCs w:val="20"/>
                <w:color w:val="auto"/>
              </w:rPr>
            </w:pPr>
            <w:r>
              <w:rPr>
                <w:rFonts w:ascii="Times New Roman" w:cs="Times New Roman" w:eastAsia="Times New Roman" w:hAnsi="Times New Roman"/>
                <w:sz w:val="22"/>
                <w:szCs w:val="22"/>
                <w:color w:val="auto"/>
              </w:rPr>
              <w:t>63</w:t>
            </w:r>
          </w:p>
        </w:tc>
        <w:tc>
          <w:tcPr>
            <w:tcW w:w="186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10/26/2022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Reinvestment</w:t>
            </w:r>
          </w:p>
        </w:tc>
        <w:tc>
          <w:tcPr>
            <w:tcW w:w="200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01/27/2023</w:t>
            </w:r>
          </w:p>
        </w:tc>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Dividend</w:t>
            </w:r>
          </w:p>
        </w:tc>
        <w:tc>
          <w:tcPr>
            <w:tcW w:w="20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ind w:left="1220"/>
              <w:spacing w:after="0"/>
              <w:rPr>
                <w:sz w:val="20"/>
                <w:szCs w:val="20"/>
                <w:color w:val="auto"/>
              </w:rPr>
            </w:pPr>
            <w:r>
              <w:rPr>
                <w:rFonts w:ascii="Times New Roman" w:cs="Times New Roman" w:eastAsia="Times New Roman" w:hAnsi="Times New Roman"/>
                <w:sz w:val="22"/>
                <w:szCs w:val="22"/>
                <w:color w:val="auto"/>
              </w:rPr>
              <w:t>55</w:t>
            </w:r>
          </w:p>
        </w:tc>
        <w:tc>
          <w:tcPr>
            <w:tcW w:w="186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01/27/2023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Reinvestment</w:t>
            </w:r>
          </w:p>
        </w:tc>
        <w:tc>
          <w:tcPr>
            <w:tcW w:w="200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-1695450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-1258570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-915670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09/13/2024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Russell R. Shaller</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2024-09-13T15:37:30Z</dcterms:created>
  <dcterms:modified xsi:type="dcterms:W3CDTF">2024-09-13T15:37:30Z</dcterms:modified>
</cp:coreProperties>
</file>