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1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5401945</wp:posOffset>
            </wp:positionH>
            <wp:positionV relativeFrom="paragraph">
              <wp:posOffset>-625475</wp:posOffset>
            </wp:positionV>
            <wp:extent cx="8255" cy="626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4090035</wp:posOffset>
            </wp:positionH>
            <wp:positionV relativeFrom="paragraph">
              <wp:posOffset>-633730</wp:posOffset>
            </wp:positionV>
            <wp:extent cx="825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4115435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-1518920</wp:posOffset>
            </wp:positionH>
            <wp:positionV relativeFrom="paragraph">
              <wp:posOffset>40640</wp:posOffset>
            </wp:positionV>
            <wp:extent cx="6964045" cy="1666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280"/>
            <w:col w:w="868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CIO &amp; VP - Digital Business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345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cover taxes on 2,643 restricted stock units that vested on September 14,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2020-09-15T15:54:05Z</dcterms:created>
  <dcterms:modified xsi:type="dcterms:W3CDTF">2020-09-15T15:54:05Z</dcterms:modified>
</cp:coreProperties>
</file>