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49,783.4095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599.6723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12,981.4171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08/01/2011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599.6723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29.53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303.8112 acquired on August 3, 2011 pursuant to a dividend reinvestment.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77.4199 acquired on August 2, 2011 pursuant to a dividend reinvestment.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2019-12-18T17:09:20Z</dcterms:created>
  <dcterms:modified xsi:type="dcterms:W3CDTF">2019-12-18T17:09:20Z</dcterms:modified>
</cp:coreProperties>
</file>