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8"/>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3"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58"/>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Date of Report (Date of earliest event reported): May 19,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198755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52" w:lineRule="exact"/>
        <w:rPr>
          <w:sz w:val="24"/>
          <w:szCs w:val="24"/>
          <w:color w:val="auto"/>
        </w:rPr>
      </w:pPr>
    </w:p>
    <w:tbl>
      <w:tblPr>
        <w:tblLayout w:type="fixed"/>
        <w:tblInd w:w="2379"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627"/>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ind w:left="47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319"/>
          </w:cols>
          <w:pgMar w:left="261" w:top="670" w:right="319" w:bottom="1440" w:gutter="0" w:footer="0" w:header="0"/>
        </w:sectPr>
      </w:pPr>
    </w:p>
    <w:bookmarkStart w:id="1" w:name="page2"/>
    <w:bookmarkEnd w:id="1"/>
    <w:p>
      <w:pPr>
        <w:ind w:left="20"/>
        <w:spacing w:after="0"/>
        <w:tabs>
          <w:tab w:leader="none" w:pos="94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jc w:val="both"/>
        <w:ind w:right="20" w:firstLine="579"/>
        <w:spacing w:after="0" w:line="279" w:lineRule="auto"/>
        <w:rPr>
          <w:sz w:val="20"/>
          <w:szCs w:val="20"/>
          <w:color w:val="auto"/>
        </w:rPr>
      </w:pPr>
      <w:r>
        <w:rPr>
          <w:rFonts w:ascii="Arial" w:cs="Arial" w:eastAsia="Arial" w:hAnsi="Arial"/>
          <w:sz w:val="16"/>
          <w:szCs w:val="16"/>
          <w:color w:val="auto"/>
        </w:rPr>
        <w:t>On May 19, 2016, Brady Corporation (the “Company”) issued a press release announcing its fiscal 2016 third quarter financial results. A copy of the press release is being furnished to the Securities and Exchange Commission as Exhibit 99.1 attached hereto and is incorporated herein by reference.</w:t>
      </w:r>
    </w:p>
    <w:p>
      <w:pPr>
        <w:spacing w:after="0" w:line="296"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7.01</w:t>
      </w:r>
      <w:r>
        <w:rPr>
          <w:sz w:val="20"/>
          <w:szCs w:val="20"/>
          <w:color w:val="auto"/>
        </w:rPr>
        <w:tab/>
      </w:r>
      <w:r>
        <w:rPr>
          <w:rFonts w:ascii="Arial" w:cs="Arial" w:eastAsia="Arial" w:hAnsi="Arial"/>
          <w:sz w:val="15"/>
          <w:szCs w:val="15"/>
          <w:color w:val="auto"/>
        </w:rPr>
        <w:t>REGULATION FD DISCLOSURE</w:t>
      </w:r>
    </w:p>
    <w:p>
      <w:pPr>
        <w:spacing w:after="0" w:line="226" w:lineRule="exact"/>
        <w:rPr>
          <w:sz w:val="20"/>
          <w:szCs w:val="20"/>
          <w:color w:val="auto"/>
        </w:rPr>
      </w:pPr>
    </w:p>
    <w:p>
      <w:pPr>
        <w:jc w:val="both"/>
        <w:ind w:right="20" w:firstLine="579"/>
        <w:spacing w:after="0" w:line="265" w:lineRule="auto"/>
        <w:rPr>
          <w:sz w:val="20"/>
          <w:szCs w:val="20"/>
          <w:color w:val="auto"/>
        </w:rPr>
      </w:pPr>
      <w:r>
        <w:rPr>
          <w:rFonts w:ascii="Arial" w:cs="Arial" w:eastAsia="Arial" w:hAnsi="Arial"/>
          <w:sz w:val="16"/>
          <w:szCs w:val="16"/>
          <w:color w:val="auto"/>
        </w:rPr>
        <w:t>On May 19, 2016, the Company hosted a conference call related to its fiscal 2016 third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0" w:type="dxa"/>
            <w:vAlign w:val="bottom"/>
          </w:tcPr>
          <w:p>
            <w:pPr>
              <w:ind w:left="20"/>
              <w:spacing w:after="0"/>
              <w:rPr>
                <w:sz w:val="20"/>
                <w:szCs w:val="20"/>
                <w:color w:val="auto"/>
              </w:rPr>
            </w:pPr>
            <w:r>
              <w:rPr>
                <w:rFonts w:ascii="Arial" w:cs="Arial" w:eastAsia="Arial" w:hAnsi="Arial"/>
                <w:sz w:val="16"/>
                <w:szCs w:val="16"/>
                <w:color w:val="auto"/>
              </w:rPr>
              <w:t>Item 9.01</w:t>
            </w:r>
          </w:p>
        </w:tc>
        <w:tc>
          <w:tcPr>
            <w:tcW w:w="7820" w:type="dxa"/>
            <w:vAlign w:val="bottom"/>
          </w:tcPr>
          <w:p>
            <w:pPr>
              <w:ind w:left="100"/>
              <w:spacing w:after="0"/>
              <w:rPr>
                <w:sz w:val="20"/>
                <w:szCs w:val="20"/>
                <w:color w:val="auto"/>
              </w:rPr>
            </w:pPr>
            <w:r>
              <w:rPr>
                <w:rFonts w:ascii="Arial" w:cs="Arial" w:eastAsia="Arial" w:hAnsi="Arial"/>
                <w:sz w:val="16"/>
                <w:szCs w:val="16"/>
                <w:color w:val="auto"/>
              </w:rPr>
              <w:t>FINANCIAL STATEMENTS AND EXHIBITS</w:t>
            </w:r>
          </w:p>
        </w:tc>
        <w:tc>
          <w:tcPr>
            <w:tcW w:w="0" w:type="dxa"/>
            <w:vAlign w:val="bottom"/>
          </w:tcPr>
          <w:p>
            <w:pPr>
              <w:spacing w:after="0"/>
              <w:rPr>
                <w:sz w:val="1"/>
                <w:szCs w:val="1"/>
                <w:color w:val="auto"/>
              </w:rPr>
            </w:pPr>
          </w:p>
        </w:tc>
      </w:tr>
      <w:tr>
        <w:trPr>
          <w:trHeight w:val="410"/>
        </w:trPr>
        <w:tc>
          <w:tcPr>
            <w:tcW w:w="860" w:type="dxa"/>
            <w:vAlign w:val="bottom"/>
          </w:tcPr>
          <w:p>
            <w:pPr>
              <w:spacing w:after="0"/>
              <w:rPr>
                <w:sz w:val="20"/>
                <w:szCs w:val="20"/>
                <w:color w:val="auto"/>
              </w:rPr>
            </w:pPr>
            <w:r>
              <w:rPr>
                <w:rFonts w:ascii="Arial" w:cs="Arial" w:eastAsia="Arial" w:hAnsi="Arial"/>
                <w:sz w:val="16"/>
                <w:szCs w:val="16"/>
                <w:color w:val="auto"/>
              </w:rPr>
              <w:t>(d) Exhibits</w:t>
            </w:r>
          </w:p>
        </w:tc>
        <w:tc>
          <w:tcPr>
            <w:tcW w:w="7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4"/>
                <w:szCs w:val="14"/>
                <w:color w:val="auto"/>
              </w:rPr>
              <w:t>EXHIBIT</w:t>
            </w:r>
          </w:p>
        </w:tc>
        <w:tc>
          <w:tcPr>
            <w:tcW w:w="7820" w:type="dxa"/>
            <w:vAlign w:val="bottom"/>
            <w:vMerge w:val="restart"/>
          </w:tcPr>
          <w:p>
            <w:pPr>
              <w:ind w:left="34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860" w:type="dxa"/>
            <w:vAlign w:val="bottom"/>
          </w:tcPr>
          <w:p>
            <w:pPr>
              <w:ind w:left="20"/>
              <w:spacing w:after="0"/>
              <w:rPr>
                <w:sz w:val="20"/>
                <w:szCs w:val="20"/>
                <w:color w:val="auto"/>
              </w:rPr>
            </w:pPr>
            <w:r>
              <w:rPr>
                <w:rFonts w:ascii="Arial" w:cs="Arial" w:eastAsia="Arial" w:hAnsi="Arial"/>
                <w:sz w:val="14"/>
                <w:szCs w:val="14"/>
                <w:color w:val="auto"/>
              </w:rPr>
              <w:t>NUMBER</w:t>
            </w:r>
          </w:p>
        </w:tc>
        <w:tc>
          <w:tcPr>
            <w:tcW w:w="7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60" w:type="dxa"/>
            <w:vAlign w:val="bottom"/>
            <w:tcBorders>
              <w:bottom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860" w:type="dxa"/>
            <w:vAlign w:val="bottom"/>
          </w:tcPr>
          <w:p>
            <w:pPr>
              <w:ind w:left="20"/>
              <w:spacing w:after="0"/>
              <w:rPr>
                <w:sz w:val="20"/>
                <w:szCs w:val="20"/>
                <w:color w:val="auto"/>
              </w:rPr>
            </w:pPr>
            <w:r>
              <w:rPr>
                <w:rFonts w:ascii="Arial" w:cs="Arial" w:eastAsia="Arial" w:hAnsi="Arial"/>
                <w:sz w:val="16"/>
                <w:szCs w:val="16"/>
                <w:color w:val="auto"/>
              </w:rPr>
              <w:t>99.1</w:t>
            </w:r>
          </w:p>
        </w:tc>
        <w:tc>
          <w:tcPr>
            <w:tcW w:w="7820" w:type="dxa"/>
            <w:vAlign w:val="bottom"/>
          </w:tcPr>
          <w:p>
            <w:pPr>
              <w:ind w:left="340"/>
              <w:spacing w:after="0"/>
              <w:rPr>
                <w:sz w:val="20"/>
                <w:szCs w:val="20"/>
                <w:color w:val="auto"/>
              </w:rPr>
            </w:pPr>
            <w:r>
              <w:rPr>
                <w:rFonts w:ascii="Arial" w:cs="Arial" w:eastAsia="Arial" w:hAnsi="Arial"/>
                <w:sz w:val="16"/>
                <w:szCs w:val="16"/>
                <w:color w:val="auto"/>
                <w:w w:val="96"/>
              </w:rPr>
              <w:t>Press Release of Brady Corporation, dated May 19, 2016, relating to third quarter fiscal 2016 financial results.</w:t>
            </w:r>
          </w:p>
        </w:tc>
        <w:tc>
          <w:tcPr>
            <w:tcW w:w="0" w:type="dxa"/>
            <w:vAlign w:val="bottom"/>
          </w:tcPr>
          <w:p>
            <w:pPr>
              <w:spacing w:after="0"/>
              <w:rPr>
                <w:sz w:val="1"/>
                <w:szCs w:val="1"/>
                <w:color w:val="auto"/>
              </w:rPr>
            </w:pPr>
          </w:p>
        </w:tc>
      </w:tr>
      <w:tr>
        <w:trPr>
          <w:trHeight w:val="301"/>
        </w:trPr>
        <w:tc>
          <w:tcPr>
            <w:tcW w:w="860" w:type="dxa"/>
            <w:vAlign w:val="bottom"/>
            <w:vMerge w:val="restart"/>
          </w:tcPr>
          <w:p>
            <w:pPr>
              <w:ind w:left="20"/>
              <w:spacing w:after="0"/>
              <w:rPr>
                <w:sz w:val="20"/>
                <w:szCs w:val="20"/>
                <w:color w:val="auto"/>
              </w:rPr>
            </w:pPr>
            <w:r>
              <w:rPr>
                <w:rFonts w:ascii="Arial" w:cs="Arial" w:eastAsia="Arial" w:hAnsi="Arial"/>
                <w:sz w:val="16"/>
                <w:szCs w:val="16"/>
                <w:color w:val="auto"/>
              </w:rPr>
              <w:t>99.2</w:t>
            </w:r>
          </w:p>
        </w:tc>
        <w:tc>
          <w:tcPr>
            <w:tcW w:w="7820" w:type="dxa"/>
            <w:vAlign w:val="bottom"/>
          </w:tcPr>
          <w:p>
            <w:pPr>
              <w:ind w:left="340"/>
              <w:spacing w:after="0"/>
              <w:rPr>
                <w:sz w:val="20"/>
                <w:szCs w:val="20"/>
                <w:color w:val="auto"/>
              </w:rPr>
            </w:pPr>
            <w:r>
              <w:rPr>
                <w:rFonts w:ascii="Arial" w:cs="Arial" w:eastAsia="Arial" w:hAnsi="Arial"/>
                <w:sz w:val="16"/>
                <w:szCs w:val="16"/>
                <w:color w:val="auto"/>
                <w:w w:val="98"/>
              </w:rPr>
              <w:t>Informational slides provided by Brady Corporation, dated May 19, 2016, relating to third quarter fiscal 2016</w:t>
            </w:r>
          </w:p>
        </w:tc>
        <w:tc>
          <w:tcPr>
            <w:tcW w:w="0" w:type="dxa"/>
            <w:vAlign w:val="bottom"/>
          </w:tcPr>
          <w:p>
            <w:pPr>
              <w:spacing w:after="0"/>
              <w:rPr>
                <w:sz w:val="1"/>
                <w:szCs w:val="1"/>
                <w:color w:val="auto"/>
              </w:rPr>
            </w:pPr>
          </w:p>
        </w:tc>
      </w:tr>
      <w:tr>
        <w:trPr>
          <w:trHeight w:val="109"/>
        </w:trPr>
        <w:tc>
          <w:tcPr>
            <w:tcW w:w="860" w:type="dxa"/>
            <w:vAlign w:val="bottom"/>
            <w:vMerge w:val="continue"/>
          </w:tcPr>
          <w:p>
            <w:pPr>
              <w:spacing w:after="0"/>
              <w:rPr>
                <w:sz w:val="9"/>
                <w:szCs w:val="9"/>
                <w:color w:val="auto"/>
              </w:rPr>
            </w:pPr>
          </w:p>
        </w:tc>
        <w:tc>
          <w:tcPr>
            <w:tcW w:w="7820" w:type="dxa"/>
            <w:vAlign w:val="bottom"/>
            <w:vMerge w:val="restart"/>
          </w:tcPr>
          <w:p>
            <w:pPr>
              <w:ind w:left="34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r>
        <w:trPr>
          <w:trHeight w:val="96"/>
        </w:trPr>
        <w:tc>
          <w:tcPr>
            <w:tcW w:w="860" w:type="dxa"/>
            <w:vAlign w:val="bottom"/>
          </w:tcPr>
          <w:p>
            <w:pPr>
              <w:spacing w:after="0"/>
              <w:rPr>
                <w:sz w:val="8"/>
                <w:szCs w:val="8"/>
                <w:color w:val="auto"/>
              </w:rPr>
            </w:pPr>
          </w:p>
        </w:tc>
        <w:tc>
          <w:tcPr>
            <w:tcW w:w="7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5940" w:val="left"/>
        </w:tabs>
        <w:rPr>
          <w:sz w:val="20"/>
          <w:szCs w:val="20"/>
          <w:color w:val="auto"/>
        </w:rPr>
      </w:pPr>
      <w:r>
        <w:rPr>
          <w:rFonts w:ascii="Arial" w:cs="Arial" w:eastAsia="Arial" w:hAnsi="Arial"/>
          <w:sz w:val="16"/>
          <w:szCs w:val="16"/>
          <w:color w:val="auto"/>
        </w:rPr>
        <w:t>Date: May 19, 2016</w:t>
      </w:r>
      <w:r>
        <w:rPr>
          <w:sz w:val="20"/>
          <w:szCs w:val="20"/>
          <w:color w:val="auto"/>
        </w:rPr>
        <w:tab/>
      </w:r>
      <w:r>
        <w:rPr>
          <w:rFonts w:ascii="Arial" w:cs="Arial" w:eastAsia="Arial" w:hAnsi="Arial"/>
          <w:sz w:val="15"/>
          <w:szCs w:val="15"/>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29210</wp:posOffset>
            </wp:positionV>
            <wp:extent cx="3484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Aaron J. Pearce</w:t>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Senior Vice President, Chief Financial Officer and Chief Accounting Officer</w:t>
      </w:r>
    </w:p>
    <w:p>
      <w:pPr>
        <w:sectPr>
          <w:pgSz w:w="11900" w:h="16838" w:orient="portrait"/>
          <w:cols w:equalWidth="0" w:num="1">
            <w:col w:w="11440"/>
          </w:cols>
          <w:pgMar w:left="240" w:top="682"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920" w:type="dxa"/>
            <w:vAlign w:val="bottom"/>
          </w:tcPr>
          <w:p>
            <w:pPr>
              <w:spacing w:after="0"/>
              <w:rPr>
                <w:sz w:val="17"/>
                <w:szCs w:val="17"/>
                <w:color w:val="auto"/>
              </w:rPr>
            </w:pPr>
          </w:p>
        </w:tc>
        <w:tc>
          <w:tcPr>
            <w:tcW w:w="7760" w:type="dxa"/>
            <w:vAlign w:val="bottom"/>
          </w:tcPr>
          <w:p>
            <w:pPr>
              <w:ind w:left="4200"/>
              <w:spacing w:after="0"/>
              <w:rPr>
                <w:sz w:val="20"/>
                <w:szCs w:val="20"/>
                <w:color w:val="auto"/>
              </w:rPr>
            </w:pPr>
            <w:r>
              <w:rPr>
                <w:rFonts w:ascii="Arial" w:cs="Arial" w:eastAsia="Arial" w:hAnsi="Arial"/>
                <w:sz w:val="16"/>
                <w:szCs w:val="16"/>
                <w:color w:val="auto"/>
              </w:rPr>
              <w:t>EXHIBIT INDEX</w:t>
            </w:r>
          </w:p>
        </w:tc>
        <w:tc>
          <w:tcPr>
            <w:tcW w:w="0" w:type="dxa"/>
            <w:vAlign w:val="bottom"/>
          </w:tcPr>
          <w:p>
            <w:pPr>
              <w:spacing w:after="0"/>
              <w:rPr>
                <w:sz w:val="1"/>
                <w:szCs w:val="1"/>
                <w:color w:val="auto"/>
              </w:rPr>
            </w:pPr>
          </w:p>
        </w:tc>
      </w:tr>
      <w:tr>
        <w:trPr>
          <w:trHeight w:val="511"/>
        </w:trPr>
        <w:tc>
          <w:tcPr>
            <w:tcW w:w="920" w:type="dxa"/>
            <w:vAlign w:val="bottom"/>
          </w:tcPr>
          <w:p>
            <w:pPr>
              <w:ind w:left="20"/>
              <w:spacing w:after="0"/>
              <w:rPr>
                <w:sz w:val="20"/>
                <w:szCs w:val="20"/>
                <w:color w:val="auto"/>
              </w:rPr>
            </w:pPr>
            <w:r>
              <w:rPr>
                <w:rFonts w:ascii="Arial" w:cs="Arial" w:eastAsia="Arial" w:hAnsi="Arial"/>
                <w:sz w:val="14"/>
                <w:szCs w:val="14"/>
                <w:color w:val="auto"/>
              </w:rPr>
              <w:t>EXHIBIT</w:t>
            </w:r>
          </w:p>
        </w:tc>
        <w:tc>
          <w:tcPr>
            <w:tcW w:w="7760" w:type="dxa"/>
            <w:vAlign w:val="bottom"/>
            <w:vMerge w:val="restart"/>
          </w:tcPr>
          <w:p>
            <w:pPr>
              <w:ind w:left="28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920" w:type="dxa"/>
            <w:vAlign w:val="bottom"/>
          </w:tcPr>
          <w:p>
            <w:pPr>
              <w:ind w:left="20"/>
              <w:spacing w:after="0"/>
              <w:rPr>
                <w:sz w:val="20"/>
                <w:szCs w:val="20"/>
                <w:color w:val="auto"/>
              </w:rPr>
            </w:pPr>
            <w:r>
              <w:rPr>
                <w:rFonts w:ascii="Arial" w:cs="Arial" w:eastAsia="Arial" w:hAnsi="Arial"/>
                <w:sz w:val="14"/>
                <w:szCs w:val="14"/>
                <w:color w:val="auto"/>
              </w:rPr>
              <w:t>NUMBER</w:t>
            </w:r>
          </w:p>
        </w:tc>
        <w:tc>
          <w:tcPr>
            <w:tcW w:w="7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20" w:type="dxa"/>
            <w:vAlign w:val="bottom"/>
            <w:tcBorders>
              <w:bottom w:val="single" w:sz="8" w:color="auto"/>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920" w:type="dxa"/>
            <w:vAlign w:val="bottom"/>
          </w:tcPr>
          <w:p>
            <w:pPr>
              <w:ind w:left="20"/>
              <w:spacing w:after="0"/>
              <w:rPr>
                <w:sz w:val="20"/>
                <w:szCs w:val="20"/>
                <w:color w:val="auto"/>
              </w:rPr>
            </w:pPr>
            <w:r>
              <w:rPr>
                <w:rFonts w:ascii="Arial" w:cs="Arial" w:eastAsia="Arial" w:hAnsi="Arial"/>
                <w:sz w:val="16"/>
                <w:szCs w:val="16"/>
                <w:color w:val="auto"/>
              </w:rPr>
              <w:t>99.1</w:t>
            </w:r>
          </w:p>
        </w:tc>
        <w:tc>
          <w:tcPr>
            <w:tcW w:w="7760" w:type="dxa"/>
            <w:vAlign w:val="bottom"/>
          </w:tcPr>
          <w:p>
            <w:pPr>
              <w:ind w:left="280"/>
              <w:spacing w:after="0"/>
              <w:rPr>
                <w:sz w:val="20"/>
                <w:szCs w:val="20"/>
                <w:color w:val="auto"/>
              </w:rPr>
            </w:pPr>
            <w:r>
              <w:rPr>
                <w:rFonts w:ascii="Arial" w:cs="Arial" w:eastAsia="Arial" w:hAnsi="Arial"/>
                <w:sz w:val="16"/>
                <w:szCs w:val="16"/>
                <w:color w:val="auto"/>
                <w:w w:val="96"/>
              </w:rPr>
              <w:t>Press Release of Brady Corporation, dated May 19, 2016, relating to third quarter fiscal 2016 financial results.</w:t>
            </w:r>
          </w:p>
        </w:tc>
        <w:tc>
          <w:tcPr>
            <w:tcW w:w="0" w:type="dxa"/>
            <w:vAlign w:val="bottom"/>
          </w:tcPr>
          <w:p>
            <w:pPr>
              <w:spacing w:after="0"/>
              <w:rPr>
                <w:sz w:val="1"/>
                <w:szCs w:val="1"/>
                <w:color w:val="auto"/>
              </w:rPr>
            </w:pPr>
          </w:p>
        </w:tc>
      </w:tr>
      <w:tr>
        <w:trPr>
          <w:trHeight w:val="301"/>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99.2</w:t>
            </w:r>
          </w:p>
        </w:tc>
        <w:tc>
          <w:tcPr>
            <w:tcW w:w="7760" w:type="dxa"/>
            <w:vAlign w:val="bottom"/>
          </w:tcPr>
          <w:p>
            <w:pPr>
              <w:ind w:left="280"/>
              <w:spacing w:after="0"/>
              <w:rPr>
                <w:sz w:val="20"/>
                <w:szCs w:val="20"/>
                <w:color w:val="auto"/>
              </w:rPr>
            </w:pPr>
            <w:r>
              <w:rPr>
                <w:rFonts w:ascii="Arial" w:cs="Arial" w:eastAsia="Arial" w:hAnsi="Arial"/>
                <w:sz w:val="16"/>
                <w:szCs w:val="16"/>
                <w:color w:val="auto"/>
                <w:w w:val="98"/>
              </w:rPr>
              <w:t>Informational slides provided by Brady Corporation, dated May 19, 2016, relating to third quarter fiscal 2016</w:t>
            </w:r>
          </w:p>
        </w:tc>
        <w:tc>
          <w:tcPr>
            <w:tcW w:w="0" w:type="dxa"/>
            <w:vAlign w:val="bottom"/>
          </w:tcPr>
          <w:p>
            <w:pPr>
              <w:spacing w:after="0"/>
              <w:rPr>
                <w:sz w:val="1"/>
                <w:szCs w:val="1"/>
                <w:color w:val="auto"/>
              </w:rPr>
            </w:pPr>
          </w:p>
        </w:tc>
      </w:tr>
      <w:tr>
        <w:trPr>
          <w:trHeight w:val="109"/>
        </w:trPr>
        <w:tc>
          <w:tcPr>
            <w:tcW w:w="920" w:type="dxa"/>
            <w:vAlign w:val="bottom"/>
            <w:vMerge w:val="continue"/>
          </w:tcPr>
          <w:p>
            <w:pPr>
              <w:spacing w:after="0"/>
              <w:rPr>
                <w:sz w:val="9"/>
                <w:szCs w:val="9"/>
                <w:color w:val="auto"/>
              </w:rPr>
            </w:pPr>
          </w:p>
        </w:tc>
        <w:tc>
          <w:tcPr>
            <w:tcW w:w="7760" w:type="dxa"/>
            <w:vAlign w:val="bottom"/>
            <w:vMerge w:val="restart"/>
          </w:tcPr>
          <w:p>
            <w:pPr>
              <w:ind w:left="28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r>
        <w:trPr>
          <w:trHeight w:val="96"/>
        </w:trPr>
        <w:tc>
          <w:tcPr>
            <w:tcW w:w="920" w:type="dxa"/>
            <w:vAlign w:val="bottom"/>
          </w:tcPr>
          <w:p>
            <w:pPr>
              <w:spacing w:after="0"/>
              <w:rPr>
                <w:sz w:val="8"/>
                <w:szCs w:val="8"/>
                <w:color w:val="auto"/>
              </w:rPr>
            </w:pPr>
          </w:p>
        </w:tc>
        <w:tc>
          <w:tcPr>
            <w:tcW w:w="7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3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Ann Thornton 414-438-6887</w:t>
      </w:r>
    </w:p>
    <w:p>
      <w:pPr>
        <w:spacing w:after="0"/>
        <w:rPr>
          <w:sz w:val="20"/>
          <w:szCs w:val="20"/>
          <w:color w:val="auto"/>
        </w:rPr>
      </w:pPr>
      <w:r>
        <w:rPr>
          <w:rFonts w:ascii="Arial" w:cs="Arial" w:eastAsia="Arial" w:hAnsi="Arial"/>
          <w:sz w:val="18"/>
          <w:szCs w:val="18"/>
          <w:color w:val="auto"/>
        </w:rPr>
        <w:t>Media contact: Kate Venne 414-358-5176</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2016 Third Quarter Results and Increases its Fiscal 2016 EPS Guidance</w:t>
      </w:r>
    </w:p>
    <w:p>
      <w:pPr>
        <w:spacing w:after="0" w:line="330" w:lineRule="exact"/>
        <w:rPr>
          <w:sz w:val="20"/>
          <w:szCs w:val="20"/>
          <w:color w:val="auto"/>
        </w:rPr>
      </w:pPr>
    </w:p>
    <w:p>
      <w:pPr>
        <w:ind w:left="580" w:right="20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Earnings per diluted Class A Nonvoting Common Share of $0.42 in the third quarter of fiscal 2016 were up 27.3 percent and 23.5 percent compared to GAAP and non-GAAP earnings from continuing operations per diluted Class A Nonvoting Common Share* of $0.33 and $0.34, respectively, in the same quarter of the prior year.</w:t>
      </w:r>
    </w:p>
    <w:p>
      <w:pPr>
        <w:spacing w:after="0" w:line="1"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Organic revenue decline of 0.1 percent for the quarter ended April 30, 2016.</w:t>
      </w:r>
    </w:p>
    <w:p>
      <w:pPr>
        <w:spacing w:after="0" w:line="94" w:lineRule="exact"/>
        <w:rPr>
          <w:rFonts w:ascii="Arial" w:cs="Arial" w:eastAsia="Arial" w:hAnsi="Arial"/>
          <w:sz w:val="16"/>
          <w:szCs w:val="16"/>
          <w:color w:val="auto"/>
        </w:rPr>
      </w:pPr>
    </w:p>
    <w:p>
      <w:pPr>
        <w:ind w:left="580" w:right="14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Net cash provided by operating activities was $40.3 million during the third quarter of fiscal 2016, compared to $28.8 million in the same quarter of the prior year.</w:t>
      </w:r>
    </w:p>
    <w:p>
      <w:pPr>
        <w:spacing w:after="0" w:line="1"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Earnings per diluted Class A Common Share guidance for the full year ending July 31, 2016, increased to a range of $1.37 to $1.45.</w:t>
      </w:r>
    </w:p>
    <w:p>
      <w:pPr>
        <w:spacing w:after="0" w:line="372" w:lineRule="exact"/>
        <w:rPr>
          <w:sz w:val="20"/>
          <w:szCs w:val="20"/>
          <w:color w:val="auto"/>
        </w:rPr>
      </w:pPr>
    </w:p>
    <w:p>
      <w:pPr>
        <w:ind w:right="620"/>
        <w:spacing w:after="0" w:line="368" w:lineRule="auto"/>
        <w:rPr>
          <w:sz w:val="20"/>
          <w:szCs w:val="20"/>
          <w:color w:val="auto"/>
        </w:rPr>
      </w:pPr>
      <w:r>
        <w:rPr>
          <w:rFonts w:ascii="Arial" w:cs="Arial" w:eastAsia="Arial" w:hAnsi="Arial"/>
          <w:sz w:val="18"/>
          <w:szCs w:val="18"/>
          <w:color w:val="auto"/>
        </w:rPr>
        <w:t>MILWAUKEE (May 19, 2016)--Brady Corporation (NYSE: BRC) (“Brady” or “Company”), a world leader in identification solutions, today reported its financial results for its fiscal 2016 third quarter ended April 30, 2016.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April 30, 2016 Financial Results:</w:t>
      </w:r>
    </w:p>
    <w:p>
      <w:pPr>
        <w:spacing w:after="0" w:line="101" w:lineRule="exact"/>
        <w:rPr>
          <w:sz w:val="20"/>
          <w:szCs w:val="20"/>
          <w:color w:val="auto"/>
        </w:rPr>
      </w:pPr>
    </w:p>
    <w:p>
      <w:pPr>
        <w:ind w:right="60" w:firstLine="579"/>
        <w:spacing w:after="0" w:line="349" w:lineRule="auto"/>
        <w:rPr>
          <w:sz w:val="20"/>
          <w:szCs w:val="20"/>
          <w:color w:val="auto"/>
        </w:rPr>
      </w:pPr>
      <w:r>
        <w:rPr>
          <w:rFonts w:ascii="Arial" w:cs="Arial" w:eastAsia="Arial" w:hAnsi="Arial"/>
          <w:sz w:val="18"/>
          <w:szCs w:val="18"/>
          <w:color w:val="auto"/>
        </w:rPr>
        <w:t>Net earnings for the quarter ended April 30, 2016, were $21.0 million compared to $17.2 million in the same quarter last year. Non-GAAP net earnings* were $17.6 million for the quarter ended April 30, 2015.</w:t>
      </w:r>
    </w:p>
    <w:p>
      <w:pPr>
        <w:spacing w:after="0" w:line="1" w:lineRule="exact"/>
        <w:rPr>
          <w:sz w:val="20"/>
          <w:szCs w:val="20"/>
          <w:color w:val="auto"/>
        </w:rPr>
      </w:pPr>
    </w:p>
    <w:p>
      <w:pPr>
        <w:ind w:right="260" w:firstLine="579"/>
        <w:spacing w:after="0" w:line="370" w:lineRule="auto"/>
        <w:rPr>
          <w:sz w:val="20"/>
          <w:szCs w:val="20"/>
          <w:color w:val="auto"/>
        </w:rPr>
      </w:pPr>
      <w:r>
        <w:rPr>
          <w:rFonts w:ascii="Arial" w:cs="Arial" w:eastAsia="Arial" w:hAnsi="Arial"/>
          <w:sz w:val="17"/>
          <w:szCs w:val="17"/>
          <w:color w:val="auto"/>
        </w:rPr>
        <w:t>Earnings per diluted Class A Nonvoting Common Share were $0.42 for the third quarter ended April 30, 2016, compared to $0.33 in the same quarter last year. Non-GAAP earnings per diluted Class A Nonvoting Common Share* were $0.34 for the quarter ended April 30, 2015.</w:t>
      </w:r>
    </w:p>
    <w:p>
      <w:pPr>
        <w:ind w:right="160" w:firstLine="579"/>
        <w:spacing w:after="0" w:line="359" w:lineRule="auto"/>
        <w:rPr>
          <w:sz w:val="20"/>
          <w:szCs w:val="20"/>
          <w:color w:val="auto"/>
        </w:rPr>
      </w:pPr>
      <w:r>
        <w:rPr>
          <w:rFonts w:ascii="Arial" w:cs="Arial" w:eastAsia="Arial" w:hAnsi="Arial"/>
          <w:sz w:val="18"/>
          <w:szCs w:val="18"/>
          <w:color w:val="auto"/>
        </w:rPr>
        <w:t>Sales for the quarter ended April 30, 2016, decreased 1.2 percent to $286.8 million compared to $290.2 million in the third quarter of fiscal 2015. Total organic sales decreased 0.1 percent and foreign currency translation decreased sales by 1.1 percent. By segment, organic sales decreased 0.8 percent in Identification Solutions and increased 1.2 percent in Workplace Safety.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Period Ended April 30, 2016 Financial Results:</w:t>
      </w:r>
    </w:p>
    <w:p>
      <w:pPr>
        <w:spacing w:after="0" w:line="101" w:lineRule="exact"/>
        <w:rPr>
          <w:sz w:val="20"/>
          <w:szCs w:val="20"/>
          <w:color w:val="auto"/>
        </w:rPr>
      </w:pPr>
    </w:p>
    <w:p>
      <w:pPr>
        <w:ind w:right="300" w:firstLine="579"/>
        <w:spacing w:after="0" w:line="368" w:lineRule="auto"/>
        <w:rPr>
          <w:sz w:val="20"/>
          <w:szCs w:val="20"/>
          <w:color w:val="auto"/>
        </w:rPr>
      </w:pPr>
      <w:r>
        <w:rPr>
          <w:rFonts w:ascii="Arial" w:cs="Arial" w:eastAsia="Arial" w:hAnsi="Arial"/>
          <w:sz w:val="18"/>
          <w:szCs w:val="18"/>
          <w:color w:val="auto"/>
        </w:rPr>
        <w:t>Net earnings for the nine-month period ended April 30, 2016, were $55.0 million compared to $42.4 million in the same period last year. Non-GAAP earnings from continuing operations* were $51.1 million for the nine-month period ended April 30, 2015.</w:t>
      </w:r>
    </w:p>
    <w:p>
      <w:pPr>
        <w:sectPr>
          <w:pgSz w:w="11900" w:h="16838" w:orient="portrait"/>
          <w:cols w:equalWidth="0" w:num="1">
            <w:col w:w="11440"/>
          </w:cols>
          <w:pgMar w:left="240" w:top="734" w:right="219" w:bottom="1440" w:gutter="0" w:footer="0" w:header="0"/>
        </w:sectPr>
      </w:pPr>
    </w:p>
    <w:bookmarkStart w:id="4" w:name="page5"/>
    <w:bookmarkEnd w:id="4"/>
    <w:p>
      <w:pPr>
        <w:ind w:firstLine="579"/>
        <w:spacing w:after="0" w:line="370" w:lineRule="auto"/>
        <w:rPr>
          <w:sz w:val="20"/>
          <w:szCs w:val="20"/>
          <w:color w:val="auto"/>
        </w:rPr>
      </w:pPr>
      <w:r>
        <w:rPr>
          <w:rFonts w:ascii="Arial" w:cs="Arial" w:eastAsia="Arial" w:hAnsi="Arial"/>
          <w:sz w:val="17"/>
          <w:szCs w:val="17"/>
          <w:color w:val="auto"/>
        </w:rPr>
        <w:t>Earnings per diluted Class A Nonvoting Common Share were $1.08 for the nine-month period ended April 30, 2016, compared to earnings from continuing operations per diluted Class A Nonvoting Common Share of $0.86 in the same period in fiscal 2015. Non-GAAP earnings from continuing operations per diluted Class A Nonvoting Common Share* were $0.99 for the nine-month period ended April 30, 2015.</w:t>
      </w:r>
    </w:p>
    <w:p>
      <w:pPr>
        <w:spacing w:after="0" w:line="1" w:lineRule="exact"/>
        <w:rPr>
          <w:sz w:val="20"/>
          <w:szCs w:val="20"/>
          <w:color w:val="auto"/>
        </w:rPr>
      </w:pPr>
    </w:p>
    <w:p>
      <w:pPr>
        <w:ind w:right="220" w:firstLine="579"/>
        <w:spacing w:after="0" w:line="359" w:lineRule="auto"/>
        <w:rPr>
          <w:sz w:val="20"/>
          <w:szCs w:val="20"/>
          <w:color w:val="auto"/>
        </w:rPr>
      </w:pPr>
      <w:r>
        <w:rPr>
          <w:rFonts w:ascii="Arial" w:cs="Arial" w:eastAsia="Arial" w:hAnsi="Arial"/>
          <w:sz w:val="18"/>
          <w:szCs w:val="18"/>
          <w:color w:val="auto"/>
        </w:rPr>
        <w:t>Sales for the nine-month period ended April 30, 2016, decreased 5.0 percent to $838.5 million compared to $883.1 million in the same period in fiscal 2015. Total organic sales decreased 0.7 percent and the impact of foreign currency translation decreased sales by 4.3 percent. By segment, organic sales decreased 0.9 percent in Identification Solutions and decreased 0.2 percent in Workplace Safety.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w:t>
      </w:r>
    </w:p>
    <w:p>
      <w:pPr>
        <w:spacing w:after="0" w:line="101" w:lineRule="exact"/>
        <w:rPr>
          <w:sz w:val="20"/>
          <w:szCs w:val="20"/>
          <w:color w:val="auto"/>
        </w:rPr>
      </w:pPr>
    </w:p>
    <w:p>
      <w:pPr>
        <w:ind w:right="20" w:firstLine="579"/>
        <w:spacing w:after="0" w:line="349" w:lineRule="auto"/>
        <w:rPr>
          <w:sz w:val="20"/>
          <w:szCs w:val="20"/>
          <w:color w:val="auto"/>
        </w:rPr>
      </w:pPr>
      <w:r>
        <w:rPr>
          <w:rFonts w:ascii="Arial" w:cs="Arial" w:eastAsia="Arial" w:hAnsi="Arial"/>
          <w:sz w:val="18"/>
          <w:szCs w:val="18"/>
          <w:color w:val="auto"/>
        </w:rPr>
        <w:t>“We continue to realize benefits from our focus on operational efficiency and local accountability, as our gross profit margin, segment profit margins and net earnings have all improved on a year-over-year basis for the third consecutive quarter,” said Brady’s President and Chief Executive Officer, J. Michael Nauman. “Organic sales were essentially flat this quarter, and we expect to face continued economic challenges in certain industrial markets and geographies. Our top priorities remain unchanged, which are to grow our pipeline of innovative new products and deliver operational efficiencies while serving our customers exceptionally well. I am pleased with our ability to improve our financial performance while simultaneously investing in our capabilities to create innovative solutions for our customers. Our consistent focus on our long-term strategy has positioned Brady to compete effectively and deliver improved results to our shareholders.”</w:t>
      </w:r>
    </w:p>
    <w:p>
      <w:pPr>
        <w:spacing w:after="0" w:line="4" w:lineRule="exact"/>
        <w:rPr>
          <w:sz w:val="20"/>
          <w:szCs w:val="20"/>
          <w:color w:val="auto"/>
        </w:rPr>
      </w:pPr>
    </w:p>
    <w:p>
      <w:pPr>
        <w:ind w:firstLine="579"/>
        <w:spacing w:after="0" w:line="354" w:lineRule="auto"/>
        <w:rPr>
          <w:sz w:val="20"/>
          <w:szCs w:val="20"/>
          <w:color w:val="auto"/>
        </w:rPr>
      </w:pPr>
      <w:r>
        <w:rPr>
          <w:rFonts w:ascii="Arial" w:cs="Arial" w:eastAsia="Arial" w:hAnsi="Arial"/>
          <w:sz w:val="18"/>
          <w:szCs w:val="18"/>
          <w:color w:val="auto"/>
        </w:rPr>
        <w:t>“Our focus on operational efficiency continues to result in improved cash flow. During the quarter ended April 30, 2016, net cash provided by operating activities increased to $40.3 million from $28.8 million in the same quarter of last year. Our year-to-date net cash provided by operating activities has increased by 87 percent as we finished with $98.6 million for the nine-month period ended April 30, 2016, compared with $52.7 million for the same period last year,” said Brady’s Chief Financial Officer, Aaron Pearce. “As a result of our strong cash generation, our balance sheet continues to provide significant flexibility for future investment.”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Guidance:</w:t>
      </w:r>
    </w:p>
    <w:p>
      <w:pPr>
        <w:spacing w:after="0" w:line="101" w:lineRule="exact"/>
        <w:rPr>
          <w:sz w:val="20"/>
          <w:szCs w:val="20"/>
          <w:color w:val="auto"/>
        </w:rPr>
      </w:pPr>
    </w:p>
    <w:p>
      <w:pPr>
        <w:jc w:val="both"/>
        <w:ind w:right="120" w:firstLine="579"/>
        <w:spacing w:after="0" w:line="443" w:lineRule="auto"/>
        <w:rPr>
          <w:sz w:val="20"/>
          <w:szCs w:val="20"/>
          <w:color w:val="auto"/>
        </w:rPr>
      </w:pPr>
      <w:r>
        <w:rPr>
          <w:rFonts w:ascii="Arial" w:cs="Arial" w:eastAsia="Arial" w:hAnsi="Arial"/>
          <w:sz w:val="15"/>
          <w:szCs w:val="15"/>
          <w:color w:val="auto"/>
        </w:rPr>
        <w:t>The Company is increasing its earnings per share guidance for the full year ending July 31, 2016, and anticipates earnings per diluted Class A Common Share to range from $1.37 to $1.45. Included in this guidance is a low-single digit decline in organic sales for the full fiscal year, which is reflective of ongoing economic challenges. Offsetting these anticipated organic sales declines are efficiency gains in the Company’s manufacturing facilities and selling, general, and administrative expenses. This guidance is based upon exchange rates as of April 30, 2016, and a full-year income tax rate in the upper 20 percent range.</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2016 third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ectPr>
          <w:pgSz w:w="11900" w:h="16838" w:orient="portrait"/>
          <w:cols w:equalWidth="0" w:num="1">
            <w:col w:w="11420"/>
          </w:cols>
          <w:pgMar w:left="240" w:top="583" w:right="239" w:bottom="1440" w:gutter="0" w:footer="0" w:header="0"/>
        </w:sectPr>
      </w:pPr>
    </w:p>
    <w:bookmarkStart w:id="5" w:name="page6"/>
    <w:bookmarkEnd w:id="5"/>
    <w:p>
      <w:pPr>
        <w:ind w:right="80" w:firstLine="579"/>
        <w:spacing w:after="0" w:line="377"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2015, employed approximately 6,400 people in its worldwide businesses. Brady’s fiscal 2015 sales were approximately $1.17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See accompanying notes for Non-GAAP measures.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3"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Workplace Safety strategy; Brady’s ability to develop and successfully market technologically advanced new products; technology changes and potential security violations to the Company’s information technology systems; future competition; future financial performance of major markets Brady serves, which include, without limitation, telecommunications, hard disk drive, manufacturing, electrical, construction, laboratory, education, governmental, public utility, computer, healthcare and transportation; fluctuations in currency rates versus the U.S. dollar; risks associated with international operations; difficulties associated with exports; changes in the supply of, or price for, parts and components; increased price pressure from suppliers and customers; Brady’s ability to retain significant contracts and customers; risk associated with loss of key talent; risks associated with obtaining governmental approvals and maintaining regulatory compliance; risk associated with product liability claims; environmental, health and safety compliance costs and liabilities; potential write-offs of Brady’s substantial intangible assets; unforeseen tax consequences; risks associated with restructuring plans and maintaining acceptable operational service metrics; risks associated with divestitures; risks associated with identifying, completing, and integrating acquisitions; risks associated with our ownership structure; Brady’s ability to maintain compliance with its debt covenants; increase in our level of debt;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2015.</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20"/>
          </w:cols>
          <w:pgMar w:left="240" w:top="583"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EARNINGS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5"/>
          </w:tcPr>
          <w:p>
            <w:pPr>
              <w:ind w:left="80"/>
              <w:spacing w:after="0"/>
              <w:rPr>
                <w:sz w:val="20"/>
                <w:szCs w:val="20"/>
                <w:color w:val="auto"/>
              </w:rPr>
            </w:pPr>
            <w:r>
              <w:rPr>
                <w:rFonts w:ascii="Arial" w:cs="Arial" w:eastAsia="Arial" w:hAnsi="Arial"/>
                <w:sz w:val="14"/>
                <w:szCs w:val="14"/>
                <w:color w:val="auto"/>
              </w:rPr>
              <w:t>Three months ended April 30,</w:t>
            </w:r>
          </w:p>
        </w:tc>
        <w:tc>
          <w:tcPr>
            <w:tcW w:w="200" w:type="dxa"/>
            <w:vAlign w:val="bottom"/>
          </w:tcPr>
          <w:p>
            <w:pPr>
              <w:spacing w:after="0"/>
              <w:rPr>
                <w:sz w:val="15"/>
                <w:szCs w:val="15"/>
                <w:color w:val="auto"/>
              </w:rPr>
            </w:pPr>
          </w:p>
        </w:tc>
        <w:tc>
          <w:tcPr>
            <w:tcW w:w="2040" w:type="dxa"/>
            <w:vAlign w:val="bottom"/>
            <w:gridSpan w:val="4"/>
          </w:tcPr>
          <w:p>
            <w:pPr>
              <w:jc w:val="right"/>
              <w:ind w:right="188"/>
              <w:spacing w:after="0"/>
              <w:rPr>
                <w:sz w:val="20"/>
                <w:szCs w:val="20"/>
                <w:color w:val="auto"/>
              </w:rPr>
            </w:pPr>
            <w:r>
              <w:rPr>
                <w:rFonts w:ascii="Arial" w:cs="Arial" w:eastAsia="Arial" w:hAnsi="Arial"/>
                <w:sz w:val="14"/>
                <w:szCs w:val="14"/>
                <w:color w:val="auto"/>
                <w:w w:val="99"/>
              </w:rPr>
              <w:t>Nine months ended April 30,</w:t>
            </w:r>
          </w:p>
        </w:tc>
      </w:tr>
      <w:tr>
        <w:trPr>
          <w:trHeight w:val="30"/>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2015</w:t>
            </w:r>
          </w:p>
        </w:tc>
      </w:tr>
      <w:tr>
        <w:trPr>
          <w:trHeight w:val="30"/>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286,816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290,227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838,519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883,095</w:t>
            </w: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141,373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149,228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420,835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453,732</w:t>
            </w:r>
          </w:p>
        </w:tc>
      </w:tr>
      <w:tr>
        <w:trPr>
          <w:trHeight w:val="30"/>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Gross margin</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145,443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140,999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417,684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429,363</w:t>
            </w: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Research and development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8,865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26,531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27,507</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105,794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102,952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306,678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319,796</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Restructuring charges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4,834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13,991</w:t>
            </w:r>
          </w:p>
        </w:tc>
      </w:tr>
      <w:tr>
        <w:trPr>
          <w:trHeight w:val="191"/>
        </w:trPr>
        <w:tc>
          <w:tcPr>
            <w:tcW w:w="410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114,659</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116,714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333,209</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361,294</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30,784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24,285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84,475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68,069</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Investment and other income (expense)</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721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968</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(8,394)</w:t>
            </w:r>
          </w:p>
        </w:tc>
      </w:tr>
      <w:tr>
        <w:trPr>
          <w:trHeight w:val="30"/>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29,667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22,216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77,326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60,643</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8,686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5,003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22,352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16,347</w:t>
            </w:r>
          </w:p>
        </w:tc>
      </w:tr>
      <w:tr>
        <w:trPr>
          <w:trHeight w:val="30"/>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20,981</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17,213</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54,974</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44,296</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Loss from discontinued operations, net of income taxes</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(1,915)</w:t>
            </w:r>
          </w:p>
        </w:tc>
      </w:tr>
      <w:tr>
        <w:trPr>
          <w:trHeight w:val="30"/>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61"/>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20,981</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17,213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54,974</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42,381</w:t>
            </w:r>
          </w:p>
        </w:tc>
      </w:tr>
      <w:tr>
        <w:trPr>
          <w:trHeight w:val="177"/>
        </w:trPr>
        <w:tc>
          <w:tcPr>
            <w:tcW w:w="4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A Nonvoting</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Common 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0.86</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0.42</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0.86</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B Voting Common</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0.85</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0.42</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0.85</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w w:val="97"/>
              </w:rPr>
              <w:t>Loss from discontinued operations per Class A Nonvoting Common</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Loss from discontinued operations per Class B Voting Common</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Net earnings per Class A Nonvoting Common Share: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0.83</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0.42</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0.83</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Dividends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0.61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0.60</w:t>
            </w:r>
          </w:p>
        </w:tc>
      </w:tr>
      <w:tr>
        <w:trPr>
          <w:trHeight w:val="193"/>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per Class B Voting Common Share:</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0.42</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0.81</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0.81</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Dividends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0.20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0.59</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0.58</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(in thousands):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50,251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51,301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50,602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51,275</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50,505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51,450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50,747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51,370</w:t>
            </w:r>
          </w:p>
        </w:tc>
      </w:tr>
    </w:tbl>
    <w:p>
      <w:pPr>
        <w:sectPr>
          <w:pgSz w:w="11900" w:h="16838" w:orient="portrait"/>
          <w:cols w:equalWidth="0" w:num="1">
            <w:col w:w="10219"/>
          </w:cols>
          <w:pgMar w:left="240" w:top="537"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April 30, 2016</w:t>
            </w:r>
          </w:p>
        </w:tc>
        <w:tc>
          <w:tcPr>
            <w:tcW w:w="160" w:type="dxa"/>
            <w:vAlign w:val="bottom"/>
          </w:tcPr>
          <w:p>
            <w:pPr>
              <w:spacing w:after="0"/>
              <w:rPr>
                <w:sz w:val="15"/>
                <w:szCs w:val="15"/>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July 31, 2015</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49"/>
        </w:trPr>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64"/>
        </w:trPr>
        <w:tc>
          <w:tcPr>
            <w:tcW w:w="6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7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assets: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141,596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114,492</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Accounts receivable—net</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153,289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157,386</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Finished products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63,105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66,700</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5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Work-in-process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17,145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16,958</w:t>
            </w: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Raw materials and supplies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20,317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20,849</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Total inventories</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100,567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104,507</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33,981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32,197</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Total current assets</w:t>
            </w:r>
          </w:p>
        </w:tc>
        <w:tc>
          <w:tcPr>
            <w:tcW w:w="54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429,433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408,582</w:t>
            </w: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assets: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shd w:val="clear" w:color="auto" w:fill="CCEEFF"/>
              </w:rPr>
              <w:t>Goodwill</w:t>
            </w:r>
          </w:p>
        </w:tc>
        <w:tc>
          <w:tcPr>
            <w:tcW w:w="17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436,191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433,199</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Other intangible assets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62,260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68,888</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2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shd w:val="clear" w:color="auto" w:fill="CCEEFF"/>
              </w:rPr>
              <w:t>Deferred income taxes</w:t>
            </w: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16,465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22,310</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17,157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18,704</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2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shd w:val="clear" w:color="auto" w:fill="CCEEFF"/>
              </w:rPr>
              <w:t>Property, plant and equipment:</w:t>
            </w: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199"/>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Cost: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9"/>
                <w:shd w:val="clear" w:color="auto" w:fill="CCEEFF"/>
              </w:rPr>
              <w:t>Land</w:t>
            </w:r>
          </w:p>
        </w:tc>
        <w:tc>
          <w:tcPr>
            <w:tcW w:w="17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5,284</w:t>
            </w: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Buildings and improvements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94,155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94,423</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Machinery and equipment</w:t>
            </w: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262,992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270,086</w:t>
            </w: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Construction in progress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2,164</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364,430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371,957</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Less accumulated depreciation</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264,661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260,743</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Property, plant and equipment—net</w:t>
            </w:r>
          </w:p>
        </w:tc>
        <w:tc>
          <w:tcPr>
            <w:tcW w:w="2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99,769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111,214</w:t>
            </w:r>
          </w:p>
        </w:tc>
      </w:tr>
      <w:tr>
        <w:trPr>
          <w:trHeight w:val="191"/>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1,061,275</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1,062,897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5453380" cy="175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3380" cy="175895"/>
                    </a:xfrm>
                    <a:prstGeom prst="rect">
                      <a:avLst/>
                    </a:prstGeom>
                    <a:noFill/>
                  </pic:spPr>
                </pic:pic>
              </a:graphicData>
            </a:graphic>
          </wp:anchor>
        </w:drawing>
      </w:r>
    </w:p>
    <w:p>
      <w:pPr>
        <w:spacing w:after="0" w:line="34" w:lineRule="exact"/>
        <w:rPr>
          <w:sz w:val="20"/>
          <w:szCs w:val="20"/>
          <w:color w:val="auto"/>
        </w:rPr>
      </w:pPr>
    </w:p>
    <w:p>
      <w:pPr>
        <w:ind w:left="1200"/>
        <w:spacing w:after="0"/>
        <w:rPr>
          <w:sz w:val="20"/>
          <w:szCs w:val="20"/>
          <w:color w:val="auto"/>
        </w:rPr>
      </w:pPr>
      <w:r>
        <w:rPr>
          <w:rFonts w:ascii="Arial" w:cs="Arial" w:eastAsia="Arial" w:hAnsi="Arial"/>
          <w:sz w:val="14"/>
          <w:szCs w:val="14"/>
          <w:b w:val="1"/>
          <w:bCs w:val="1"/>
          <w:u w:val="single" w:color="auto"/>
          <w:color w:val="auto"/>
          <w:shd w:val="clear" w:color="auto" w:fill="CCEEFF"/>
        </w:rPr>
        <w:t>LIABILITIES AND STOCKHOLDERS’ INVESTMENT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ectPr>
          <w:pgSz w:w="11900" w:h="16838" w:orient="portrait"/>
          <w:cols w:equalWidth="0" w:num="1">
            <w:col w:w="10219"/>
          </w:cols>
          <w:pgMar w:left="240" w:top="537" w:right="1440" w:bottom="1440" w:gutter="0" w:footer="0" w:header="0"/>
        </w:sectPr>
      </w:pPr>
    </w:p>
    <w:p>
      <w:pPr>
        <w:spacing w:after="0" w:line="84" w:lineRule="exact"/>
        <w:rPr>
          <w:sz w:val="20"/>
          <w:szCs w:val="20"/>
          <w:color w:val="auto"/>
        </w:rPr>
      </w:pPr>
    </w:p>
    <w:p>
      <w:pPr>
        <w:ind w:left="340"/>
        <w:spacing w:after="0"/>
        <w:tabs>
          <w:tab w:leader="none" w:pos="5960" w:val="left"/>
        </w:tabs>
        <w:rPr>
          <w:sz w:val="20"/>
          <w:szCs w:val="20"/>
          <w:color w:val="auto"/>
        </w:rPr>
      </w:pPr>
      <w:r>
        <w:rPr>
          <w:rFonts w:ascii="Arial" w:cs="Arial" w:eastAsia="Arial" w:hAnsi="Arial"/>
          <w:sz w:val="14"/>
          <w:szCs w:val="14"/>
          <w:color w:val="auto"/>
          <w:shd w:val="clear" w:color="auto" w:fill="CCEEFF"/>
        </w:rPr>
        <w:t>Notes payable</w:t>
      </w:r>
      <w:r>
        <w:rPr>
          <w:sz w:val="20"/>
          <w:szCs w:val="20"/>
          <w:color w:val="auto"/>
        </w:rPr>
        <w:tab/>
      </w:r>
      <w:r>
        <w:rPr>
          <w:rFonts w:ascii="Arial" w:cs="Arial" w:eastAsia="Arial" w:hAnsi="Arial"/>
          <w:sz w:val="14"/>
          <w:szCs w:val="14"/>
          <w:color w:val="auto"/>
        </w:rPr>
        <w: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Wages and amounts withheld from employees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income taxes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maturities on long-term debt</w:t>
      </w:r>
    </w:p>
    <w:p>
      <w:pPr>
        <w:spacing w:after="0" w:line="7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Long-term obligations, less current maturities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liabilities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Stockholders’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Common Stock:</w:t>
      </w:r>
    </w:p>
    <w:p>
      <w:pPr>
        <w:spacing w:after="0" w:line="80" w:lineRule="exact"/>
        <w:rPr>
          <w:sz w:val="20"/>
          <w:szCs w:val="20"/>
          <w:color w:val="auto"/>
        </w:rPr>
      </w:pPr>
    </w:p>
    <w:p>
      <w:pPr>
        <w:ind w:left="620" w:right="180"/>
        <w:spacing w:after="0" w:line="302" w:lineRule="auto"/>
        <w:rPr>
          <w:sz w:val="20"/>
          <w:szCs w:val="20"/>
          <w:color w:val="auto"/>
        </w:rPr>
      </w:pPr>
      <w:r>
        <w:rPr>
          <w:rFonts w:ascii="Arial" w:cs="Arial" w:eastAsia="Arial" w:hAnsi="Arial"/>
          <w:sz w:val="14"/>
          <w:szCs w:val="14"/>
          <w:color w:val="auto"/>
        </w:rPr>
        <w:t>Class A nonvoting common stock—Issued 51,261,487 and 51,261,487 shares, respectively and outstanding 46,723,474 and 47,781,184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5453380" cy="153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ind w:left="620"/>
        <w:spacing w:after="0"/>
        <w:rPr>
          <w:sz w:val="20"/>
          <w:szCs w:val="20"/>
          <w:color w:val="auto"/>
        </w:rPr>
      </w:pPr>
      <w:r>
        <w:rPr>
          <w:rFonts w:ascii="Arial" w:cs="Arial" w:eastAsia="Arial" w:hAnsi="Arial"/>
          <w:sz w:val="14"/>
          <w:szCs w:val="14"/>
          <w:color w:val="auto"/>
          <w:shd w:val="clear" w:color="auto" w:fill="CCEEFF"/>
        </w:rPr>
        <w:t>Class B voting common stock—Issued and outstanding, 3,538,628 shares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Earnings retained in the business</w:t>
      </w:r>
    </w:p>
    <w:p>
      <w:pPr>
        <w:spacing w:after="0" w:line="80" w:lineRule="exact"/>
        <w:rPr>
          <w:sz w:val="20"/>
          <w:szCs w:val="20"/>
          <w:color w:val="auto"/>
        </w:rPr>
      </w:pPr>
    </w:p>
    <w:p>
      <w:pPr>
        <w:ind w:left="340" w:right="320"/>
        <w:spacing w:after="0" w:line="302" w:lineRule="auto"/>
        <w:rPr>
          <w:sz w:val="20"/>
          <w:szCs w:val="20"/>
          <w:color w:val="auto"/>
        </w:rPr>
      </w:pPr>
      <w:r>
        <w:rPr>
          <w:rFonts w:ascii="Arial" w:cs="Arial" w:eastAsia="Arial" w:hAnsi="Arial"/>
          <w:sz w:val="14"/>
          <w:szCs w:val="14"/>
          <w:color w:val="auto"/>
        </w:rPr>
        <w:t>Treasury stock—4,538,013 and 3,480,303 shares, respectively of Class A nonvoting common stock,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5453380" cy="153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color w:val="auto"/>
          <w:shd w:val="clear" w:color="auto" w:fill="CCEEFF"/>
        </w:rPr>
        <w:t>Accumulated other comprehensive loss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5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shd w:val="clear" w:color="auto" w:fill="CCEEFF"/>
        </w:rPr>
        <w:t>Total stockholders’ investment</w:t>
      </w:r>
    </w:p>
    <w:p>
      <w:pPr>
        <w:spacing w:after="0" w:line="80" w:lineRule="exact"/>
        <w:rPr>
          <w:sz w:val="20"/>
          <w:szCs w:val="20"/>
          <w:color w:val="auto"/>
        </w:rPr>
      </w:pPr>
    </w:p>
    <w:p>
      <w:pPr>
        <w:ind w:left="20"/>
        <w:spacing w:after="0"/>
        <w:tabs>
          <w:tab w:leader="none" w:pos="596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183"/>
        </w:trPr>
        <w:tc>
          <w:tcPr>
            <w:tcW w:w="480" w:type="dxa"/>
            <w:vAlign w:val="bottom"/>
          </w:tcPr>
          <w:p>
            <w:pPr>
              <w:jc w:val="right"/>
              <w:ind w:right="28"/>
              <w:spacing w:after="0"/>
              <w:rPr>
                <w:sz w:val="20"/>
                <w:szCs w:val="20"/>
                <w:color w:val="auto"/>
              </w:rPr>
            </w:pPr>
            <w:r>
              <w:rPr>
                <w:rFonts w:ascii="Arial" w:cs="Arial" w:eastAsia="Arial" w:hAnsi="Arial"/>
                <w:sz w:val="14"/>
                <w:szCs w:val="14"/>
                <w:color w:val="auto"/>
              </w:rPr>
              <w:t>6,230</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10,411</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w w:val="83"/>
              </w:rPr>
              <w:t>64,428</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73,020</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w w:val="83"/>
              </w:rPr>
              <w:t>40,987</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30,282</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rPr>
              <w:t>7,817</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7,250</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rPr>
              <w:t>4,991</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7,576</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w w:val="83"/>
              </w:rPr>
              <w:t>39,329</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38,194</w:t>
            </w:r>
          </w:p>
        </w:tc>
      </w:tr>
    </w:tbl>
    <w:p>
      <w:pPr>
        <w:spacing w:after="0" w:line="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42,514</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163,782</w:t>
      </w:r>
      <w:r>
        <w:rPr>
          <w:rFonts w:ascii="Arial" w:cs="Arial" w:eastAsia="Arial" w:hAnsi="Arial"/>
          <w:sz w:val="13"/>
          <w:szCs w:val="13"/>
          <w:color w:val="auto"/>
        </w:rPr>
        <w:t>209,247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-119380</wp:posOffset>
            </wp:positionV>
            <wp:extent cx="167005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70050" cy="7620"/>
                    </a:xfrm>
                    <a:prstGeom prst="rect">
                      <a:avLst/>
                    </a:prstGeom>
                    <a:noFill/>
                  </pic:spPr>
                </pic:pic>
              </a:graphicData>
            </a:graphic>
          </wp:anchor>
        </w:drawing>
      </w:r>
    </w:p>
    <w:p>
      <w:pPr>
        <w:spacing w:after="0" w:line="60"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640" w:type="dxa"/>
            <w:vAlign w:val="bottom"/>
          </w:tcPr>
          <w:p>
            <w:pPr>
              <w:jc w:val="right"/>
              <w:ind w:right="108"/>
              <w:spacing w:after="0"/>
              <w:rPr>
                <w:sz w:val="20"/>
                <w:szCs w:val="20"/>
                <w:color w:val="auto"/>
              </w:rPr>
            </w:pPr>
            <w:r>
              <w:rPr>
                <w:rFonts w:ascii="Arial" w:cs="Arial" w:eastAsia="Arial" w:hAnsi="Arial"/>
                <w:sz w:val="14"/>
                <w:szCs w:val="14"/>
                <w:color w:val="auto"/>
                <w:w w:val="86"/>
              </w:rPr>
              <w:t>236,310</w:t>
            </w:r>
          </w:p>
        </w:tc>
        <w:tc>
          <w:tcPr>
            <w:tcW w:w="1260" w:type="dxa"/>
            <w:vAlign w:val="bottom"/>
          </w:tcPr>
          <w:p>
            <w:pPr>
              <w:jc w:val="right"/>
              <w:spacing w:after="0"/>
              <w:rPr>
                <w:sz w:val="20"/>
                <w:szCs w:val="20"/>
                <w:color w:val="auto"/>
              </w:rPr>
            </w:pPr>
            <w:r>
              <w:rPr>
                <w:rFonts w:ascii="Arial" w:cs="Arial" w:eastAsia="Arial" w:hAnsi="Arial"/>
                <w:sz w:val="14"/>
                <w:szCs w:val="14"/>
                <w:color w:val="auto"/>
              </w:rPr>
              <w:t>200,774</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65,843</w:t>
            </w:r>
          </w:p>
        </w:tc>
        <w:tc>
          <w:tcPr>
            <w:tcW w:w="1260" w:type="dxa"/>
            <w:vAlign w:val="bottom"/>
          </w:tcPr>
          <w:p>
            <w:pPr>
              <w:jc w:val="right"/>
              <w:spacing w:after="0"/>
              <w:rPr>
                <w:sz w:val="20"/>
                <w:szCs w:val="20"/>
                <w:color w:val="auto"/>
              </w:rPr>
            </w:pPr>
            <w:r>
              <w:rPr>
                <w:rFonts w:ascii="Arial" w:cs="Arial" w:eastAsia="Arial" w:hAnsi="Arial"/>
                <w:sz w:val="14"/>
                <w:szCs w:val="14"/>
                <w:color w:val="auto"/>
              </w:rPr>
              <w:t>65,188</w:t>
            </w:r>
          </w:p>
        </w:tc>
      </w:tr>
      <w:tr>
        <w:trPr>
          <w:trHeight w:val="30"/>
        </w:trPr>
        <w:tc>
          <w:tcPr>
            <w:tcW w:w="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640" w:type="dxa"/>
            <w:vAlign w:val="bottom"/>
          </w:tcPr>
          <w:p>
            <w:pPr>
              <w:jc w:val="right"/>
              <w:ind w:right="108"/>
              <w:spacing w:after="0"/>
              <w:rPr>
                <w:sz w:val="20"/>
                <w:szCs w:val="20"/>
                <w:color w:val="auto"/>
              </w:rPr>
            </w:pPr>
            <w:r>
              <w:rPr>
                <w:rFonts w:ascii="Arial" w:cs="Arial" w:eastAsia="Arial" w:hAnsi="Arial"/>
                <w:sz w:val="14"/>
                <w:szCs w:val="14"/>
                <w:color w:val="auto"/>
                <w:w w:val="86"/>
              </w:rPr>
              <w:t>465,935</w:t>
            </w:r>
          </w:p>
        </w:tc>
        <w:tc>
          <w:tcPr>
            <w:tcW w:w="1260" w:type="dxa"/>
            <w:vAlign w:val="bottom"/>
          </w:tcPr>
          <w:p>
            <w:pPr>
              <w:jc w:val="right"/>
              <w:spacing w:after="0"/>
              <w:rPr>
                <w:sz w:val="20"/>
                <w:szCs w:val="20"/>
                <w:color w:val="auto"/>
              </w:rPr>
            </w:pPr>
            <w:r>
              <w:rPr>
                <w:rFonts w:ascii="Arial" w:cs="Arial" w:eastAsia="Arial" w:hAnsi="Arial"/>
                <w:sz w:val="14"/>
                <w:szCs w:val="14"/>
                <w:color w:val="auto"/>
              </w:rPr>
              <w:t>475,209</w:t>
            </w:r>
          </w:p>
        </w:tc>
      </w:tr>
      <w:tr>
        <w:trPr>
          <w:trHeight w:val="893"/>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513</w:t>
            </w:r>
          </w:p>
        </w:tc>
        <w:tc>
          <w:tcPr>
            <w:tcW w:w="1260" w:type="dxa"/>
            <w:vAlign w:val="bottom"/>
          </w:tcPr>
          <w:p>
            <w:pPr>
              <w:jc w:val="right"/>
              <w:spacing w:after="0"/>
              <w:rPr>
                <w:sz w:val="20"/>
                <w:szCs w:val="20"/>
                <w:color w:val="auto"/>
              </w:rPr>
            </w:pPr>
            <w:r>
              <w:rPr>
                <w:rFonts w:ascii="Arial" w:cs="Arial" w:eastAsia="Arial" w:hAnsi="Arial"/>
                <w:sz w:val="14"/>
                <w:szCs w:val="14"/>
                <w:color w:val="auto"/>
              </w:rPr>
              <w:t>513</w:t>
            </w:r>
          </w:p>
        </w:tc>
      </w:tr>
    </w:tbl>
    <w:p>
      <w:pPr>
        <w:spacing w:after="0" w:line="58" w:lineRule="exact"/>
        <w:rPr>
          <w:sz w:val="20"/>
          <w:szCs w:val="20"/>
          <w:color w:val="auto"/>
        </w:rPr>
      </w:pPr>
    </w:p>
    <w:p>
      <w:pPr>
        <w:ind w:left="1780" w:hanging="1355"/>
        <w:spacing w:after="0"/>
        <w:tabs>
          <w:tab w:leader="none" w:pos="1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35</w:t>
      </w:r>
    </w:p>
    <w:p>
      <w:pPr>
        <w:spacing w:after="0" w:line="80" w:lineRule="exact"/>
        <w:rPr>
          <w:rFonts w:ascii="Arial" w:cs="Arial" w:eastAsia="Arial" w:hAnsi="Arial"/>
          <w:sz w:val="14"/>
          <w:szCs w:val="14"/>
          <w:color w:val="auto"/>
        </w:rPr>
      </w:pPr>
    </w:p>
    <w:p>
      <w:pPr>
        <w:ind w:left="100"/>
        <w:spacing w:after="0"/>
        <w:rPr>
          <w:rFonts w:ascii="Arial" w:cs="Arial" w:eastAsia="Arial" w:hAnsi="Arial"/>
          <w:sz w:val="14"/>
          <w:szCs w:val="14"/>
          <w:color w:val="auto"/>
        </w:rPr>
      </w:pPr>
      <w:r>
        <w:rPr>
          <w:rFonts w:ascii="Arial" w:cs="Arial" w:eastAsia="Arial" w:hAnsi="Arial"/>
          <w:sz w:val="14"/>
          <w:szCs w:val="14"/>
          <w:color w:val="auto"/>
        </w:rPr>
        <w:t>316,373</w:t>
      </w:r>
      <w:r>
        <w:rPr>
          <w:rFonts w:ascii="Arial" w:cs="Arial" w:eastAsia="Arial" w:hAnsi="Arial"/>
          <w:sz w:val="13"/>
          <w:szCs w:val="13"/>
          <w:color w:val="auto"/>
        </w:rPr>
        <w:t>314,403</w:t>
      </w:r>
    </w:p>
    <w:p>
      <w:pPr>
        <w:spacing w:after="0" w:line="80" w:lineRule="exact"/>
        <w:rPr>
          <w:rFonts w:ascii="Arial" w:cs="Arial" w:eastAsia="Arial" w:hAnsi="Arial"/>
          <w:sz w:val="14"/>
          <w:szCs w:val="14"/>
          <w:color w:val="auto"/>
        </w:rPr>
      </w:pPr>
    </w:p>
    <w:p>
      <w:pPr>
        <w:ind w:left="100"/>
        <w:spacing w:after="0"/>
        <w:rPr>
          <w:rFonts w:ascii="Arial" w:cs="Arial" w:eastAsia="Arial" w:hAnsi="Arial"/>
          <w:sz w:val="14"/>
          <w:szCs w:val="14"/>
          <w:color w:val="auto"/>
        </w:rPr>
      </w:pPr>
      <w:r>
        <w:rPr>
          <w:rFonts w:ascii="Arial" w:cs="Arial" w:eastAsia="Arial" w:hAnsi="Arial"/>
          <w:sz w:val="14"/>
          <w:szCs w:val="14"/>
          <w:color w:val="auto"/>
        </w:rPr>
        <w:t>438,441</w:t>
      </w:r>
      <w:r>
        <w:rPr>
          <w:rFonts w:ascii="Arial" w:cs="Arial" w:eastAsia="Arial" w:hAnsi="Arial"/>
          <w:sz w:val="13"/>
          <w:szCs w:val="13"/>
          <w:color w:val="auto"/>
        </w:rPr>
        <w:t>414,069</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(114,012)</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(93,234)</w:t>
            </w:r>
          </w:p>
        </w:tc>
      </w:tr>
      <w:tr>
        <w:trPr>
          <w:trHeight w:val="241"/>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(42,396)</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(45,034)</w:t>
            </w:r>
          </w:p>
        </w:tc>
      </w:tr>
      <w:tr>
        <w:trPr>
          <w:trHeight w:val="241"/>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(3,614)</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(3,064)</w:t>
            </w:r>
          </w:p>
        </w:tc>
      </w:tr>
      <w:tr>
        <w:trPr>
          <w:trHeight w:val="30"/>
        </w:trPr>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1"/>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595,340</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587,688</w:t>
            </w:r>
          </w:p>
        </w:tc>
      </w:tr>
      <w:tr>
        <w:trPr>
          <w:trHeight w:val="30"/>
        </w:trPr>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1"/>
        </w:trPr>
        <w:tc>
          <w:tcPr>
            <w:tcW w:w="740" w:type="dxa"/>
            <w:vAlign w:val="bottom"/>
          </w:tcPr>
          <w:p>
            <w:pPr>
              <w:jc w:val="right"/>
              <w:ind w:right="108"/>
              <w:spacing w:after="0"/>
              <w:rPr>
                <w:sz w:val="20"/>
                <w:szCs w:val="20"/>
                <w:color w:val="auto"/>
              </w:rPr>
            </w:pPr>
            <w:r>
              <w:rPr>
                <w:rFonts w:ascii="Arial" w:cs="Arial" w:eastAsia="Arial" w:hAnsi="Arial"/>
                <w:sz w:val="14"/>
                <w:szCs w:val="14"/>
                <w:color w:val="auto"/>
                <w:w w:val="86"/>
              </w:rPr>
              <w:t>1,061,275</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1,062,897</w:t>
            </w:r>
          </w:p>
        </w:tc>
      </w:tr>
      <w:tr>
        <w:trPr>
          <w:trHeight w:val="30"/>
        </w:trPr>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-22225</wp:posOffset>
            </wp:positionV>
            <wp:extent cx="80454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4545" cy="762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-6985</wp:posOffset>
            </wp:positionV>
            <wp:extent cx="80454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4545" cy="762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-175260</wp:posOffset>
            </wp:positionV>
            <wp:extent cx="80454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4545" cy="7620"/>
                    </a:xfrm>
                    <a:prstGeom prst="rect">
                      <a:avLst/>
                    </a:prstGeom>
                    <a:noFill/>
                  </pic:spPr>
                </pic:pic>
              </a:graphicData>
            </a:graphic>
          </wp:anchor>
        </w:drawing>
      </w:r>
    </w:p>
    <w:p>
      <w:pPr>
        <w:sectPr>
          <w:pgSz w:w="11900" w:h="16838" w:orient="portrait"/>
          <w:cols w:equalWidth="0" w:num="2">
            <w:col w:w="6060" w:space="520"/>
            <w:col w:w="3639"/>
          </w:cols>
          <w:pgMar w:left="240" w:top="537"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4"/>
          </w:tcPr>
          <w:p>
            <w:pPr>
              <w:jc w:val="right"/>
              <w:ind w:right="188"/>
              <w:spacing w:after="0"/>
              <w:rPr>
                <w:sz w:val="20"/>
                <w:szCs w:val="20"/>
                <w:color w:val="auto"/>
              </w:rPr>
            </w:pPr>
            <w:r>
              <w:rPr>
                <w:rFonts w:ascii="Arial" w:cs="Arial" w:eastAsia="Arial" w:hAnsi="Arial"/>
                <w:sz w:val="14"/>
                <w:szCs w:val="14"/>
                <w:color w:val="auto"/>
                <w:w w:val="99"/>
              </w:rPr>
              <w:t>Nine months ended April 30,</w:t>
            </w:r>
          </w:p>
        </w:tc>
      </w:tr>
      <w:tr>
        <w:trPr>
          <w:trHeight w:val="30"/>
        </w:trPr>
        <w:tc>
          <w:tcPr>
            <w:tcW w:w="1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1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2015</w:t>
            </w:r>
          </w:p>
        </w:tc>
      </w:tr>
      <w:tr>
        <w:trPr>
          <w:trHeight w:val="30"/>
        </w:trPr>
        <w:tc>
          <w:tcPr>
            <w:tcW w:w="14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6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11"/>
        </w:trPr>
        <w:tc>
          <w:tcPr>
            <w:tcW w:w="6440" w:type="dxa"/>
            <w:vAlign w:val="bottom"/>
            <w:gridSpan w:val="3"/>
          </w:tcPr>
          <w:p>
            <w:pPr>
              <w:ind w:left="340"/>
              <w:spacing w:after="0"/>
              <w:rPr>
                <w:sz w:val="20"/>
                <w:szCs w:val="20"/>
                <w:color w:val="auto"/>
              </w:rPr>
            </w:pPr>
            <w:r>
              <w:rPr>
                <w:rFonts w:ascii="Arial" w:cs="Arial" w:eastAsia="Arial" w:hAnsi="Arial"/>
                <w:sz w:val="14"/>
                <w:szCs w:val="14"/>
                <w:color w:val="auto"/>
              </w:rPr>
              <w:t>Net earnings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54,974</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42,381</w:t>
            </w:r>
          </w:p>
        </w:tc>
      </w:tr>
      <w:tr>
        <w:trPr>
          <w:trHeight w:val="30"/>
        </w:trPr>
        <w:tc>
          <w:tcPr>
            <w:tcW w:w="1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gridSpan w:val="3"/>
          </w:tcPr>
          <w:p>
            <w:pPr>
              <w:ind w:left="6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24,896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28,511</w:t>
            </w:r>
          </w:p>
        </w:tc>
      </w:tr>
      <w:tr>
        <w:trPr>
          <w:trHeight w:val="30"/>
        </w:trPr>
        <w:tc>
          <w:tcPr>
            <w:tcW w:w="1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Non-cash portion of stock-based compensation expense</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6,247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3,556</w:t>
            </w:r>
          </w:p>
        </w:tc>
      </w:tr>
      <w:tr>
        <w:trPr>
          <w:trHeight w:val="211"/>
        </w:trPr>
        <w:tc>
          <w:tcPr>
            <w:tcW w:w="6440" w:type="dxa"/>
            <w:vAlign w:val="bottom"/>
            <w:gridSpan w:val="3"/>
          </w:tcPr>
          <w:p>
            <w:pPr>
              <w:ind w:left="620"/>
              <w:spacing w:after="0"/>
              <w:rPr>
                <w:sz w:val="20"/>
                <w:szCs w:val="20"/>
                <w:color w:val="auto"/>
              </w:rPr>
            </w:pPr>
            <w:r>
              <w:rPr>
                <w:rFonts w:ascii="Arial" w:cs="Arial" w:eastAsia="Arial" w:hAnsi="Arial"/>
                <w:sz w:val="14"/>
                <w:szCs w:val="14"/>
                <w:color w:val="auto"/>
              </w:rPr>
              <w:t>Non-cash portion of restructuring charges</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3,545</w:t>
            </w:r>
          </w:p>
        </w:tc>
      </w:tr>
      <w:tr>
        <w:trPr>
          <w:trHeight w:val="30"/>
        </w:trPr>
        <w:tc>
          <w:tcPr>
            <w:tcW w:w="1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Loss on sale of business, net</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r>
      <w:tr>
        <w:trPr>
          <w:trHeight w:val="211"/>
        </w:trPr>
        <w:tc>
          <w:tcPr>
            <w:tcW w:w="6440" w:type="dxa"/>
            <w:vAlign w:val="bottom"/>
            <w:gridSpan w:val="3"/>
          </w:tcPr>
          <w:p>
            <w:pPr>
              <w:ind w:left="6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3,169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(4,533)</w:t>
            </w:r>
          </w:p>
        </w:tc>
      </w:tr>
      <w:tr>
        <w:trPr>
          <w:trHeight w:val="30"/>
        </w:trPr>
        <w:tc>
          <w:tcPr>
            <w:tcW w:w="1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w w:val="99"/>
              </w:rPr>
              <w:t>Changes in operating assets and liabilities (net of effects of business acquisitions/divestitures):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gridSpan w:val="3"/>
          </w:tcPr>
          <w:p>
            <w:pPr>
              <w:ind w:left="1000"/>
              <w:spacing w:after="0"/>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4,679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(797)</w:t>
            </w:r>
          </w:p>
        </w:tc>
      </w:tr>
      <w:tr>
        <w:trPr>
          <w:trHeight w:val="30"/>
        </w:trPr>
        <w:tc>
          <w:tcPr>
            <w:tcW w:w="1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4"/>
                <w:szCs w:val="14"/>
                <w:color w:val="auto"/>
              </w:rPr>
              <w:t>Inventories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4,556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(8,385)</w:t>
            </w:r>
          </w:p>
        </w:tc>
      </w:tr>
      <w:tr>
        <w:trPr>
          <w:trHeight w:val="211"/>
        </w:trPr>
        <w:tc>
          <w:tcPr>
            <w:tcW w:w="6440" w:type="dxa"/>
            <w:vAlign w:val="bottom"/>
            <w:gridSpan w:val="3"/>
          </w:tcPr>
          <w:p>
            <w:pPr>
              <w:ind w:left="1000"/>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201</w:t>
            </w:r>
          </w:p>
        </w:tc>
      </w:tr>
      <w:tr>
        <w:trPr>
          <w:trHeight w:val="30"/>
        </w:trPr>
        <w:tc>
          <w:tcPr>
            <w:tcW w:w="1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4"/>
                <w:szCs w:val="14"/>
                <w:color w:val="auto"/>
              </w:rPr>
              <w:t>Accounts payable and accrued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3,432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(8,399)</w:t>
            </w:r>
          </w:p>
        </w:tc>
      </w:tr>
      <w:tr>
        <w:trPr>
          <w:trHeight w:val="211"/>
        </w:trPr>
        <w:tc>
          <w:tcPr>
            <w:tcW w:w="6440" w:type="dxa"/>
            <w:vAlign w:val="bottom"/>
            <w:gridSpan w:val="3"/>
          </w:tcPr>
          <w:p>
            <w:pPr>
              <w:ind w:left="1000"/>
              <w:spacing w:after="0"/>
              <w:rPr>
                <w:sz w:val="20"/>
                <w:szCs w:val="20"/>
                <w:color w:val="auto"/>
              </w:rPr>
            </w:pPr>
            <w:r>
              <w:rPr>
                <w:rFonts w:ascii="Arial" w:cs="Arial" w:eastAsia="Arial" w:hAnsi="Arial"/>
                <w:sz w:val="14"/>
                <w:szCs w:val="14"/>
                <w:color w:val="auto"/>
              </w:rPr>
              <w:t>Income taxes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(3,766)</w:t>
            </w:r>
          </w:p>
        </w:tc>
      </w:tr>
      <w:tr>
        <w:trPr>
          <w:trHeight w:val="30"/>
        </w:trPr>
        <w:tc>
          <w:tcPr>
            <w:tcW w:w="14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140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98,550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52,740</w:t>
            </w:r>
          </w:p>
        </w:tc>
      </w:tr>
      <w:tr>
        <w:trPr>
          <w:trHeight w:val="253"/>
        </w:trPr>
        <w:tc>
          <w:tcPr>
            <w:tcW w:w="14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gridSpan w:val="3"/>
          </w:tcPr>
          <w:p>
            <w:pPr>
              <w:ind w:left="620"/>
              <w:spacing w:after="0"/>
              <w:rPr>
                <w:sz w:val="20"/>
                <w:szCs w:val="20"/>
                <w:color w:val="auto"/>
              </w:rPr>
            </w:pPr>
            <w:r>
              <w:rPr>
                <w:rFonts w:ascii="Arial" w:cs="Arial" w:eastAsia="Arial" w:hAnsi="Arial"/>
                <w:sz w:val="14"/>
                <w:szCs w:val="14"/>
                <w:color w:val="auto"/>
              </w:rPr>
              <w:t>Purchases of property, plant and equipment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(23,545)</w:t>
            </w:r>
          </w:p>
        </w:tc>
      </w:tr>
      <w:tr>
        <w:trPr>
          <w:trHeight w:val="30"/>
        </w:trPr>
        <w:tc>
          <w:tcPr>
            <w:tcW w:w="1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Sale of business, net of cash retained</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6,111</w:t>
            </w:r>
          </w:p>
        </w:tc>
      </w:tr>
      <w:tr>
        <w:trPr>
          <w:trHeight w:val="211"/>
        </w:trPr>
        <w:tc>
          <w:tcPr>
            <w:tcW w:w="6440" w:type="dxa"/>
            <w:vAlign w:val="bottom"/>
            <w:gridSpan w:val="3"/>
          </w:tcPr>
          <w:p>
            <w:pPr>
              <w:ind w:left="62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3,927</w:t>
            </w:r>
          </w:p>
        </w:tc>
      </w:tr>
      <w:tr>
        <w:trPr>
          <w:trHeight w:val="30"/>
        </w:trPr>
        <w:tc>
          <w:tcPr>
            <w:tcW w:w="14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140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(13,507)</w:t>
            </w:r>
          </w:p>
        </w:tc>
      </w:tr>
      <w:tr>
        <w:trPr>
          <w:trHeight w:val="253"/>
        </w:trPr>
        <w:tc>
          <w:tcPr>
            <w:tcW w:w="14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gridSpan w:val="3"/>
          </w:tcPr>
          <w:p>
            <w:pPr>
              <w:ind w:left="620"/>
              <w:spacing w:after="0"/>
              <w:rPr>
                <w:sz w:val="20"/>
                <w:szCs w:val="20"/>
                <w:color w:val="auto"/>
              </w:rPr>
            </w:pPr>
            <w:r>
              <w:rPr>
                <w:rFonts w:ascii="Arial" w:cs="Arial" w:eastAsia="Arial" w:hAnsi="Arial"/>
                <w:sz w:val="14"/>
                <w:szCs w:val="14"/>
                <w:color w:val="auto"/>
              </w:rPr>
              <w:t>Payment of dividends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(30,603)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(30,712)</w:t>
            </w:r>
          </w:p>
        </w:tc>
      </w:tr>
      <w:tr>
        <w:trPr>
          <w:trHeight w:val="30"/>
        </w:trPr>
        <w:tc>
          <w:tcPr>
            <w:tcW w:w="1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Proceeds from issuance of common stock</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1,591</w:t>
            </w:r>
          </w:p>
        </w:tc>
      </w:tr>
      <w:tr>
        <w:trPr>
          <w:trHeight w:val="211"/>
        </w:trPr>
        <w:tc>
          <w:tcPr>
            <w:tcW w:w="6440" w:type="dxa"/>
            <w:vAlign w:val="bottom"/>
            <w:gridSpan w:val="3"/>
          </w:tcPr>
          <w:p>
            <w:pPr>
              <w:ind w:left="620"/>
              <w:spacing w:after="0"/>
              <w:rPr>
                <w:sz w:val="20"/>
                <w:szCs w:val="20"/>
                <w:color w:val="auto"/>
              </w:rPr>
            </w:pPr>
            <w:r>
              <w:rPr>
                <w:rFonts w:ascii="Arial" w:cs="Arial" w:eastAsia="Arial" w:hAnsi="Arial"/>
                <w:sz w:val="14"/>
                <w:szCs w:val="14"/>
                <w:color w:val="auto"/>
              </w:rPr>
              <w:t>Purchase of treasury stock</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(23,552)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1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35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w w:val="98"/>
                <w:shd w:val="clear" w:color="auto" w:fill="CCEEFF"/>
              </w:rPr>
              <w:t>Net proceeds from borrowing on credit facilities</w:t>
            </w:r>
          </w:p>
        </w:tc>
        <w:tc>
          <w:tcPr>
            <w:tcW w:w="2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28,819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64,638</w:t>
            </w:r>
          </w:p>
        </w:tc>
      </w:tr>
      <w:tr>
        <w:trPr>
          <w:trHeight w:val="199"/>
        </w:trPr>
        <w:tc>
          <w:tcPr>
            <w:tcW w:w="6440" w:type="dxa"/>
            <w:vAlign w:val="bottom"/>
            <w:gridSpan w:val="3"/>
          </w:tcPr>
          <w:p>
            <w:pPr>
              <w:ind w:left="620"/>
              <w:spacing w:after="0"/>
              <w:rPr>
                <w:sz w:val="20"/>
                <w:szCs w:val="20"/>
                <w:color w:val="auto"/>
              </w:rPr>
            </w:pPr>
            <w:r>
              <w:rPr>
                <w:rFonts w:ascii="Arial" w:cs="Arial" w:eastAsia="Arial" w:hAnsi="Arial"/>
                <w:sz w:val="14"/>
                <w:szCs w:val="14"/>
                <w:color w:val="auto"/>
              </w:rPr>
              <w:t>Principal payments on debt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(42,514)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(42,514)</w:t>
            </w:r>
          </w:p>
        </w:tc>
      </w:tr>
      <w:tr>
        <w:trPr>
          <w:trHeight w:val="30"/>
        </w:trPr>
        <w:tc>
          <w:tcPr>
            <w:tcW w:w="1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9"/>
        </w:trPr>
        <w:tc>
          <w:tcPr>
            <w:tcW w:w="35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shd w:val="clear" w:color="auto" w:fill="CCEEFF"/>
              </w:rPr>
              <w:t>Debt issuance costs</w:t>
            </w:r>
          </w:p>
        </w:tc>
        <w:tc>
          <w:tcPr>
            <w:tcW w:w="2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6440" w:type="dxa"/>
            <w:vAlign w:val="bottom"/>
            <w:gridSpan w:val="3"/>
          </w:tcPr>
          <w:p>
            <w:pPr>
              <w:ind w:left="620"/>
              <w:spacing w:after="0"/>
              <w:rPr>
                <w:sz w:val="20"/>
                <w:szCs w:val="20"/>
                <w:color w:val="auto"/>
              </w:rPr>
            </w:pPr>
            <w:r>
              <w:rPr>
                <w:rFonts w:ascii="Arial" w:cs="Arial" w:eastAsia="Arial" w:hAnsi="Arial"/>
                <w:sz w:val="14"/>
                <w:szCs w:val="14"/>
                <w:color w:val="auto"/>
              </w:rPr>
              <w:t>Income tax on equity-based compensation, and other</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(3,832)</w:t>
            </w:r>
          </w:p>
        </w:tc>
      </w:tr>
      <w:tr>
        <w:trPr>
          <w:trHeight w:val="30"/>
        </w:trPr>
        <w:tc>
          <w:tcPr>
            <w:tcW w:w="14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140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3"/>
                <w:shd w:val="clear" w:color="auto" w:fill="CCEEFF"/>
              </w:rPr>
              <w:t>Net cash used in financing activities</w:t>
            </w:r>
          </w:p>
        </w:tc>
        <w:tc>
          <w:tcPr>
            <w:tcW w:w="2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(69,228)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(10,829)</w:t>
            </w:r>
          </w:p>
        </w:tc>
      </w:tr>
      <w:tr>
        <w:trPr>
          <w:trHeight w:val="253"/>
        </w:trPr>
        <w:tc>
          <w:tcPr>
            <w:tcW w:w="14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Effect of exchange rate changes on cash</w:t>
            </w:r>
          </w:p>
        </w:tc>
        <w:tc>
          <w:tcPr>
            <w:tcW w:w="2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3,263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(9,770)</w:t>
            </w:r>
          </w:p>
        </w:tc>
      </w:tr>
      <w:tr>
        <w:trPr>
          <w:trHeight w:val="253"/>
        </w:trPr>
        <w:tc>
          <w:tcPr>
            <w:tcW w:w="14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Net increase in cash and cash equivalents</w:t>
            </w:r>
          </w:p>
        </w:tc>
        <w:tc>
          <w:tcPr>
            <w:tcW w:w="2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27,104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18,634</w:t>
            </w:r>
          </w:p>
        </w:tc>
      </w:tr>
      <w:tr>
        <w:trPr>
          <w:trHeight w:val="211"/>
        </w:trPr>
        <w:tc>
          <w:tcPr>
            <w:tcW w:w="6440" w:type="dxa"/>
            <w:vAlign w:val="bottom"/>
            <w:gridSpan w:val="3"/>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114,492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81,834</w:t>
            </w:r>
          </w:p>
        </w:tc>
      </w:tr>
      <w:tr>
        <w:trPr>
          <w:trHeight w:val="30"/>
        </w:trPr>
        <w:tc>
          <w:tcPr>
            <w:tcW w:w="14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5"/>
        </w:trPr>
        <w:tc>
          <w:tcPr>
            <w:tcW w:w="140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2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199"/>
        </w:trPr>
        <w:tc>
          <w:tcPr>
            <w:tcW w:w="6440" w:type="dxa"/>
            <w:vAlign w:val="bottom"/>
            <w:gridSpan w:val="3"/>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141,596</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100,468</w:t>
            </w:r>
          </w:p>
        </w:tc>
      </w:tr>
      <w:tr>
        <w:trPr>
          <w:trHeight w:val="30"/>
        </w:trPr>
        <w:tc>
          <w:tcPr>
            <w:tcW w:w="1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1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Arial" w:cs="Arial" w:eastAsia="Arial" w:hAnsi="Arial"/>
                <w:sz w:val="14"/>
                <w:szCs w:val="14"/>
                <w:color w:val="auto"/>
              </w:rPr>
              <w:t>Three months ended April 30,</w:t>
            </w:r>
          </w:p>
        </w:tc>
        <w:tc>
          <w:tcPr>
            <w:tcW w:w="240" w:type="dxa"/>
            <w:vAlign w:val="bottom"/>
          </w:tcPr>
          <w:p>
            <w:pPr>
              <w:spacing w:after="0"/>
              <w:rPr>
                <w:sz w:val="15"/>
                <w:szCs w:val="15"/>
                <w:color w:val="auto"/>
              </w:rPr>
            </w:pPr>
          </w:p>
        </w:tc>
        <w:tc>
          <w:tcPr>
            <w:tcW w:w="2160" w:type="dxa"/>
            <w:vAlign w:val="bottom"/>
            <w:gridSpan w:val="4"/>
          </w:tcPr>
          <w:p>
            <w:pPr>
              <w:jc w:val="right"/>
              <w:ind w:right="268"/>
              <w:spacing w:after="0"/>
              <w:rPr>
                <w:sz w:val="20"/>
                <w:szCs w:val="20"/>
                <w:color w:val="auto"/>
              </w:rPr>
            </w:pPr>
            <w:r>
              <w:rPr>
                <w:rFonts w:ascii="Arial" w:cs="Arial" w:eastAsia="Arial" w:hAnsi="Arial"/>
                <w:sz w:val="14"/>
                <w:szCs w:val="14"/>
                <w:color w:val="auto"/>
              </w:rPr>
              <w:t>Nine months ended April 30,</w:t>
            </w:r>
          </w:p>
        </w:tc>
      </w:tr>
      <w:tr>
        <w:trPr>
          <w:trHeight w:val="30"/>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3"/>
        </w:trPr>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2015</w:t>
            </w:r>
          </w:p>
        </w:tc>
      </w:tr>
      <w:tr>
        <w:trPr>
          <w:trHeight w:val="30"/>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SALES TO EXTERNAL CUSTOMERS</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196,953</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200,786</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578,160</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604,948</w:t>
            </w:r>
          </w:p>
        </w:tc>
      </w:tr>
      <w:tr>
        <w:trPr>
          <w:trHeight w:val="30"/>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89,863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89,441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260,359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278,147</w:t>
            </w: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286,816</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290,227</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838,519</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883,095</w:t>
            </w:r>
          </w:p>
        </w:tc>
      </w:tr>
      <w:tr>
        <w:trPr>
          <w:trHeight w:val="70"/>
        </w:trPr>
        <w:tc>
          <w:tcPr>
            <w:tcW w:w="37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29"/>
        </w:trPr>
        <w:tc>
          <w:tcPr>
            <w:tcW w:w="3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SALES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99735" cy="153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99735" cy="15303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shd w:val="clear" w:color="auto" w:fill="CCEEFF"/>
        </w:rPr>
        <w:t>ID Solutions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w w:val="98"/>
                <w:shd w:val="clear" w:color="auto" w:fill="CCEEFF"/>
              </w:rPr>
              <w:t>Currency</w:t>
            </w:r>
          </w:p>
        </w:tc>
        <w:tc>
          <w:tcPr>
            <w:tcW w:w="16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70"/>
        </w:trPr>
        <w:tc>
          <w:tcPr>
            <w:tcW w:w="3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70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080" w:type="dxa"/>
            <w:vAlign w:val="bottom"/>
            <w:gridSpan w:val="4"/>
            <w:shd w:val="clear" w:color="auto" w:fill="CCEEFF"/>
          </w:tcPr>
          <w:p>
            <w:pPr>
              <w:ind w:left="20"/>
              <w:spacing w:after="0" w:line="145" w:lineRule="exact"/>
              <w:rPr>
                <w:sz w:val="20"/>
                <w:szCs w:val="20"/>
                <w:color w:val="auto"/>
              </w:rPr>
            </w:pPr>
            <w:r>
              <w:rPr>
                <w:rFonts w:ascii="Arial" w:cs="Arial" w:eastAsia="Arial" w:hAnsi="Arial"/>
                <w:sz w:val="14"/>
                <w:szCs w:val="14"/>
                <w:b w:val="1"/>
                <w:bCs w:val="1"/>
                <w:i w:val="1"/>
                <w:iCs w:val="1"/>
                <w:color w:val="auto"/>
                <w:w w:val="89"/>
                <w:shd w:val="clear" w:color="auto" w:fill="CCEEFF"/>
              </w:rPr>
              <w:t>Workplace Safety</w:t>
            </w:r>
          </w:p>
        </w:tc>
        <w:tc>
          <w:tcPr>
            <w:tcW w:w="2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7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0.6 %</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w w:val="98"/>
                <w:shd w:val="clear" w:color="auto" w:fill="CCEEFF"/>
              </w:rPr>
              <w:t>Currency</w:t>
            </w:r>
          </w:p>
        </w:tc>
        <w:tc>
          <w:tcPr>
            <w:tcW w:w="16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9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70"/>
        </w:trPr>
        <w:tc>
          <w:tcPr>
            <w:tcW w:w="3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70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920" w:type="dxa"/>
            <w:vAlign w:val="bottom"/>
            <w:gridSpan w:val="3"/>
            <w:shd w:val="clear" w:color="auto" w:fill="CCEEFF"/>
          </w:tcPr>
          <w:p>
            <w:pPr>
              <w:ind w:left="20"/>
              <w:spacing w:after="0" w:line="145" w:lineRule="exact"/>
              <w:rPr>
                <w:sz w:val="20"/>
                <w:szCs w:val="20"/>
                <w:color w:val="auto"/>
              </w:rPr>
            </w:pPr>
            <w:r>
              <w:rPr>
                <w:rFonts w:ascii="Arial" w:cs="Arial" w:eastAsia="Arial" w:hAnsi="Arial"/>
                <w:sz w:val="14"/>
                <w:szCs w:val="14"/>
                <w:b w:val="1"/>
                <w:bCs w:val="1"/>
                <w:i w:val="1"/>
                <w:iCs w:val="1"/>
                <w:color w:val="auto"/>
                <w:w w:val="86"/>
                <w:shd w:val="clear" w:color="auto" w:fill="CCEEFF"/>
              </w:rPr>
              <w:t>Total Company</w:t>
            </w:r>
          </w:p>
        </w:tc>
        <w:tc>
          <w:tcPr>
            <w:tcW w:w="16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7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w w:val="98"/>
                <w:shd w:val="clear" w:color="auto" w:fill="CCEEFF"/>
              </w:rPr>
              <w:t>Currency</w:t>
            </w:r>
          </w:p>
        </w:tc>
        <w:tc>
          <w:tcPr>
            <w:tcW w:w="16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70"/>
        </w:trPr>
        <w:tc>
          <w:tcPr>
            <w:tcW w:w="3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70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780" w:type="dxa"/>
            <w:vAlign w:val="bottom"/>
            <w:gridSpan w:val="5"/>
          </w:tcPr>
          <w:p>
            <w:pPr>
              <w:ind w:left="20"/>
              <w:spacing w:after="0"/>
              <w:rPr>
                <w:sz w:val="20"/>
                <w:szCs w:val="20"/>
                <w:color w:val="auto"/>
              </w:rPr>
            </w:pPr>
            <w:r>
              <w:rPr>
                <w:rFonts w:ascii="Arial" w:cs="Arial" w:eastAsia="Arial" w:hAnsi="Arial"/>
                <w:sz w:val="14"/>
                <w:szCs w:val="14"/>
                <w:b w:val="1"/>
                <w:bCs w:val="1"/>
                <w:color w:val="auto"/>
              </w:rPr>
              <w:t>SEGMENT PROFIT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w w:val="95"/>
                <w:shd w:val="clear" w:color="auto" w:fill="CCEEFF"/>
              </w:rPr>
              <w:t>ID Solutions</w:t>
            </w:r>
          </w:p>
        </w:tc>
        <w:tc>
          <w:tcPr>
            <w:tcW w:w="2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46,445</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41,614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123,451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120,800</w:t>
            </w: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Workplace Safety</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13,759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12,292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43,818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40,607</w:t>
            </w:r>
          </w:p>
        </w:tc>
        <w:tc>
          <w:tcPr>
            <w:tcW w:w="0" w:type="dxa"/>
            <w:vAlign w:val="bottom"/>
          </w:tcPr>
          <w:p>
            <w:pPr>
              <w:spacing w:after="0"/>
              <w:rPr>
                <w:sz w:val="1"/>
                <w:szCs w:val="1"/>
                <w:color w:val="auto"/>
              </w:rPr>
            </w:pP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3"/>
                <w:shd w:val="clear" w:color="auto" w:fill="CCEEFF"/>
              </w:rPr>
              <w:t>Total</w:t>
            </w:r>
          </w:p>
        </w:tc>
        <w:tc>
          <w:tcPr>
            <w:tcW w:w="3160" w:type="dxa"/>
            <w:vAlign w:val="bottom"/>
            <w:tcBorders>
              <w:bottom w:val="single" w:sz="8" w:color="CCEEFF"/>
            </w:tcBorders>
            <w:gridSpan w:val="3"/>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60,204</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53,906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167,269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161,407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Arial" w:cs="Arial" w:eastAsia="Arial" w:hAnsi="Arial"/>
                <w:sz w:val="14"/>
                <w:szCs w:val="14"/>
                <w:b w:val="1"/>
                <w:bCs w:val="1"/>
                <w:color w:val="auto"/>
              </w:rPr>
              <w:t>SEGMENT PROFIT AS A PERCENT OF SALES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78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3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w w:val="95"/>
                <w:shd w:val="clear" w:color="auto" w:fill="CCEEFF"/>
              </w:rPr>
              <w:t>ID Solutions</w:t>
            </w:r>
          </w:p>
        </w:tc>
        <w:tc>
          <w:tcPr>
            <w:tcW w:w="27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Workplace Safety</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13.7 %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14.6 %</w:t>
            </w:r>
          </w:p>
        </w:tc>
        <w:tc>
          <w:tcPr>
            <w:tcW w:w="0" w:type="dxa"/>
            <w:vAlign w:val="bottom"/>
          </w:tcPr>
          <w:p>
            <w:pPr>
              <w:spacing w:after="0"/>
              <w:rPr>
                <w:sz w:val="1"/>
                <w:szCs w:val="1"/>
                <w:color w:val="auto"/>
              </w:rPr>
            </w:pP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3"/>
                <w:shd w:val="clear" w:color="auto" w:fill="CCEEFF"/>
              </w:rPr>
              <w:t>Total</w:t>
            </w:r>
          </w:p>
        </w:tc>
        <w:tc>
          <w:tcPr>
            <w:tcW w:w="3160" w:type="dxa"/>
            <w:vAlign w:val="bottom"/>
            <w:tcBorders>
              <w:bottom w:val="single" w:sz="8" w:color="CCEEFF"/>
            </w:tcBorders>
            <w:gridSpan w:val="3"/>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18.3 %</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7"/>
          </w:tcPr>
          <w:p>
            <w:pPr>
              <w:ind w:left="100"/>
              <w:spacing w:after="0"/>
              <w:rPr>
                <w:sz w:val="20"/>
                <w:szCs w:val="20"/>
                <w:color w:val="auto"/>
              </w:rPr>
            </w:pPr>
            <w:r>
              <w:rPr>
                <w:rFonts w:ascii="Arial" w:cs="Arial" w:eastAsia="Arial" w:hAnsi="Arial"/>
                <w:sz w:val="14"/>
                <w:szCs w:val="14"/>
                <w:color w:val="auto"/>
              </w:rPr>
              <w:t>Three months ended April 30,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jc w:val="right"/>
              <w:ind w:right="268"/>
              <w:spacing w:after="0"/>
              <w:rPr>
                <w:sz w:val="20"/>
                <w:szCs w:val="20"/>
                <w:color w:val="auto"/>
              </w:rPr>
            </w:pPr>
            <w:r>
              <w:rPr>
                <w:rFonts w:ascii="Arial" w:cs="Arial" w:eastAsia="Arial" w:hAnsi="Arial"/>
                <w:sz w:val="14"/>
                <w:szCs w:val="14"/>
                <w:color w:val="auto"/>
              </w:rPr>
              <w:t>Nine months ended April 30,</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7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color w:val="auto"/>
              </w:rPr>
              <w:t>Total segment profit</w:t>
            </w: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60,204</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53,906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167,269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161,407</w:t>
            </w:r>
          </w:p>
        </w:tc>
        <w:tc>
          <w:tcPr>
            <w:tcW w:w="0" w:type="dxa"/>
            <w:vAlign w:val="bottom"/>
          </w:tcPr>
          <w:p>
            <w:pPr>
              <w:spacing w:after="0"/>
              <w:rPr>
                <w:sz w:val="1"/>
                <w:szCs w:val="1"/>
                <w:color w:val="auto"/>
              </w:rPr>
            </w:pPr>
          </w:p>
        </w:tc>
      </w:tr>
      <w:tr>
        <w:trPr>
          <w:trHeight w:val="199"/>
        </w:trPr>
        <w:tc>
          <w:tcPr>
            <w:tcW w:w="3780" w:type="dxa"/>
            <w:vAlign w:val="bottom"/>
            <w:gridSpan w:val="5"/>
          </w:tcPr>
          <w:p>
            <w:pPr>
              <w:ind w:left="20"/>
              <w:spacing w:after="0"/>
              <w:rPr>
                <w:sz w:val="20"/>
                <w:szCs w:val="20"/>
                <w:color w:val="auto"/>
              </w:rPr>
            </w:pPr>
            <w:r>
              <w:rPr>
                <w:rFonts w:ascii="Arial" w:cs="Arial" w:eastAsia="Arial" w:hAnsi="Arial"/>
                <w:sz w:val="14"/>
                <w:szCs w:val="14"/>
                <w:color w:val="auto"/>
              </w:rPr>
              <w:t>Unallocated amounts: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Administrative costs</w:t>
            </w: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(29,420)</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(24,787)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(82,794)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(79,347)</w:t>
            </w: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Restructuring charges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(13,991)</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Investment and other income (expense)</w:t>
            </w: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Interest expense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(1,838)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(8,394)</w:t>
            </w:r>
          </w:p>
        </w:tc>
        <w:tc>
          <w:tcPr>
            <w:tcW w:w="0" w:type="dxa"/>
            <w:vAlign w:val="bottom"/>
          </w:tcPr>
          <w:p>
            <w:pPr>
              <w:spacing w:after="0"/>
              <w:rPr>
                <w:sz w:val="1"/>
                <w:szCs w:val="1"/>
                <w:color w:val="auto"/>
              </w:rPr>
            </w:pP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29,667</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22,216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77,326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60,643</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Amounts)</w:t>
      </w:r>
    </w:p>
    <w:p>
      <w:pPr>
        <w:spacing w:after="0" w:line="309" w:lineRule="exact"/>
        <w:rPr>
          <w:sz w:val="20"/>
          <w:szCs w:val="20"/>
          <w:color w:val="auto"/>
        </w:rPr>
      </w:pPr>
    </w:p>
    <w:p>
      <w:pPr>
        <w:ind w:left="100" w:right="1699"/>
        <w:spacing w:after="0" w:line="302" w:lineRule="auto"/>
        <w:rPr>
          <w:sz w:val="20"/>
          <w:szCs w:val="20"/>
          <w:color w:val="auto"/>
        </w:rPr>
      </w:pPr>
      <w:r>
        <w:rPr>
          <w:rFonts w:ascii="Arial" w:cs="Arial" w:eastAsia="Arial" w:hAnsi="Arial"/>
          <w:sz w:val="14"/>
          <w:szCs w:val="14"/>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Earnings from Continuing Operations Before Income Taxes Excluding Certain Items:</w:t>
      </w:r>
    </w:p>
    <w:p>
      <w:pPr>
        <w:spacing w:after="0" w:line="72" w:lineRule="exact"/>
        <w:rPr>
          <w:sz w:val="20"/>
          <w:szCs w:val="20"/>
          <w:color w:val="auto"/>
        </w:rPr>
      </w:pPr>
    </w:p>
    <w:p>
      <w:pPr>
        <w:jc w:val="both"/>
        <w:ind w:left="60" w:right="1559"/>
        <w:spacing w:after="0" w:line="276" w:lineRule="auto"/>
        <w:rPr>
          <w:sz w:val="20"/>
          <w:szCs w:val="20"/>
          <w:color w:val="auto"/>
        </w:rPr>
      </w:pPr>
      <w:r>
        <w:rPr>
          <w:rFonts w:ascii="Arial" w:cs="Arial" w:eastAsia="Arial" w:hAnsi="Arial"/>
          <w:sz w:val="14"/>
          <w:szCs w:val="14"/>
          <w:color w:val="auto"/>
        </w:rPr>
        <w:t>Brady is presenting the Non-GAAP measure "Earnings from Continuing Operations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profit measure provides an important perspective of underlying business trends and results and provides a more comparable measure from year to year. The table below provides a reconciliation of Earnings from Continuing Operations Before Income Taxes to Earnings from Continuing Operations Before Income Taxes Excluding Certain Items:</w:t>
      </w: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color w:val="auto"/>
              </w:rPr>
              <w:t>Three Months Ended April 30,</w:t>
            </w:r>
          </w:p>
        </w:tc>
        <w:tc>
          <w:tcPr>
            <w:tcW w:w="180" w:type="dxa"/>
            <w:vAlign w:val="bottom"/>
          </w:tcPr>
          <w:p>
            <w:pPr>
              <w:spacing w:after="0"/>
              <w:rPr>
                <w:sz w:val="15"/>
                <w:szCs w:val="15"/>
                <w:color w:val="auto"/>
              </w:rPr>
            </w:pPr>
          </w:p>
        </w:tc>
        <w:tc>
          <w:tcPr>
            <w:tcW w:w="2020" w:type="dxa"/>
            <w:vAlign w:val="bottom"/>
            <w:gridSpan w:val="4"/>
          </w:tcPr>
          <w:p>
            <w:pPr>
              <w:jc w:val="right"/>
              <w:ind w:right="148"/>
              <w:spacing w:after="0"/>
              <w:rPr>
                <w:sz w:val="20"/>
                <w:szCs w:val="20"/>
                <w:color w:val="auto"/>
              </w:rPr>
            </w:pPr>
            <w:r>
              <w:rPr>
                <w:rFonts w:ascii="Arial" w:cs="Arial" w:eastAsia="Arial" w:hAnsi="Arial"/>
                <w:sz w:val="14"/>
                <w:szCs w:val="14"/>
                <w:color w:val="auto"/>
                <w:w w:val="99"/>
              </w:rPr>
              <w:t>Nine Months Ended April 30,</w:t>
            </w: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(GAAP Measure)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29,667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22,216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77,326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60,643</w:t>
            </w:r>
          </w:p>
        </w:tc>
        <w:tc>
          <w:tcPr>
            <w:tcW w:w="0" w:type="dxa"/>
            <w:vAlign w:val="bottom"/>
          </w:tcPr>
          <w:p>
            <w:pPr>
              <w:spacing w:after="0"/>
              <w:rPr>
                <w:sz w:val="1"/>
                <w:szCs w:val="1"/>
                <w:color w:val="auto"/>
              </w:rPr>
            </w:pPr>
          </w:p>
        </w:tc>
      </w:tr>
      <w:tr>
        <w:trPr>
          <w:trHeight w:val="211"/>
        </w:trPr>
        <w:tc>
          <w:tcPr>
            <w:tcW w:w="416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13,991</w:t>
            </w: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Postretirement benefit plan curtailment gain</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(4,296)</w:t>
            </w: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29,667</w:t>
            </w:r>
          </w:p>
        </w:tc>
        <w:tc>
          <w:tcPr>
            <w:tcW w:w="8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22,754</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77,326</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70,338</w:t>
            </w:r>
          </w:p>
        </w:tc>
        <w:tc>
          <w:tcPr>
            <w:tcW w:w="0" w:type="dxa"/>
            <w:vAlign w:val="bottom"/>
          </w:tcPr>
          <w:p>
            <w:pPr>
              <w:spacing w:after="0"/>
              <w:rPr>
                <w:sz w:val="1"/>
                <w:szCs w:val="1"/>
                <w:color w:val="auto"/>
              </w:rPr>
            </w:pPr>
          </w:p>
        </w:tc>
      </w:tr>
      <w:tr>
        <w:trPr>
          <w:trHeight w:val="202"/>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Excluding Certain Items (non-GAAP measure)</w:t>
            </w:r>
          </w:p>
        </w:tc>
        <w:tc>
          <w:tcPr>
            <w:tcW w:w="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p>
      <w:pPr>
        <w:spacing w:after="0" w:line="72" w:lineRule="exact"/>
        <w:rPr>
          <w:sz w:val="20"/>
          <w:szCs w:val="20"/>
          <w:color w:val="auto"/>
        </w:rPr>
      </w:pPr>
    </w:p>
    <w:p>
      <w:pPr>
        <w:jc w:val="both"/>
        <w:ind w:left="20" w:right="1559"/>
        <w:spacing w:after="0" w:line="303" w:lineRule="auto"/>
        <w:rPr>
          <w:sz w:val="20"/>
          <w:szCs w:val="20"/>
          <w:color w:val="auto"/>
        </w:rPr>
      </w:pPr>
      <w:r>
        <w:rPr>
          <w:rFonts w:ascii="Arial" w:cs="Arial" w:eastAsia="Arial" w:hAnsi="Arial"/>
          <w:sz w:val="13"/>
          <w:szCs w:val="13"/>
          <w:color w:val="auto"/>
        </w:rPr>
        <w:t>Brady is presenting the Non-GAAP measure "Income Taxes on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Income Taxes on Continuing Operations to Income Taxes on Continuing Operations Excluding Certain Items: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80" w:type="dxa"/>
            <w:vAlign w:val="bottom"/>
          </w:tcPr>
          <w:p>
            <w:pPr>
              <w:spacing w:after="0"/>
              <w:rPr>
                <w:sz w:val="15"/>
                <w:szCs w:val="15"/>
                <w:color w:val="auto"/>
              </w:rPr>
            </w:pPr>
          </w:p>
        </w:tc>
        <w:tc>
          <w:tcPr>
            <w:tcW w:w="2300" w:type="dxa"/>
            <w:vAlign w:val="bottom"/>
            <w:gridSpan w:val="6"/>
          </w:tcPr>
          <w:p>
            <w:pPr>
              <w:ind w:left="220"/>
              <w:spacing w:after="0"/>
              <w:rPr>
                <w:sz w:val="20"/>
                <w:szCs w:val="20"/>
                <w:color w:val="auto"/>
              </w:rPr>
            </w:pPr>
            <w:r>
              <w:rPr>
                <w:rFonts w:ascii="Arial" w:cs="Arial" w:eastAsia="Arial" w:hAnsi="Arial"/>
                <w:sz w:val="14"/>
                <w:szCs w:val="14"/>
                <w:color w:val="auto"/>
              </w:rPr>
              <w:t>Three Months Ended April 30,</w:t>
            </w:r>
          </w:p>
        </w:tc>
        <w:tc>
          <w:tcPr>
            <w:tcW w:w="120" w:type="dxa"/>
            <w:vAlign w:val="bottom"/>
          </w:tcPr>
          <w:p>
            <w:pPr>
              <w:spacing w:after="0"/>
              <w:rPr>
                <w:sz w:val="15"/>
                <w:szCs w:val="15"/>
                <w:color w:val="auto"/>
              </w:rPr>
            </w:pPr>
          </w:p>
        </w:tc>
        <w:tc>
          <w:tcPr>
            <w:tcW w:w="1880" w:type="dxa"/>
            <w:vAlign w:val="bottom"/>
            <w:gridSpan w:val="4"/>
          </w:tcPr>
          <w:p>
            <w:pPr>
              <w:jc w:val="right"/>
              <w:ind w:right="48"/>
              <w:spacing w:after="0"/>
              <w:rPr>
                <w:sz w:val="20"/>
                <w:szCs w:val="20"/>
                <w:color w:val="auto"/>
              </w:rPr>
            </w:pPr>
            <w:r>
              <w:rPr>
                <w:rFonts w:ascii="Arial" w:cs="Arial" w:eastAsia="Arial" w:hAnsi="Arial"/>
                <w:sz w:val="14"/>
                <w:szCs w:val="14"/>
                <w:color w:val="auto"/>
                <w:w w:val="97"/>
              </w:rPr>
              <w:t>Nine Months Ended April 30,</w:t>
            </w:r>
          </w:p>
        </w:tc>
        <w:tc>
          <w:tcPr>
            <w:tcW w:w="0" w:type="dxa"/>
            <w:vAlign w:val="bottom"/>
          </w:tcPr>
          <w:p>
            <w:pPr>
              <w:spacing w:after="0"/>
              <w:rPr>
                <w:sz w:val="1"/>
                <w:szCs w:val="1"/>
                <w:color w:val="auto"/>
              </w:rPr>
            </w:pPr>
          </w:p>
        </w:tc>
      </w:tr>
      <w:tr>
        <w:trPr>
          <w:trHeight w:val="30"/>
        </w:trPr>
        <w:tc>
          <w:tcPr>
            <w:tcW w:w="43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4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
        </w:trPr>
        <w:tc>
          <w:tcPr>
            <w:tcW w:w="43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(GAAP measure)</w:t>
            </w:r>
          </w:p>
        </w:tc>
        <w:tc>
          <w:tcPr>
            <w:tcW w:w="68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8,686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22,352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16,347</w:t>
            </w:r>
          </w:p>
        </w:tc>
        <w:tc>
          <w:tcPr>
            <w:tcW w:w="0" w:type="dxa"/>
            <w:vAlign w:val="bottom"/>
          </w:tcPr>
          <w:p>
            <w:pPr>
              <w:spacing w:after="0"/>
              <w:rPr>
                <w:sz w:val="1"/>
                <w:szCs w:val="1"/>
                <w:color w:val="auto"/>
              </w:rPr>
            </w:pPr>
          </w:p>
        </w:tc>
      </w:tr>
      <w:tr>
        <w:trPr>
          <w:trHeight w:val="211"/>
        </w:trPr>
        <w:tc>
          <w:tcPr>
            <w:tcW w:w="438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6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4,406</w:t>
            </w:r>
          </w:p>
        </w:tc>
        <w:tc>
          <w:tcPr>
            <w:tcW w:w="0" w:type="dxa"/>
            <w:vAlign w:val="bottom"/>
          </w:tcPr>
          <w:p>
            <w:pPr>
              <w:spacing w:after="0"/>
              <w:rPr>
                <w:sz w:val="1"/>
                <w:szCs w:val="1"/>
                <w:color w:val="auto"/>
              </w:rPr>
            </w:pPr>
          </w:p>
        </w:tc>
      </w:tr>
      <w:tr>
        <w:trPr>
          <w:trHeight w:val="30"/>
        </w:trPr>
        <w:tc>
          <w:tcPr>
            <w:tcW w:w="4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Postretirement benefit plan curtailment gain</w:t>
            </w:r>
          </w:p>
        </w:tc>
        <w:tc>
          <w:tcPr>
            <w:tcW w:w="6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173"/>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tc>
        <w:tc>
          <w:tcPr>
            <w:tcW w:w="680" w:type="dxa"/>
            <w:vAlign w:val="bottom"/>
            <w:tcBorders>
              <w:top w:val="single" w:sz="8" w:color="auto"/>
            </w:tcBorders>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5"/>
              </w:rPr>
              <w:t>8,686</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5,135</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22,352</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19,249</w:t>
            </w:r>
          </w:p>
        </w:tc>
        <w:tc>
          <w:tcPr>
            <w:tcW w:w="0" w:type="dxa"/>
            <w:vAlign w:val="bottom"/>
          </w:tcPr>
          <w:p>
            <w:pPr>
              <w:spacing w:after="0"/>
              <w:rPr>
                <w:sz w:val="1"/>
                <w:szCs w:val="1"/>
                <w:color w:val="auto"/>
              </w:rPr>
            </w:pPr>
          </w:p>
        </w:tc>
      </w:tr>
      <w:tr>
        <w:trPr>
          <w:trHeight w:val="202"/>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(non-GAAP measure)</w:t>
            </w:r>
          </w:p>
        </w:tc>
        <w:tc>
          <w:tcPr>
            <w:tcW w:w="6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Net Earnings from Continuing Operations Excluding Certain Items:</w:t>
      </w:r>
    </w:p>
    <w:p>
      <w:pPr>
        <w:spacing w:after="0" w:line="72" w:lineRule="exact"/>
        <w:rPr>
          <w:sz w:val="20"/>
          <w:szCs w:val="20"/>
          <w:color w:val="auto"/>
        </w:rPr>
      </w:pPr>
    </w:p>
    <w:p>
      <w:pPr>
        <w:jc w:val="both"/>
        <w:ind w:left="60" w:right="1579"/>
        <w:spacing w:after="0" w:line="303" w:lineRule="auto"/>
        <w:rPr>
          <w:sz w:val="20"/>
          <w:szCs w:val="20"/>
          <w:color w:val="auto"/>
        </w:rPr>
      </w:pPr>
      <w:r>
        <w:rPr>
          <w:rFonts w:ascii="Arial" w:cs="Arial" w:eastAsia="Arial" w:hAnsi="Arial"/>
          <w:sz w:val="13"/>
          <w:szCs w:val="13"/>
          <w:color w:val="auto"/>
        </w:rPr>
        <w:t>Brady is presenting the Non-GAAP measure "Net Earnings from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to Net Earnings from Continuing Operations Excluding Certain Items:</w:t>
      </w: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5"/>
          </w:tcPr>
          <w:p>
            <w:pPr>
              <w:ind w:left="60"/>
              <w:spacing w:after="0"/>
              <w:rPr>
                <w:sz w:val="20"/>
                <w:szCs w:val="20"/>
                <w:color w:val="auto"/>
              </w:rPr>
            </w:pPr>
            <w:r>
              <w:rPr>
                <w:rFonts w:ascii="Arial" w:cs="Arial" w:eastAsia="Arial" w:hAnsi="Arial"/>
                <w:sz w:val="14"/>
                <w:szCs w:val="14"/>
                <w:color w:val="auto"/>
              </w:rPr>
              <w:t>Three Months Ended April 30,</w:t>
            </w:r>
          </w:p>
        </w:tc>
        <w:tc>
          <w:tcPr>
            <w:tcW w:w="160" w:type="dxa"/>
            <w:vAlign w:val="bottom"/>
          </w:tcPr>
          <w:p>
            <w:pPr>
              <w:spacing w:after="0"/>
              <w:rPr>
                <w:sz w:val="15"/>
                <w:szCs w:val="15"/>
                <w:color w:val="auto"/>
              </w:rPr>
            </w:pPr>
          </w:p>
        </w:tc>
        <w:tc>
          <w:tcPr>
            <w:tcW w:w="2020" w:type="dxa"/>
            <w:vAlign w:val="bottom"/>
            <w:gridSpan w:val="4"/>
          </w:tcPr>
          <w:p>
            <w:pPr>
              <w:jc w:val="right"/>
              <w:ind w:right="148"/>
              <w:spacing w:after="0"/>
              <w:rPr>
                <w:sz w:val="20"/>
                <w:szCs w:val="20"/>
                <w:color w:val="auto"/>
              </w:rPr>
            </w:pPr>
            <w:r>
              <w:rPr>
                <w:rFonts w:ascii="Arial" w:cs="Arial" w:eastAsia="Arial" w:hAnsi="Arial"/>
                <w:sz w:val="14"/>
                <w:szCs w:val="14"/>
                <w:color w:val="auto"/>
                <w:w w:val="99"/>
              </w:rPr>
              <w:t>Nine Months Ended April 30,</w:t>
            </w:r>
          </w:p>
        </w:tc>
        <w:tc>
          <w:tcPr>
            <w:tcW w:w="0" w:type="dxa"/>
            <w:vAlign w:val="bottom"/>
          </w:tcPr>
          <w:p>
            <w:pPr>
              <w:spacing w:after="0"/>
              <w:rPr>
                <w:sz w:val="1"/>
                <w:szCs w:val="1"/>
                <w:color w:val="auto"/>
              </w:rPr>
            </w:pPr>
          </w:p>
        </w:tc>
      </w:tr>
      <w:tr>
        <w:trPr>
          <w:trHeight w:val="30"/>
        </w:trPr>
        <w:tc>
          <w:tcPr>
            <w:tcW w:w="4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
        </w:trPr>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(GAAP measure)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20,981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17,213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54,974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44,296</w:t>
            </w:r>
          </w:p>
        </w:tc>
        <w:tc>
          <w:tcPr>
            <w:tcW w:w="0" w:type="dxa"/>
            <w:vAlign w:val="bottom"/>
          </w:tcPr>
          <w:p>
            <w:pPr>
              <w:spacing w:after="0"/>
              <w:rPr>
                <w:sz w:val="1"/>
                <w:szCs w:val="1"/>
                <w:color w:val="auto"/>
              </w:rPr>
            </w:pPr>
          </w:p>
        </w:tc>
      </w:tr>
      <w:tr>
        <w:trPr>
          <w:trHeight w:val="211"/>
        </w:trPr>
        <w:tc>
          <w:tcPr>
            <w:tcW w:w="414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9,585</w:t>
            </w:r>
          </w:p>
        </w:tc>
        <w:tc>
          <w:tcPr>
            <w:tcW w:w="0" w:type="dxa"/>
            <w:vAlign w:val="bottom"/>
          </w:tcPr>
          <w:p>
            <w:pPr>
              <w:spacing w:after="0"/>
              <w:rPr>
                <w:sz w:val="1"/>
                <w:szCs w:val="1"/>
                <w:color w:val="auto"/>
              </w:rPr>
            </w:pPr>
          </w:p>
        </w:tc>
      </w:tr>
      <w:tr>
        <w:trPr>
          <w:trHeight w:val="30"/>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Postretirement benefit plan curtailment gain</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0" w:type="dxa"/>
            <w:vAlign w:val="bottom"/>
          </w:tcPr>
          <w:p>
            <w:pPr>
              <w:spacing w:after="0"/>
              <w:rPr>
                <w:sz w:val="1"/>
                <w:szCs w:val="1"/>
                <w:color w:val="auto"/>
              </w:rPr>
            </w:pPr>
          </w:p>
        </w:tc>
      </w:tr>
      <w:tr>
        <w:trPr>
          <w:trHeight w:val="173"/>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Net Earnings from Continuing Operations Excluding Certain</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20,981</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17,619</w:t>
            </w: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54,974</w:t>
            </w:r>
          </w:p>
        </w:tc>
        <w:tc>
          <w:tcPr>
            <w:tcW w:w="8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51,089</w:t>
            </w:r>
          </w:p>
        </w:tc>
        <w:tc>
          <w:tcPr>
            <w:tcW w:w="0" w:type="dxa"/>
            <w:vAlign w:val="bottom"/>
          </w:tcPr>
          <w:p>
            <w:pPr>
              <w:spacing w:after="0"/>
              <w:rPr>
                <w:sz w:val="1"/>
                <w:szCs w:val="1"/>
                <w:color w:val="auto"/>
              </w:rPr>
            </w:pPr>
          </w:p>
        </w:tc>
      </w:tr>
      <w:tr>
        <w:trPr>
          <w:trHeight w:val="202"/>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Items (non-GAAP measure)</w:t>
            </w:r>
          </w:p>
        </w:tc>
        <w:tc>
          <w:tcPr>
            <w:tcW w:w="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Amounts)</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 Nonvoting Common Share Excluding Certain Items:</w:t>
      </w:r>
    </w:p>
    <w:p>
      <w:pPr>
        <w:spacing w:after="0" w:line="72" w:lineRule="exact"/>
        <w:rPr>
          <w:sz w:val="20"/>
          <w:szCs w:val="20"/>
          <w:color w:val="auto"/>
        </w:rPr>
      </w:pPr>
    </w:p>
    <w:p>
      <w:pPr>
        <w:jc w:val="both"/>
        <w:ind w:left="20" w:right="1559"/>
        <w:spacing w:after="0" w:line="301" w:lineRule="auto"/>
        <w:rPr>
          <w:sz w:val="20"/>
          <w:szCs w:val="20"/>
          <w:color w:val="auto"/>
        </w:rPr>
      </w:pPr>
      <w:r>
        <w:rPr>
          <w:rFonts w:ascii="Arial" w:cs="Arial" w:eastAsia="Arial" w:hAnsi="Arial"/>
          <w:sz w:val="13"/>
          <w:szCs w:val="13"/>
          <w:color w:val="auto"/>
        </w:rPr>
        <w:t>Brady is presenting the Non-GAAP measure "Net Earnings from Continuing Operations Per Diluted Class A Nonvoting Common Share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Per Diluted Class A Nonvoting Common Share to Net Earnings from Continuing Operations Per Diluted Class A Nonvoting Common Share Excluding Certain Items: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00" w:type="dxa"/>
            <w:vAlign w:val="bottom"/>
          </w:tcPr>
          <w:p>
            <w:pPr>
              <w:spacing w:after="0"/>
              <w:rPr>
                <w:sz w:val="15"/>
                <w:szCs w:val="15"/>
                <w:color w:val="auto"/>
              </w:rPr>
            </w:pPr>
          </w:p>
        </w:tc>
        <w:tc>
          <w:tcPr>
            <w:tcW w:w="2300" w:type="dxa"/>
            <w:vAlign w:val="bottom"/>
            <w:gridSpan w:val="6"/>
          </w:tcPr>
          <w:p>
            <w:pPr>
              <w:ind w:left="220"/>
              <w:spacing w:after="0"/>
              <w:rPr>
                <w:sz w:val="20"/>
                <w:szCs w:val="20"/>
                <w:color w:val="auto"/>
              </w:rPr>
            </w:pPr>
            <w:r>
              <w:rPr>
                <w:rFonts w:ascii="Arial" w:cs="Arial" w:eastAsia="Arial" w:hAnsi="Arial"/>
                <w:sz w:val="14"/>
                <w:szCs w:val="14"/>
                <w:color w:val="auto"/>
              </w:rPr>
              <w:t>Three Months Ended April 30,</w:t>
            </w:r>
          </w:p>
        </w:tc>
        <w:tc>
          <w:tcPr>
            <w:tcW w:w="180" w:type="dxa"/>
            <w:vAlign w:val="bottom"/>
          </w:tcPr>
          <w:p>
            <w:pPr>
              <w:spacing w:after="0"/>
              <w:rPr>
                <w:sz w:val="15"/>
                <w:szCs w:val="15"/>
                <w:color w:val="auto"/>
              </w:rPr>
            </w:pPr>
          </w:p>
        </w:tc>
        <w:tc>
          <w:tcPr>
            <w:tcW w:w="2020" w:type="dxa"/>
            <w:vAlign w:val="bottom"/>
            <w:gridSpan w:val="4"/>
          </w:tcPr>
          <w:p>
            <w:pPr>
              <w:jc w:val="right"/>
              <w:ind w:right="148"/>
              <w:spacing w:after="0"/>
              <w:rPr>
                <w:sz w:val="20"/>
                <w:szCs w:val="20"/>
                <w:color w:val="auto"/>
              </w:rPr>
            </w:pPr>
            <w:r>
              <w:rPr>
                <w:rFonts w:ascii="Arial" w:cs="Arial" w:eastAsia="Arial" w:hAnsi="Arial"/>
                <w:sz w:val="14"/>
                <w:szCs w:val="14"/>
                <w:color w:val="auto"/>
                <w:w w:val="99"/>
              </w:rPr>
              <w:t>Nine Months Ended April 30,</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
        </w:trPr>
        <w:tc>
          <w:tcPr>
            <w:tcW w:w="4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w:t>
            </w: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Nonvoting Common Share (GAAP measure)</w:t>
            </w:r>
          </w:p>
        </w:tc>
        <w:tc>
          <w:tcPr>
            <w:tcW w:w="700" w:type="dxa"/>
            <w:vAlign w:val="bottom"/>
            <w:tcBorders>
              <w:bottom w:val="single" w:sz="8" w:color="CCEEFF"/>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211"/>
        </w:trPr>
        <w:tc>
          <w:tcPr>
            <w:tcW w:w="4200" w:type="dxa"/>
            <w:vAlign w:val="bottom"/>
          </w:tcPr>
          <w:p>
            <w:pPr>
              <w:ind w:left="380"/>
              <w:spacing w:after="0"/>
              <w:rPr>
                <w:sz w:val="20"/>
                <w:szCs w:val="20"/>
                <w:color w:val="auto"/>
              </w:rPr>
            </w:pPr>
            <w:r>
              <w:rPr>
                <w:rFonts w:ascii="Arial" w:cs="Arial" w:eastAsia="Arial" w:hAnsi="Arial"/>
                <w:sz w:val="14"/>
                <w:szCs w:val="14"/>
                <w:color w:val="auto"/>
              </w:rPr>
              <w:t>Restructuring charges</w:t>
            </w:r>
          </w:p>
        </w:tc>
        <w:tc>
          <w:tcPr>
            <w:tcW w:w="7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Postretirement benefit plan curtailment gain</w:t>
            </w: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73"/>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w:t>
            </w:r>
          </w:p>
        </w:tc>
        <w:tc>
          <w:tcPr>
            <w:tcW w:w="7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w w:val="99"/>
              </w:rPr>
              <w:t>Nonvoting Common Share Excluding Certain Items (non-GAAP</w:t>
            </w:r>
          </w:p>
        </w:tc>
        <w:tc>
          <w:tcPr>
            <w:tcW w:w="70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0.42</w:t>
            </w:r>
          </w:p>
        </w:tc>
        <w:tc>
          <w:tcPr>
            <w:tcW w:w="100" w:type="dxa"/>
            <w:vAlign w:val="bottom"/>
          </w:tcPr>
          <w:p>
            <w:pPr>
              <w:spacing w:after="0"/>
              <w:rPr>
                <w:sz w:val="15"/>
                <w:szCs w:val="15"/>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0.34</w:t>
            </w:r>
          </w:p>
        </w:tc>
        <w:tc>
          <w:tcPr>
            <w:tcW w:w="100" w:type="dxa"/>
            <w:vAlign w:val="bottom"/>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15"/>
                <w:szCs w:val="15"/>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0.99</w:t>
            </w:r>
          </w:p>
        </w:tc>
        <w:tc>
          <w:tcPr>
            <w:tcW w:w="0" w:type="dxa"/>
            <w:vAlign w:val="bottom"/>
          </w:tcPr>
          <w:p>
            <w:pPr>
              <w:spacing w:after="0"/>
              <w:rPr>
                <w:sz w:val="1"/>
                <w:szCs w:val="1"/>
                <w:color w:val="auto"/>
              </w:rPr>
            </w:pPr>
          </w:p>
        </w:tc>
      </w:tr>
      <w:tr>
        <w:trPr>
          <w:trHeight w:val="202"/>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measure)</w:t>
            </w:r>
          </w:p>
        </w:tc>
        <w:tc>
          <w:tcPr>
            <w:tcW w:w="70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emdash "/>
      <w:numFmt w:val="bullet"/>
      <w:start w:val="1"/>
    </w:lvl>
  </w:abstractNum>
  <w:abstractNum w:abstractNumId="3">
    <w:nsid w:val="625558EC"/>
    <w:multiLevelType w:val="hybridMultilevel"/>
    <w:lvl w:ilvl="0">
      <w:lvlJc w:val="left"/>
      <w:lvlText w:val="%1"/>
      <w:numFmt w:val="decimal"/>
      <w:start w:val="3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2019-12-05T17:09:22Z</dcterms:created>
  <dcterms:modified xsi:type="dcterms:W3CDTF">2019-12-05T17:09:22Z</dcterms:modified>
</cp:coreProperties>
</file>