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173355</wp:posOffset>
            </wp:positionV>
            <wp:extent cx="15995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148590</wp:posOffset>
            </wp:positionV>
            <wp:extent cx="15995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CURRENT REPORT</w:t>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Date of Report (Date of earliest event reported): September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186055</wp:posOffset>
            </wp:positionV>
            <wp:extent cx="15995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28"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BRADY CORPORATION</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135890</wp:posOffset>
            </wp:positionV>
            <wp:extent cx="15995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Commission File Number 1-14959</w:t>
      </w:r>
    </w:p>
    <w:p>
      <w:pPr>
        <w:sectPr>
          <w:pgSz w:w="11900" w:h="16838" w:orient="portrait"/>
          <w:cols w:equalWidth="0" w:num="1">
            <w:col w:w="11360"/>
          </w:cols>
          <w:pgMar w:left="220" w:top="627" w:right="31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500"/>
        <w:spacing w:after="0"/>
        <w:rPr>
          <w:sz w:val="20"/>
          <w:szCs w:val="20"/>
          <w:color w:val="auto"/>
        </w:rPr>
      </w:pPr>
      <w:r>
        <w:rPr>
          <w:rFonts w:ascii="Arial" w:cs="Arial" w:eastAsia="Arial" w:hAnsi="Arial"/>
          <w:sz w:val="12"/>
          <w:szCs w:val="12"/>
          <w:b w:val="1"/>
          <w:bCs w:val="1"/>
          <w:color w:val="auto"/>
        </w:rPr>
        <w:t>Wisconsin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39-0971239</w:t>
      </w:r>
    </w:p>
    <w:p>
      <w:pPr>
        <w:spacing w:after="0" w:line="66" w:lineRule="exact"/>
        <w:rPr>
          <w:sz w:val="24"/>
          <w:szCs w:val="24"/>
          <w:color w:val="auto"/>
        </w:rPr>
      </w:pPr>
    </w:p>
    <w:p>
      <w:pPr>
        <w:sectPr>
          <w:pgSz w:w="11900" w:h="16838" w:orient="portrait"/>
          <w:cols w:equalWidth="0" w:num="2">
            <w:col w:w="7640" w:space="720"/>
            <w:col w:w="3000"/>
          </w:cols>
          <w:pgMar w:left="220" w:top="627" w:right="319" w:bottom="1440" w:gutter="0" w:footer="0" w:header="0"/>
          <w:type w:val="continuous"/>
        </w:sectPr>
      </w:pPr>
    </w:p>
    <w:p>
      <w:pPr>
        <w:jc w:val="center"/>
        <w:ind w:right="1900"/>
        <w:spacing w:after="0"/>
        <w:rPr>
          <w:sz w:val="20"/>
          <w:szCs w:val="20"/>
          <w:color w:val="auto"/>
        </w:rPr>
      </w:pPr>
      <w:r>
        <w:rPr>
          <w:rFonts w:ascii="Arial" w:cs="Arial" w:eastAsia="Arial" w:hAnsi="Arial"/>
          <w:sz w:val="12"/>
          <w:szCs w:val="12"/>
          <w:b w:val="1"/>
          <w:bCs w:val="1"/>
          <w:color w:val="auto"/>
        </w:rPr>
        <w:t>(State of</w:t>
      </w:r>
    </w:p>
    <w:p>
      <w:pPr>
        <w:jc w:val="center"/>
        <w:ind w:right="1900"/>
        <w:spacing w:after="0"/>
        <w:rPr>
          <w:sz w:val="20"/>
          <w:szCs w:val="20"/>
          <w:color w:val="auto"/>
        </w:rPr>
      </w:pPr>
      <w:r>
        <w:rPr>
          <w:rFonts w:ascii="Arial" w:cs="Arial" w:eastAsia="Arial" w:hAnsi="Arial"/>
          <w:sz w:val="11"/>
          <w:szCs w:val="11"/>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2"/>
          <w:szCs w:val="12"/>
          <w:b w:val="1"/>
          <w:bCs w:val="1"/>
          <w:color w:val="auto"/>
        </w:rPr>
        <w:t>(IRS Employer</w:t>
      </w:r>
    </w:p>
    <w:p>
      <w:pPr>
        <w:jc w:val="center"/>
        <w:ind w:right="2180"/>
        <w:spacing w:after="0"/>
        <w:rPr>
          <w:sz w:val="20"/>
          <w:szCs w:val="20"/>
          <w:color w:val="auto"/>
        </w:rPr>
      </w:pPr>
      <w:r>
        <w:rPr>
          <w:rFonts w:ascii="Arial" w:cs="Arial" w:eastAsia="Arial" w:hAnsi="Arial"/>
          <w:sz w:val="9"/>
          <w:szCs w:val="9"/>
          <w:b w:val="1"/>
          <w:bCs w:val="1"/>
          <w:color w:val="auto"/>
        </w:rPr>
        <w:t>Identification No.)</w:t>
      </w:r>
    </w:p>
    <w:p>
      <w:pPr>
        <w:spacing w:after="0" w:line="35" w:lineRule="exact"/>
        <w:rPr>
          <w:sz w:val="24"/>
          <w:szCs w:val="24"/>
          <w:color w:val="auto"/>
        </w:rPr>
      </w:pPr>
    </w:p>
    <w:p>
      <w:pPr>
        <w:sectPr>
          <w:pgSz w:w="11900" w:h="16838" w:orient="portrait"/>
          <w:cols w:equalWidth="0" w:num="2">
            <w:col w:w="7540" w:space="720"/>
            <w:col w:w="3100"/>
          </w:cols>
          <w:pgMar w:left="220" w:top="627" w:right="319" w:bottom="1440" w:gutter="0" w:footer="0" w:header="0"/>
          <w:type w:val="continuous"/>
        </w:sectPr>
      </w:pPr>
    </w:p>
    <w:p>
      <w:pPr>
        <w:ind w:left="4840"/>
        <w:spacing w:after="0"/>
        <w:rPr>
          <w:sz w:val="20"/>
          <w:szCs w:val="20"/>
          <w:color w:val="auto"/>
        </w:rPr>
      </w:pPr>
      <w:r>
        <w:rPr>
          <w:rFonts w:ascii="Arial" w:cs="Arial" w:eastAsia="Arial" w:hAnsi="Arial"/>
          <w:sz w:val="15"/>
          <w:szCs w:val="15"/>
          <w:b w:val="1"/>
          <w:bCs w:val="1"/>
          <w:color w:val="auto"/>
        </w:rPr>
        <w:t>6555 West Good Hope Road</w:t>
      </w:r>
    </w:p>
    <w:p>
      <w:pPr>
        <w:spacing w:after="0" w:line="15" w:lineRule="exact"/>
        <w:rPr>
          <w:sz w:val="24"/>
          <w:szCs w:val="24"/>
          <w:color w:val="auto"/>
        </w:rPr>
      </w:pPr>
    </w:p>
    <w:p>
      <w:pPr>
        <w:ind w:left="4820"/>
        <w:spacing w:after="0"/>
        <w:rPr>
          <w:sz w:val="20"/>
          <w:szCs w:val="20"/>
          <w:color w:val="auto"/>
        </w:rPr>
      </w:pPr>
      <w:r>
        <w:rPr>
          <w:rFonts w:ascii="Arial" w:cs="Arial" w:eastAsia="Arial" w:hAnsi="Arial"/>
          <w:sz w:val="15"/>
          <w:szCs w:val="15"/>
          <w:b w:val="1"/>
          <w:bCs w:val="1"/>
          <w:color w:val="auto"/>
        </w:rPr>
        <w:t>Milwaukee, Wisconsin 53223</w:t>
      </w:r>
    </w:p>
    <w:p>
      <w:pPr>
        <w:jc w:val="center"/>
        <w:ind w:right="-99"/>
        <w:spacing w:after="0"/>
        <w:rPr>
          <w:sz w:val="20"/>
          <w:szCs w:val="20"/>
          <w:color w:val="auto"/>
        </w:rPr>
      </w:pPr>
      <w:r>
        <w:rPr>
          <w:rFonts w:ascii="Arial" w:cs="Arial" w:eastAsia="Arial" w:hAnsi="Arial"/>
          <w:sz w:val="9"/>
          <w:szCs w:val="9"/>
          <w:b w:val="1"/>
          <w:bCs w:val="1"/>
          <w:color w:val="auto"/>
        </w:rPr>
        <w:t>(Address of Principal Executive Offices and Zip Code)</w:t>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(414) 358-6600</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156210</wp:posOffset>
            </wp:positionV>
            <wp:extent cx="15995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ectPr>
          <w:pgSz w:w="11900" w:h="16838" w:orient="portrait"/>
          <w:cols w:equalWidth="0" w:num="1">
            <w:col w:w="11360"/>
          </w:cols>
          <w:pgMar w:left="220" w:top="627" w:right="319" w:bottom="1440" w:gutter="0" w:footer="0" w:header="0"/>
          <w:type w:val="continuous"/>
        </w:sectPr>
      </w:pPr>
    </w:p>
    <w:p>
      <w:pPr>
        <w:spacing w:after="0" w:line="313"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94"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(17 CFR 230.405) or Rule 12b-2 or the Securities Exchange Act of 1934 (17 CFR 240.12b-2).</w:t>
      </w:r>
    </w:p>
    <w:p>
      <w:pPr>
        <w:spacing w:after="0" w:line="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10" w:lineRule="exact"/>
        <w:rPr>
          <w:sz w:val="24"/>
          <w:szCs w:val="24"/>
          <w:color w:val="auto"/>
        </w:rPr>
      </w:pPr>
    </w:p>
    <w:p>
      <w:pPr>
        <w:ind w:right="20"/>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360"/>
          </w:cols>
          <w:pgMar w:left="220" w:top="627" w:right="319" w:bottom="1440" w:gutter="0" w:footer="0" w:header="0"/>
          <w:type w:val="continuous"/>
        </w:sectPr>
      </w:pPr>
    </w:p>
    <w:bookmarkStart w:id="1" w:name="page2"/>
    <w:bookmarkEnd w:id="1"/>
    <w:p>
      <w:pPr>
        <w:ind w:left="40"/>
        <w:spacing w:after="0"/>
        <w:tabs>
          <w:tab w:leader="none" w:pos="880" w:val="left"/>
        </w:tabs>
        <w:rPr>
          <w:sz w:val="20"/>
          <w:szCs w:val="20"/>
          <w:color w:val="auto"/>
        </w:rPr>
      </w:pPr>
      <w:r>
        <w:rPr>
          <w:rFonts w:ascii="Arial" w:cs="Arial" w:eastAsia="Arial" w:hAnsi="Arial"/>
          <w:sz w:val="15"/>
          <w:szCs w:val="15"/>
          <w:color w:val="auto"/>
        </w:rPr>
        <w:t>Item 2.02</w:t>
      </w:r>
      <w:r>
        <w:rPr>
          <w:sz w:val="20"/>
          <w:szCs w:val="20"/>
          <w:color w:val="auto"/>
        </w:rPr>
        <w:tab/>
      </w:r>
      <w:r>
        <w:rPr>
          <w:rFonts w:ascii="Arial" w:cs="Arial" w:eastAsia="Arial" w:hAnsi="Arial"/>
          <w:sz w:val="14"/>
          <w:szCs w:val="14"/>
          <w:color w:val="auto"/>
        </w:rPr>
        <w:t>RESULTS OF OPERATIONS AND FINANCIAL CONDITION</w:t>
      </w:r>
    </w:p>
    <w:p>
      <w:pPr>
        <w:spacing w:after="0" w:line="205"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5"/>
          <w:szCs w:val="15"/>
          <w:color w:val="auto"/>
        </w:rPr>
        <w:t>On September 13, 2018, Brady Corporation (the “Company”) issued a press release announcing its fiscal 2018 fourth quarter financial results. A copy of the press release is being furnished to the Securities and Exchange Commission as Exhibit 99.1 attached hereto and is incorporated herein by reference.</w:t>
      </w:r>
    </w:p>
    <w:p>
      <w:pPr>
        <w:spacing w:after="0" w:line="281"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5"/>
          <w:szCs w:val="15"/>
          <w:color w:val="auto"/>
        </w:rPr>
        <w:t>Item 7.01</w:t>
      </w:r>
      <w:r>
        <w:rPr>
          <w:sz w:val="20"/>
          <w:szCs w:val="20"/>
          <w:color w:val="auto"/>
        </w:rPr>
        <w:tab/>
      </w:r>
      <w:r>
        <w:rPr>
          <w:rFonts w:ascii="Arial" w:cs="Arial" w:eastAsia="Arial" w:hAnsi="Arial"/>
          <w:sz w:val="14"/>
          <w:szCs w:val="14"/>
          <w:color w:val="auto"/>
        </w:rPr>
        <w:t>REGULATION FD DISCLOSURE</w:t>
      </w:r>
    </w:p>
    <w:p>
      <w:pPr>
        <w:spacing w:after="0" w:line="205" w:lineRule="exact"/>
        <w:rPr>
          <w:sz w:val="20"/>
          <w:szCs w:val="20"/>
          <w:color w:val="auto"/>
        </w:rPr>
      </w:pPr>
    </w:p>
    <w:p>
      <w:pPr>
        <w:jc w:val="both"/>
        <w:ind w:firstLine="533"/>
        <w:spacing w:after="0" w:line="304" w:lineRule="auto"/>
        <w:rPr>
          <w:sz w:val="20"/>
          <w:szCs w:val="20"/>
          <w:color w:val="auto"/>
        </w:rPr>
      </w:pPr>
      <w:r>
        <w:rPr>
          <w:rFonts w:ascii="Arial" w:cs="Arial" w:eastAsia="Arial" w:hAnsi="Arial"/>
          <w:sz w:val="14"/>
          <w:szCs w:val="14"/>
          <w:color w:val="auto"/>
        </w:rPr>
        <w:t>On September 13, 2018, the Company hosted a conference call related to its fiscal 2018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269"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5"/>
          <w:szCs w:val="15"/>
          <w:color w:val="auto"/>
        </w:rPr>
        <w:t>Item 8.01</w:t>
      </w:r>
      <w:r>
        <w:rPr>
          <w:sz w:val="20"/>
          <w:szCs w:val="20"/>
          <w:color w:val="auto"/>
        </w:rPr>
        <w:tab/>
      </w:r>
      <w:r>
        <w:rPr>
          <w:rFonts w:ascii="Arial" w:cs="Arial" w:eastAsia="Arial" w:hAnsi="Arial"/>
          <w:sz w:val="14"/>
          <w:szCs w:val="14"/>
          <w:color w:val="auto"/>
        </w:rPr>
        <w:t>OTHER EVENTS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Increase in Annual Dividend</w:t>
      </w:r>
    </w:p>
    <w:p>
      <w:pPr>
        <w:spacing w:after="0" w:line="194"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5"/>
          <w:szCs w:val="15"/>
          <w:color w:val="auto"/>
        </w:rPr>
        <w:t>On September 12, 2018, the Company announced that its Board of Directors had increased the annual cash dividend on its Class A Common Stock from $0.83 to $0.85 per share. A quarterly dividend in the amount of $0.2125 per share will be paid on October 31, 2018, to shareholders of record as of the close of business on October 10, 2018. A copy of the press release regarding the dividend is attached hereto as Exhibit 99.2 and is incorporated herein by reference.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ind w:left="40"/>
              <w:spacing w:after="0"/>
              <w:rPr>
                <w:sz w:val="20"/>
                <w:szCs w:val="20"/>
                <w:color w:val="auto"/>
              </w:rPr>
            </w:pPr>
            <w:r>
              <w:rPr>
                <w:rFonts w:ascii="Arial" w:cs="Arial" w:eastAsia="Arial" w:hAnsi="Arial"/>
                <w:sz w:val="15"/>
                <w:szCs w:val="15"/>
                <w:color w:val="auto"/>
              </w:rPr>
              <w:t>Item 9.01</w:t>
            </w:r>
          </w:p>
        </w:tc>
        <w:tc>
          <w:tcPr>
            <w:tcW w:w="7200" w:type="dxa"/>
            <w:vAlign w:val="bottom"/>
            <w:gridSpan w:val="7"/>
          </w:tcPr>
          <w:p>
            <w:pPr>
              <w:ind w:left="100"/>
              <w:spacing w:after="0"/>
              <w:rPr>
                <w:sz w:val="20"/>
                <w:szCs w:val="20"/>
                <w:color w:val="auto"/>
              </w:rPr>
            </w:pPr>
            <w:r>
              <w:rPr>
                <w:rFonts w:ascii="Arial" w:cs="Arial" w:eastAsia="Arial" w:hAnsi="Arial"/>
                <w:sz w:val="15"/>
                <w:szCs w:val="15"/>
                <w:color w:val="auto"/>
              </w:rPr>
              <w:t>FINANCIAL STATEMENTS AND EXHIBITS</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0"/>
                <w:szCs w:val="20"/>
                <w:color w:val="auto"/>
              </w:rPr>
            </w:pPr>
            <w:r>
              <w:rPr>
                <w:rFonts w:ascii="Arial" w:cs="Arial" w:eastAsia="Arial" w:hAnsi="Arial"/>
                <w:sz w:val="15"/>
                <w:szCs w:val="15"/>
                <w:color w:val="auto"/>
              </w:rPr>
              <w:t>(d) Exhibits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00" w:type="dxa"/>
            <w:vAlign w:val="bottom"/>
          </w:tcPr>
          <w:p>
            <w:pPr>
              <w:ind w:left="40"/>
              <w:spacing w:after="0"/>
              <w:rPr>
                <w:sz w:val="20"/>
                <w:szCs w:val="20"/>
                <w:color w:val="auto"/>
              </w:rPr>
            </w:pPr>
            <w:r>
              <w:rPr>
                <w:rFonts w:ascii="Arial" w:cs="Arial" w:eastAsia="Arial" w:hAnsi="Arial"/>
                <w:sz w:val="13"/>
                <w:szCs w:val="13"/>
                <w:color w:val="auto"/>
              </w:rPr>
              <w:t>EXHIBIT</w:t>
            </w:r>
          </w:p>
        </w:tc>
        <w:tc>
          <w:tcPr>
            <w:tcW w:w="260" w:type="dxa"/>
            <w:vAlign w:val="bottom"/>
          </w:tcPr>
          <w:p>
            <w:pPr>
              <w:spacing w:after="0"/>
              <w:rPr>
                <w:sz w:val="24"/>
                <w:szCs w:val="24"/>
                <w:color w:val="auto"/>
              </w:rPr>
            </w:pPr>
          </w:p>
        </w:tc>
        <w:tc>
          <w:tcPr>
            <w:tcW w:w="6940" w:type="dxa"/>
            <w:vAlign w:val="bottom"/>
            <w:gridSpan w:val="6"/>
            <w:vMerge w:val="restart"/>
          </w:tcPr>
          <w:p>
            <w:pPr>
              <w:spacing w:after="0"/>
              <w:rPr>
                <w:sz w:val="20"/>
                <w:szCs w:val="20"/>
                <w:color w:val="auto"/>
              </w:rPr>
            </w:pPr>
            <w:r>
              <w:rPr>
                <w:rFonts w:ascii="Arial" w:cs="Arial" w:eastAsia="Arial" w:hAnsi="Arial"/>
                <w:sz w:val="15"/>
                <w:szCs w:val="15"/>
                <w:color w:val="auto"/>
              </w:rPr>
              <w:t>DESCRIPTION</w:t>
            </w:r>
          </w:p>
        </w:tc>
        <w:tc>
          <w:tcPr>
            <w:tcW w:w="0" w:type="dxa"/>
            <w:vAlign w:val="bottom"/>
          </w:tcPr>
          <w:p>
            <w:pPr>
              <w:spacing w:after="0"/>
              <w:rPr>
                <w:sz w:val="1"/>
                <w:szCs w:val="1"/>
                <w:color w:val="auto"/>
              </w:rPr>
            </w:pPr>
          </w:p>
        </w:tc>
      </w:tr>
      <w:tr>
        <w:trPr>
          <w:trHeight w:val="173"/>
        </w:trPr>
        <w:tc>
          <w:tcPr>
            <w:tcW w:w="800" w:type="dxa"/>
            <w:vAlign w:val="bottom"/>
          </w:tcPr>
          <w:p>
            <w:pPr>
              <w:ind w:left="40"/>
              <w:spacing w:after="0"/>
              <w:rPr>
                <w:sz w:val="20"/>
                <w:szCs w:val="20"/>
                <w:color w:val="auto"/>
              </w:rPr>
            </w:pPr>
            <w:r>
              <w:rPr>
                <w:rFonts w:ascii="Arial" w:cs="Arial" w:eastAsia="Arial" w:hAnsi="Arial"/>
                <w:sz w:val="13"/>
                <w:szCs w:val="13"/>
                <w:color w:val="auto"/>
              </w:rPr>
              <w:t>NUMBER</w:t>
            </w:r>
          </w:p>
        </w:tc>
        <w:tc>
          <w:tcPr>
            <w:tcW w:w="260" w:type="dxa"/>
            <w:vAlign w:val="bottom"/>
          </w:tcPr>
          <w:p>
            <w:pPr>
              <w:spacing w:after="0"/>
              <w:rPr>
                <w:sz w:val="15"/>
                <w:szCs w:val="15"/>
                <w:color w:val="auto"/>
              </w:rPr>
            </w:pPr>
          </w:p>
        </w:tc>
        <w:tc>
          <w:tcPr>
            <w:tcW w:w="69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00" w:type="dxa"/>
            <w:vAlign w:val="bottom"/>
            <w:vMerge w:val="restart"/>
          </w:tcPr>
          <w:p>
            <w:pPr>
              <w:ind w:left="40"/>
              <w:spacing w:after="0"/>
              <w:rPr>
                <w:sz w:val="20"/>
                <w:szCs w:val="20"/>
                <w:color w:val="auto"/>
              </w:rPr>
            </w:pPr>
            <w:r>
              <w:rPr>
                <w:rFonts w:ascii="Arial" w:cs="Arial" w:eastAsia="Arial" w:hAnsi="Arial"/>
                <w:sz w:val="15"/>
                <w:szCs w:val="15"/>
                <w:color w:val="auto"/>
              </w:rPr>
              <w:t>99.1</w:t>
            </w:r>
          </w:p>
        </w:tc>
        <w:tc>
          <w:tcPr>
            <w:tcW w:w="260" w:type="dxa"/>
            <w:vAlign w:val="bottom"/>
          </w:tcPr>
          <w:p>
            <w:pPr>
              <w:spacing w:after="0"/>
              <w:rPr>
                <w:sz w:val="19"/>
                <w:szCs w:val="19"/>
                <w:color w:val="auto"/>
              </w:rPr>
            </w:pPr>
          </w:p>
        </w:tc>
        <w:tc>
          <w:tcPr>
            <w:tcW w:w="6520" w:type="dxa"/>
            <w:vAlign w:val="bottom"/>
            <w:tcBorders>
              <w:bottom w:val="single" w:sz="8" w:color="0000FF"/>
            </w:tcBorders>
            <w:gridSpan w:val="4"/>
          </w:tcPr>
          <w:p>
            <w:pPr>
              <w:spacing w:after="0"/>
              <w:rPr>
                <w:rFonts w:ascii="Arial" w:cs="Arial" w:eastAsia="Arial" w:hAnsi="Arial"/>
                <w:sz w:val="15"/>
                <w:szCs w:val="15"/>
                <w:color w:val="0000FF"/>
                <w:w w:val="89"/>
              </w:rPr>
            </w:pPr>
            <w:hyperlink w:anchor="page3">
              <w:r>
                <w:rPr>
                  <w:rFonts w:ascii="Arial" w:cs="Arial" w:eastAsia="Arial" w:hAnsi="Arial"/>
                  <w:sz w:val="15"/>
                  <w:szCs w:val="15"/>
                  <w:color w:val="0000FF"/>
                  <w:w w:val="89"/>
                </w:rPr>
                <w:t>Press Release of Brady Corporation, dated September 13, 2018, relating to fourth quarter fiscal 2018 financial</w:t>
              </w:r>
            </w:hyperlink>
          </w:p>
        </w:tc>
        <w:tc>
          <w:tcPr>
            <w:tcW w:w="4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940" w:type="dxa"/>
            <w:vAlign w:val="bottom"/>
            <w:gridSpan w:val="6"/>
            <w:vMerge w:val="restart"/>
          </w:tcPr>
          <w:p>
            <w:pPr>
              <w:spacing w:after="0" w:line="158" w:lineRule="exact"/>
              <w:rPr>
                <w:rFonts w:ascii="Arial" w:cs="Arial" w:eastAsia="Arial" w:hAnsi="Arial"/>
                <w:sz w:val="15"/>
                <w:szCs w:val="15"/>
                <w:color w:val="0000FF"/>
              </w:rPr>
            </w:pPr>
            <w:hyperlink w:anchor="page3">
              <w:r>
                <w:rPr>
                  <w:rFonts w:ascii="Arial" w:cs="Arial" w:eastAsia="Arial" w:hAnsi="Arial"/>
                  <w:sz w:val="15"/>
                  <w:szCs w:val="15"/>
                  <w:color w:val="0000FF"/>
                </w:rPr>
                <w:t>results.</w:t>
              </w:r>
            </w:hyperlink>
          </w:p>
        </w:tc>
        <w:tc>
          <w:tcPr>
            <w:tcW w:w="0" w:type="dxa"/>
            <w:vAlign w:val="bottom"/>
          </w:tcPr>
          <w:p>
            <w:pPr>
              <w:spacing w:after="0"/>
              <w:rPr>
                <w:sz w:val="1"/>
                <w:szCs w:val="1"/>
                <w:color w:val="auto"/>
              </w:rPr>
            </w:pPr>
          </w:p>
        </w:tc>
      </w:tr>
      <w:tr>
        <w:trPr>
          <w:trHeight w:val="56"/>
        </w:trPr>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00" w:type="dxa"/>
            <w:vAlign w:val="bottom"/>
          </w:tcPr>
          <w:p>
            <w:pPr>
              <w:ind w:left="40"/>
              <w:spacing w:after="0"/>
              <w:rPr>
                <w:sz w:val="20"/>
                <w:szCs w:val="20"/>
                <w:color w:val="auto"/>
              </w:rPr>
            </w:pPr>
            <w:r>
              <w:rPr>
                <w:rFonts w:ascii="Arial" w:cs="Arial" w:eastAsia="Arial" w:hAnsi="Arial"/>
                <w:sz w:val="15"/>
                <w:szCs w:val="15"/>
                <w:color w:val="auto"/>
              </w:rPr>
              <w:t>99.2</w:t>
            </w:r>
          </w:p>
        </w:tc>
        <w:tc>
          <w:tcPr>
            <w:tcW w:w="260" w:type="dxa"/>
            <w:vAlign w:val="bottom"/>
          </w:tcPr>
          <w:p>
            <w:pPr>
              <w:spacing w:after="0"/>
              <w:rPr>
                <w:sz w:val="24"/>
                <w:szCs w:val="24"/>
                <w:color w:val="auto"/>
              </w:rPr>
            </w:pPr>
          </w:p>
        </w:tc>
        <w:tc>
          <w:tcPr>
            <w:tcW w:w="6120" w:type="dxa"/>
            <w:vAlign w:val="bottom"/>
            <w:tcBorders>
              <w:bottom w:val="single" w:sz="8" w:color="0000FF"/>
            </w:tcBorders>
            <w:gridSpan w:val="3"/>
          </w:tcPr>
          <w:p>
            <w:pPr>
              <w:spacing w:after="0"/>
              <w:rPr>
                <w:rFonts w:ascii="Arial" w:cs="Arial" w:eastAsia="Arial" w:hAnsi="Arial"/>
                <w:sz w:val="15"/>
                <w:szCs w:val="15"/>
                <w:color w:val="0000FF"/>
                <w:w w:val="88"/>
              </w:rPr>
            </w:pPr>
            <w:hyperlink w:anchor="page11">
              <w:r>
                <w:rPr>
                  <w:rFonts w:ascii="Arial" w:cs="Arial" w:eastAsia="Arial" w:hAnsi="Arial"/>
                  <w:sz w:val="15"/>
                  <w:szCs w:val="15"/>
                  <w:color w:val="0000FF"/>
                  <w:w w:val="88"/>
                </w:rPr>
                <w:t>Press Release of Brady Corporation, dated September 12, 2018, relating to increase in annual dividend.</w:t>
              </w:r>
            </w:hyperlink>
          </w:p>
        </w:tc>
        <w:tc>
          <w:tcPr>
            <w:tcW w:w="8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0" w:type="dxa"/>
            <w:vAlign w:val="bottom"/>
            <w:vMerge w:val="restart"/>
          </w:tcPr>
          <w:p>
            <w:pPr>
              <w:ind w:left="40"/>
              <w:spacing w:after="0"/>
              <w:rPr>
                <w:sz w:val="20"/>
                <w:szCs w:val="20"/>
                <w:color w:val="auto"/>
              </w:rPr>
            </w:pPr>
            <w:r>
              <w:rPr>
                <w:rFonts w:ascii="Arial" w:cs="Arial" w:eastAsia="Arial" w:hAnsi="Arial"/>
                <w:sz w:val="15"/>
                <w:szCs w:val="15"/>
                <w:color w:val="auto"/>
              </w:rPr>
              <w:t>99.3</w:t>
            </w:r>
          </w:p>
        </w:tc>
        <w:tc>
          <w:tcPr>
            <w:tcW w:w="260" w:type="dxa"/>
            <w:vAlign w:val="bottom"/>
          </w:tcPr>
          <w:p>
            <w:pPr>
              <w:spacing w:after="0"/>
              <w:rPr>
                <w:sz w:val="23"/>
                <w:szCs w:val="23"/>
                <w:color w:val="auto"/>
              </w:rPr>
            </w:pPr>
          </w:p>
        </w:tc>
        <w:tc>
          <w:tcPr>
            <w:tcW w:w="6600" w:type="dxa"/>
            <w:vAlign w:val="bottom"/>
            <w:tcBorders>
              <w:bottom w:val="single" w:sz="8" w:color="0000FF"/>
            </w:tcBorders>
            <w:gridSpan w:val="5"/>
          </w:tcPr>
          <w:p>
            <w:pPr>
              <w:spacing w:after="0"/>
              <w:rPr>
                <w:rFonts w:ascii="Arial" w:cs="Arial" w:eastAsia="Arial" w:hAnsi="Arial"/>
                <w:sz w:val="15"/>
                <w:szCs w:val="15"/>
                <w:color w:val="0000FF"/>
                <w:w w:val="90"/>
              </w:rPr>
            </w:pPr>
            <w:hyperlink w:anchor="page12">
              <w:r>
                <w:rPr>
                  <w:rFonts w:ascii="Arial" w:cs="Arial" w:eastAsia="Arial" w:hAnsi="Arial"/>
                  <w:sz w:val="15"/>
                  <w:szCs w:val="15"/>
                  <w:color w:val="0000FF"/>
                  <w:w w:val="90"/>
                </w:rPr>
                <w:t>Informational slides provided by Brady Corporation, dated September 13, 2018, relating to fourth quarter fiscal</w:t>
              </w:r>
            </w:hyperlink>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vMerge w:val="restart"/>
          </w:tcPr>
          <w:p>
            <w:pPr>
              <w:spacing w:after="0" w:line="158" w:lineRule="exact"/>
              <w:rPr>
                <w:rFonts w:ascii="Arial" w:cs="Arial" w:eastAsia="Arial" w:hAnsi="Arial"/>
                <w:sz w:val="15"/>
                <w:szCs w:val="15"/>
                <w:color w:val="0000FF"/>
                <w:w w:val="89"/>
              </w:rPr>
            </w:pPr>
            <w:hyperlink w:anchor="page12">
              <w:r>
                <w:rPr>
                  <w:rFonts w:ascii="Arial" w:cs="Arial" w:eastAsia="Arial" w:hAnsi="Arial"/>
                  <w:sz w:val="15"/>
                  <w:szCs w:val="15"/>
                  <w:color w:val="0000FF"/>
                  <w:w w:val="89"/>
                </w:rPr>
                <w:t>2018 financial results.</w:t>
              </w:r>
            </w:hyperlink>
          </w:p>
        </w:tc>
        <w:tc>
          <w:tcPr>
            <w:tcW w:w="562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Borders>
              <w:bottom w:val="single" w:sz="8" w:color="0000FF"/>
            </w:tcBorders>
            <w:gridSpan w:val="2"/>
            <w:vMerge w:val="continue"/>
          </w:tcPr>
          <w:p>
            <w:pPr>
              <w:spacing w:after="0"/>
              <w:rPr>
                <w:sz w:val="4"/>
                <w:szCs w:val="4"/>
                <w:color w:val="auto"/>
              </w:rPr>
            </w:pPr>
          </w:p>
        </w:tc>
        <w:tc>
          <w:tcPr>
            <w:tcW w:w="56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SIGNATURE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BRADY CORPORATION</w:t>
      </w: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5"/>
          <w:szCs w:val="15"/>
          <w:color w:val="auto"/>
        </w:rPr>
        <w:t>Date: September 13, 2018</w:t>
      </w:r>
      <w:r>
        <w:rPr>
          <w:sz w:val="20"/>
          <w:szCs w:val="20"/>
          <w:color w:val="auto"/>
        </w:rPr>
        <w:tab/>
      </w:r>
      <w:r>
        <w:rPr>
          <w:rFonts w:ascii="Arial" w:cs="Arial" w:eastAsia="Arial" w:hAnsi="Arial"/>
          <w:sz w:val="13"/>
          <w:szCs w:val="13"/>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24130</wp:posOffset>
            </wp:positionV>
            <wp:extent cx="34874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7420" cy="6985"/>
                    </a:xfrm>
                    <a:prstGeom prst="rect">
                      <a:avLst/>
                    </a:prstGeom>
                    <a:noFill/>
                  </pic:spPr>
                </pic:pic>
              </a:graphicData>
            </a:graphic>
          </wp:anchor>
        </w:drawing>
      </w:r>
    </w:p>
    <w:p>
      <w:pPr>
        <w:spacing w:after="0" w:line="41"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Aaron J. Pearce</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Chief Financial Officer and Treasurer</w:t>
      </w:r>
    </w:p>
    <w:p>
      <w:pPr>
        <w:sectPr>
          <w:pgSz w:w="11900" w:h="16838" w:orient="portrait"/>
          <w:cols w:equalWidth="0" w:num="1">
            <w:col w:w="11460"/>
          </w:cols>
          <w:pgMar w:left="220" w:top="639"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 More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 Ann Thornton 414-438-6887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Kate Venne 414-358-5176</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Brady Corporation Reports its Fiscal 2018 Fourth Quarter Results and Announces its Fiscal 2019 EPS Guidance</w:t>
      </w:r>
    </w:p>
    <w:p>
      <w:pPr>
        <w:spacing w:after="0" w:line="308" w:lineRule="exact"/>
        <w:rPr>
          <w:sz w:val="20"/>
          <w:szCs w:val="20"/>
          <w:color w:val="auto"/>
        </w:rPr>
      </w:pPr>
    </w:p>
    <w:p>
      <w:pPr>
        <w:jc w:val="both"/>
        <w:ind w:left="540" w:right="180" w:hanging="265"/>
        <w:spacing w:after="0" w:line="385"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5"/>
          <w:szCs w:val="15"/>
          <w:color w:val="auto"/>
        </w:rPr>
        <w:t>Earnings before income taxes increased 26.0 percent, finishing at $45.2 million in the fourth quarter of fiscal 2018 compared to $35.9 million in the fourth quarter of fiscal 2017. Earnings before income taxes includes a gain on the sale of the Runelandhs business of $4.7 million in the fourth quarter of fiscal 2018. The gain on the sale represents approximately half of the increase in earnings before income taxes. This marks the twelfth consecutive quarter of pre-tax earnings growth.</w:t>
      </w:r>
    </w:p>
    <w:p>
      <w:pPr>
        <w:spacing w:after="0" w:line="2" w:lineRule="exact"/>
        <w:rPr>
          <w:rFonts w:ascii="Arial" w:cs="Arial" w:eastAsia="Arial" w:hAnsi="Arial"/>
          <w:sz w:val="14"/>
          <w:szCs w:val="14"/>
          <w:color w:val="auto"/>
        </w:rPr>
      </w:pPr>
    </w:p>
    <w:p>
      <w:pPr>
        <w:ind w:left="540" w:right="260" w:hanging="265"/>
        <w:spacing w:after="0" w:line="361"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Earnings per diluted Class A Nonvoting Common Share were $0.66 in the fourth quarter of fiscal 2018 compared to $0.48 in the same quarter of the prior year. The sale of the Runelandhs business contributed approximately $0.09 per diluted Class A Nonvoting Common Share.</w:t>
      </w:r>
    </w:p>
    <w:p>
      <w:pPr>
        <w:spacing w:after="0" w:line="1" w:lineRule="exact"/>
        <w:rPr>
          <w:rFonts w:ascii="Arial" w:cs="Arial" w:eastAsia="Arial" w:hAnsi="Arial"/>
          <w:sz w:val="15"/>
          <w:szCs w:val="15"/>
          <w:color w:val="auto"/>
        </w:rPr>
      </w:pPr>
    </w:p>
    <w:p>
      <w:pPr>
        <w:ind w:left="540" w:right="500" w:hanging="265"/>
        <w:spacing w:after="0" w:line="413"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Total revenues increased 2.9 percent, which consisted of organic revenue growth of 2.5 percent and an increase of 1.0 percent from foreign currency translation, partially offset by a decrease of 0.6 percent from the sale of the Runelandhs business. This is our fifth consecutive quarter of organic revenue growth.</w:t>
      </w:r>
    </w:p>
    <w:p>
      <w:pPr>
        <w:ind w:left="540" w:hanging="265"/>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Earnings per diluted Class A Common Share guidance for the full year ending July 31, 2019 announced at a range of $2.15 to $2.25.</w:t>
      </w:r>
    </w:p>
    <w:p>
      <w:pPr>
        <w:spacing w:after="0" w:line="349" w:lineRule="exact"/>
        <w:rPr>
          <w:sz w:val="20"/>
          <w:szCs w:val="20"/>
          <w:color w:val="auto"/>
        </w:rPr>
      </w:pPr>
    </w:p>
    <w:p>
      <w:pPr>
        <w:ind w:right="20"/>
        <w:spacing w:after="0" w:line="391" w:lineRule="auto"/>
        <w:rPr>
          <w:sz w:val="20"/>
          <w:szCs w:val="20"/>
          <w:color w:val="auto"/>
        </w:rPr>
      </w:pPr>
      <w:r>
        <w:rPr>
          <w:rFonts w:ascii="Arial" w:cs="Arial" w:eastAsia="Arial" w:hAnsi="Arial"/>
          <w:sz w:val="16"/>
          <w:szCs w:val="16"/>
          <w:color w:val="auto"/>
        </w:rPr>
        <w:t>MILWAUKEE (September 13, 2018)--Brady Corporation (NYSE: BRC) (“Brady” or “Company”), a world leader in identification solutions, today reported its financial results for its fiscal 2018 fourth quarter ended July 31, 2018.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 Ended July 31, 2018 Financial Results:</w:t>
      </w:r>
    </w:p>
    <w:p>
      <w:pPr>
        <w:spacing w:after="0" w:line="97" w:lineRule="exact"/>
        <w:rPr>
          <w:sz w:val="20"/>
          <w:szCs w:val="20"/>
          <w:color w:val="auto"/>
        </w:rPr>
      </w:pPr>
    </w:p>
    <w:p>
      <w:pPr>
        <w:ind w:right="160" w:firstLine="533"/>
        <w:spacing w:after="0" w:line="361" w:lineRule="auto"/>
        <w:rPr>
          <w:sz w:val="20"/>
          <w:szCs w:val="20"/>
          <w:color w:val="auto"/>
        </w:rPr>
      </w:pPr>
      <w:r>
        <w:rPr>
          <w:rFonts w:ascii="Arial" w:cs="Arial" w:eastAsia="Arial" w:hAnsi="Arial"/>
          <w:sz w:val="16"/>
          <w:szCs w:val="16"/>
          <w:color w:val="auto"/>
        </w:rPr>
        <w:t>Earnings before income taxes increased 26.0 percent to $45.2 million for the fourth quarter of fiscal 2018 compared to $35.9 million for the fourth quarter of fiscal 2017. Earnings before income taxes includes a gain on the sale of the Runelandhs business of $4.7 million in the fourth quarter of fiscal 2018. The gain on the sale represents approximately half of the increase in earnings before income taxes.</w:t>
      </w:r>
    </w:p>
    <w:p>
      <w:pPr>
        <w:spacing w:after="0" w:line="2" w:lineRule="exact"/>
        <w:rPr>
          <w:sz w:val="20"/>
          <w:szCs w:val="20"/>
          <w:color w:val="auto"/>
        </w:rPr>
      </w:pPr>
    </w:p>
    <w:p>
      <w:pPr>
        <w:ind w:right="380" w:firstLine="533"/>
        <w:spacing w:after="0" w:line="361" w:lineRule="auto"/>
        <w:rPr>
          <w:sz w:val="20"/>
          <w:szCs w:val="20"/>
          <w:color w:val="auto"/>
        </w:rPr>
      </w:pPr>
      <w:r>
        <w:rPr>
          <w:rFonts w:ascii="Arial" w:cs="Arial" w:eastAsia="Arial" w:hAnsi="Arial"/>
          <w:sz w:val="16"/>
          <w:szCs w:val="16"/>
          <w:color w:val="auto"/>
        </w:rPr>
        <w:t>Net earnings for the quarter ended July 31, 2018, were $35.0 million compared to $25.2 million in the same quarter last year. The sale of the Runelandhs business increased net earnings by $4.7 million in the fourth quarter of fiscal 2018.</w:t>
      </w:r>
    </w:p>
    <w:p>
      <w:pPr>
        <w:spacing w:after="0" w:line="1" w:lineRule="exact"/>
        <w:rPr>
          <w:sz w:val="20"/>
          <w:szCs w:val="20"/>
          <w:color w:val="auto"/>
        </w:rPr>
      </w:pPr>
    </w:p>
    <w:p>
      <w:pPr>
        <w:ind w:right="80" w:firstLine="533"/>
        <w:spacing w:after="0" w:line="391" w:lineRule="auto"/>
        <w:rPr>
          <w:sz w:val="20"/>
          <w:szCs w:val="20"/>
          <w:color w:val="auto"/>
        </w:rPr>
      </w:pPr>
      <w:r>
        <w:rPr>
          <w:rFonts w:ascii="Arial" w:cs="Arial" w:eastAsia="Arial" w:hAnsi="Arial"/>
          <w:sz w:val="16"/>
          <w:szCs w:val="16"/>
          <w:color w:val="auto"/>
        </w:rPr>
        <w:t>Earnings per diluted Class A Nonvoting Common Share were $0.66 for the fourth quarter of fiscal 2018, compared to $0.48 in the same quarter last year. Results were increased by approximately $0.09 per diluted Class A Nonvoting Common Share due to the sale of the Runelandhs business.</w:t>
      </w:r>
    </w:p>
    <w:p>
      <w:pPr>
        <w:sectPr>
          <w:pgSz w:w="11900" w:h="16838" w:orient="portrait"/>
          <w:cols w:equalWidth="0" w:num="1">
            <w:col w:w="11460"/>
          </w:cols>
          <w:pgMar w:left="220" w:top="498" w:right="219" w:bottom="1440" w:gutter="0" w:footer="0" w:header="0"/>
        </w:sectPr>
      </w:pPr>
    </w:p>
    <w:bookmarkStart w:id="3" w:name="page4"/>
    <w:bookmarkEnd w:id="3"/>
    <w:p>
      <w:pPr>
        <w:jc w:val="both"/>
        <w:ind w:firstLine="533"/>
        <w:spacing w:after="0" w:line="376" w:lineRule="auto"/>
        <w:rPr>
          <w:sz w:val="20"/>
          <w:szCs w:val="20"/>
          <w:color w:val="auto"/>
        </w:rPr>
      </w:pPr>
      <w:r>
        <w:rPr>
          <w:rFonts w:ascii="Arial" w:cs="Arial" w:eastAsia="Arial" w:hAnsi="Arial"/>
          <w:sz w:val="16"/>
          <w:szCs w:val="16"/>
          <w:color w:val="auto"/>
        </w:rPr>
        <w:t>Sales for the quarter ended July 31, 2018 increased 2.9 percent to $297.5 million compared to $289.2 million in the same quarter last year. By segment, sales increased 3.1 percent in Identification Solutions and 2.3 percent in Workplace Safety, which consisted of organic sales growth of 2.4 percent in Identification Solutions and 3.0 percent in Workplace Safety.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July 31, 2018 Financial Results:</w:t>
      </w:r>
    </w:p>
    <w:p>
      <w:pPr>
        <w:spacing w:after="0" w:line="97" w:lineRule="exact"/>
        <w:rPr>
          <w:sz w:val="20"/>
          <w:szCs w:val="20"/>
          <w:color w:val="auto"/>
        </w:rPr>
      </w:pPr>
    </w:p>
    <w:p>
      <w:pPr>
        <w:ind w:right="220" w:firstLine="533"/>
        <w:spacing w:after="0" w:line="361" w:lineRule="auto"/>
        <w:rPr>
          <w:sz w:val="20"/>
          <w:szCs w:val="20"/>
          <w:color w:val="auto"/>
        </w:rPr>
      </w:pPr>
      <w:r>
        <w:rPr>
          <w:rFonts w:ascii="Arial" w:cs="Arial" w:eastAsia="Arial" w:hAnsi="Arial"/>
          <w:sz w:val="16"/>
          <w:szCs w:val="16"/>
          <w:color w:val="auto"/>
        </w:rPr>
        <w:t>Earnings before income taxes increased 20.0 percent, finishing at $152.0 million for the year ended July 31, 2018, compared to $126.6 million last year. Fiscal 2018 results include a gain on the sale of the Runelandhs business of $4.7 million.</w:t>
      </w:r>
    </w:p>
    <w:p>
      <w:pPr>
        <w:spacing w:after="0" w:line="1" w:lineRule="exact"/>
        <w:rPr>
          <w:sz w:val="20"/>
          <w:szCs w:val="20"/>
          <w:color w:val="auto"/>
        </w:rPr>
      </w:pPr>
    </w:p>
    <w:p>
      <w:pPr>
        <w:ind w:firstLine="533"/>
        <w:spacing w:after="0" w:line="361" w:lineRule="auto"/>
        <w:rPr>
          <w:sz w:val="20"/>
          <w:szCs w:val="20"/>
          <w:color w:val="auto"/>
        </w:rPr>
      </w:pPr>
      <w:r>
        <w:rPr>
          <w:rFonts w:ascii="Arial" w:cs="Arial" w:eastAsia="Arial" w:hAnsi="Arial"/>
          <w:sz w:val="16"/>
          <w:szCs w:val="16"/>
          <w:color w:val="auto"/>
        </w:rPr>
        <w:t>Net earnings for the year ended July 31, 2018, were $91.1 million compared to $95.6 million last year. During the year ended July 31, 2018, net earnings were reduced by $21.1 million due to income tax charges primarily related to the enactment of the U.S. tax legislation in the second quarter. The sale of the Runelandhs business increased net earnings by $4.7 million in the current fiscal year. The prior year ended July 31, 2017 was impacted by a cash repatriation which resulted in a lower than normal income tax rate.</w:t>
      </w:r>
    </w:p>
    <w:p>
      <w:pPr>
        <w:spacing w:after="0" w:line="3" w:lineRule="exact"/>
        <w:rPr>
          <w:sz w:val="20"/>
          <w:szCs w:val="20"/>
          <w:color w:val="auto"/>
        </w:rPr>
      </w:pPr>
    </w:p>
    <w:p>
      <w:pPr>
        <w:ind w:right="120" w:firstLine="533"/>
        <w:spacing w:after="0" w:line="385" w:lineRule="auto"/>
        <w:rPr>
          <w:sz w:val="20"/>
          <w:szCs w:val="20"/>
          <w:color w:val="auto"/>
        </w:rPr>
      </w:pPr>
      <w:r>
        <w:rPr>
          <w:rFonts w:ascii="Arial" w:cs="Arial" w:eastAsia="Arial" w:hAnsi="Arial"/>
          <w:sz w:val="15"/>
          <w:szCs w:val="15"/>
          <w:color w:val="auto"/>
        </w:rPr>
        <w:t>Earnings per diluted Class A Nonvoting Common Share were $1.73 for the year ended July 31, 2018, compared to $1.84 in the same period last year. Fiscal 2018 results were decreased by approximately $0.40 per diluted Class A Nonvoting Common Share due to income tax charges primarily related to the enactment of the U.S. tax legislation, and results were increased by approximately $0.09 per diluted Class A Nonvoting Common Share due to the sale of the Runelandhs business. Income tax expense in the prior year was impacted by a cash repatriation which increased earnings per diluted Class A Nonvoting Common Share by approximately $0.09.</w:t>
      </w:r>
    </w:p>
    <w:p>
      <w:pPr>
        <w:spacing w:after="0" w:line="3" w:lineRule="exact"/>
        <w:rPr>
          <w:sz w:val="20"/>
          <w:szCs w:val="20"/>
          <w:color w:val="auto"/>
        </w:rPr>
      </w:pPr>
    </w:p>
    <w:p>
      <w:pPr>
        <w:ind w:firstLine="533"/>
        <w:spacing w:after="0" w:line="376" w:lineRule="auto"/>
        <w:rPr>
          <w:sz w:val="20"/>
          <w:szCs w:val="20"/>
          <w:color w:val="auto"/>
        </w:rPr>
      </w:pPr>
      <w:r>
        <w:rPr>
          <w:rFonts w:ascii="Arial" w:cs="Arial" w:eastAsia="Arial" w:hAnsi="Arial"/>
          <w:sz w:val="16"/>
          <w:szCs w:val="16"/>
          <w:color w:val="auto"/>
        </w:rPr>
        <w:t>Sales for the year ended July 31, 2018 increased 5.4 percent to $1.17 billion compared to $1.11 billion for the year ended July 31, 2017. By segment, sales increased 5.7 percent in Identification Solutions and 4.7 percent in Workplace Safety, which consisted of organic sales growth of 3.4 percent in Identification Solutions and 0.7 percent in Workplace Safety.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Commentary:</w:t>
      </w:r>
    </w:p>
    <w:p>
      <w:pPr>
        <w:spacing w:after="0" w:line="97" w:lineRule="exact"/>
        <w:rPr>
          <w:sz w:val="20"/>
          <w:szCs w:val="20"/>
          <w:color w:val="auto"/>
        </w:rPr>
      </w:pPr>
    </w:p>
    <w:p>
      <w:pPr>
        <w:ind w:firstLine="533"/>
        <w:spacing w:after="0" w:line="361" w:lineRule="auto"/>
        <w:rPr>
          <w:sz w:val="20"/>
          <w:szCs w:val="20"/>
          <w:color w:val="auto"/>
        </w:rPr>
      </w:pPr>
      <w:r>
        <w:rPr>
          <w:rFonts w:ascii="Arial" w:cs="Arial" w:eastAsia="Arial" w:hAnsi="Arial"/>
          <w:sz w:val="16"/>
          <w:szCs w:val="16"/>
          <w:color w:val="auto"/>
        </w:rPr>
        <w:t>“This quarter marks our twelfth consecutive quarter of year-over-year pre-tax earnings growth and our fifth consecutive quarter of organic sales growth. This is a direct result of our team’s consistent focus and commitment to our strategic initiatives, which are to drive the development of high-quality products while executing sustainable efficiency gains throughout our businesses,” said Brady’s President and Chief Executive Officer, J. Michael Nauman. “We believe that continued development of innovative new products and a strong new product pipeline are essential to Brady’s long-term success and will result in future organic sales growth in both our Identification Solutions and Workplace Safety businesses. Our priorities in fiscal 2019 are to grow our pipeline of innovative new products, provide excellent customer service, accelerate organic sales growth, and deliver sustainable efficiencies throughout the business.”</w:t>
      </w:r>
    </w:p>
    <w:p>
      <w:pPr>
        <w:spacing w:after="0" w:line="4" w:lineRule="exact"/>
        <w:rPr>
          <w:sz w:val="20"/>
          <w:szCs w:val="20"/>
          <w:color w:val="auto"/>
        </w:rPr>
      </w:pPr>
    </w:p>
    <w:p>
      <w:pPr>
        <w:ind w:right="220" w:firstLine="533"/>
        <w:spacing w:after="0" w:line="391" w:lineRule="auto"/>
        <w:rPr>
          <w:sz w:val="20"/>
          <w:szCs w:val="20"/>
          <w:color w:val="auto"/>
        </w:rPr>
      </w:pPr>
      <w:r>
        <w:rPr>
          <w:rFonts w:ascii="Arial" w:cs="Arial" w:eastAsia="Arial" w:hAnsi="Arial"/>
          <w:sz w:val="16"/>
          <w:szCs w:val="16"/>
          <w:color w:val="auto"/>
        </w:rPr>
        <w:t>“We realized benefits from our organic sales growth and our focus on operational efficiencies continues to drive profit improvements,” said Brady’s Chief Financial Officer, Aaron Pearce. “Our spending on research and</w:t>
      </w:r>
    </w:p>
    <w:p>
      <w:pPr>
        <w:sectPr>
          <w:pgSz w:w="11900" w:h="16838" w:orient="portrait"/>
          <w:cols w:equalWidth="0" w:num="1">
            <w:col w:w="11440"/>
          </w:cols>
          <w:pgMar w:left="220" w:top="546" w:right="239" w:bottom="1440" w:gutter="0" w:footer="0" w:header="0"/>
        </w:sectPr>
      </w:pPr>
    </w:p>
    <w:bookmarkStart w:id="4" w:name="page5"/>
    <w:bookmarkEnd w:id="4"/>
    <w:p>
      <w:pPr>
        <w:spacing w:after="0" w:line="369" w:lineRule="auto"/>
        <w:rPr>
          <w:sz w:val="20"/>
          <w:szCs w:val="20"/>
          <w:color w:val="auto"/>
        </w:rPr>
      </w:pPr>
      <w:r>
        <w:rPr>
          <w:rFonts w:ascii="Arial" w:cs="Arial" w:eastAsia="Arial" w:hAnsi="Arial"/>
          <w:sz w:val="16"/>
          <w:szCs w:val="16"/>
          <w:color w:val="auto"/>
        </w:rPr>
        <w:t>development increased by 14.2 percent this fiscal year while pre-tax earnings grew by 20.0 percent this year. Even after this significant investment in research and development, we generated $143.0 million of cash from operating activities this year, which represents 157 percent of net earnings. Our cash generation was primarily used to return funds to our shareholders in the form of dividends and to strengthen our balance sheet. We finished the year in a net cash position of $128.8 million compared to a net cash position of $26.2 million at the beginning of this fiscal year. Our balance sheet continues to provide significant flexibility for investments to drive long-term shareholder value and to return funds to our shareholders.”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2019 Guidance:</w:t>
      </w:r>
    </w:p>
    <w:p>
      <w:pPr>
        <w:spacing w:after="0" w:line="97" w:lineRule="exact"/>
        <w:rPr>
          <w:sz w:val="20"/>
          <w:szCs w:val="20"/>
          <w:color w:val="auto"/>
        </w:rPr>
      </w:pPr>
    </w:p>
    <w:p>
      <w:pPr>
        <w:ind w:right="20" w:firstLine="533"/>
        <w:spacing w:after="0" w:line="397" w:lineRule="auto"/>
        <w:rPr>
          <w:sz w:val="20"/>
          <w:szCs w:val="20"/>
          <w:color w:val="auto"/>
        </w:rPr>
      </w:pPr>
      <w:r>
        <w:rPr>
          <w:rFonts w:ascii="Arial" w:cs="Arial" w:eastAsia="Arial" w:hAnsi="Arial"/>
          <w:sz w:val="15"/>
          <w:szCs w:val="15"/>
          <w:color w:val="auto"/>
        </w:rPr>
        <w:t>The Company expects organic sales growth to range from 2.0 percent to 4.0 percent for the year ending July 31, 2019. Brady expects earnings per diluted Class A Nonvoting Common Share to range from $2.15 to $2.25. This guidance is based upon a full-year income tax rate in the mid-20 percent range, and depreciation and amortization expense of approximately $26 million. The Company expects to achieve efficiency gains in its manufacturing facilities and in selling, general and administrative expenses while continuing to increase investments in research and development. Capital expenditures are anticipated to be approximately $35 million during the year ending July 31, 2019. The Company’s fiscal 2019 guidance is based on foreign currency exchange rates as of July 31, 2018.</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A webcast regarding Brady’s fiscal 2018 fourth quarter financial results will be available at </w:t>
      </w:r>
      <w:r>
        <w:rPr>
          <w:rFonts w:ascii="Arial" w:cs="Arial" w:eastAsia="Arial" w:hAnsi="Arial"/>
          <w:sz w:val="14"/>
          <w:szCs w:val="14"/>
          <w:u w:val="single" w:color="auto"/>
          <w:color w:val="0000FF"/>
        </w:rPr>
        <w:t>www.bradycorp.com/investors</w:t>
      </w:r>
      <w:r>
        <w:rPr>
          <w:rFonts w:ascii="Arial" w:cs="Arial" w:eastAsia="Arial" w:hAnsi="Arial"/>
          <w:sz w:val="14"/>
          <w:szCs w:val="14"/>
          <w:color w:val="auto"/>
        </w:rPr>
        <w:t xml:space="preserve"> beginning at 9:30 a.m. Central Time today.</w:t>
      </w:r>
    </w:p>
    <w:p>
      <w:pPr>
        <w:spacing w:after="0" w:line="372" w:lineRule="exact"/>
        <w:rPr>
          <w:sz w:val="20"/>
          <w:szCs w:val="20"/>
          <w:color w:val="auto"/>
        </w:rPr>
      </w:pPr>
    </w:p>
    <w:p>
      <w:pPr>
        <w:ind w:right="20" w:firstLine="533"/>
        <w:spacing w:after="0" w:line="367"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2018, employed approximately 6,200 people in its worldwide businesses. Brady’s fiscal 2018 sales were approximately $1.17 billion. Brady stock trades on the New York Stock Exchange under the symbol BRC. More information is available on the Internet at </w:t>
      </w:r>
      <w:r>
        <w:rPr>
          <w:rFonts w:ascii="Arial" w:cs="Arial" w:eastAsia="Arial" w:hAnsi="Arial"/>
          <w:sz w:val="16"/>
          <w:szCs w:val="16"/>
          <w:u w:val="single" w:color="auto"/>
          <w:color w:val="0000FF"/>
        </w:rPr>
        <w:t>www.bradycorp.com</w:t>
      </w:r>
      <w:r>
        <w:rPr>
          <w:rFonts w:ascii="Arial" w:cs="Arial" w:eastAsia="Arial" w:hAnsi="Arial"/>
          <w:sz w:val="16"/>
          <w:szCs w:val="16"/>
          <w:color w:val="0000FF"/>
        </w:rPr>
        <w:t>.</w:t>
      </w:r>
    </w:p>
    <w:p>
      <w:pPr>
        <w:sectPr>
          <w:pgSz w:w="11900" w:h="16838" w:orient="portrait"/>
          <w:cols w:equalWidth="0" w:num="1">
            <w:col w:w="11360"/>
          </w:cols>
          <w:pgMar w:left="220" w:top="546"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color w:val="auto"/>
        </w:rPr>
        <w:t>###</w:t>
      </w:r>
    </w:p>
    <w:p>
      <w:pPr>
        <w:spacing w:after="0" w:line="231"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Brady’s ability to retain large customers;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Brady’s ability to execute facility consolidations and maintain acceptable operational service metrics; foreign currency fluctuations; the impact of the Tax Reform Act and any other changes in tax legislation and tax rates;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2018.</w:t>
      </w:r>
    </w:p>
    <w:p>
      <w:pPr>
        <w:spacing w:after="0" w:line="136"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20" w:top="546" w:right="2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EARNINGS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ind w:left="80"/>
              <w:spacing w:after="0"/>
              <w:rPr>
                <w:sz w:val="20"/>
                <w:szCs w:val="20"/>
                <w:color w:val="auto"/>
              </w:rPr>
            </w:pPr>
            <w:r>
              <w:rPr>
                <w:rFonts w:ascii="Arial" w:cs="Arial" w:eastAsia="Arial" w:hAnsi="Arial"/>
                <w:sz w:val="13"/>
                <w:szCs w:val="13"/>
                <w:color w:val="auto"/>
              </w:rPr>
              <w:t>Three months ended July 31,</w:t>
            </w:r>
          </w:p>
        </w:tc>
        <w:tc>
          <w:tcPr>
            <w:tcW w:w="220" w:type="dxa"/>
            <w:vAlign w:val="bottom"/>
          </w:tcPr>
          <w:p>
            <w:pPr>
              <w:spacing w:after="0"/>
              <w:rPr>
                <w:sz w:val="14"/>
                <w:szCs w:val="14"/>
                <w:color w:val="auto"/>
              </w:rPr>
            </w:pPr>
          </w:p>
        </w:tc>
        <w:tc>
          <w:tcPr>
            <w:tcW w:w="1820" w:type="dxa"/>
            <w:vAlign w:val="bottom"/>
            <w:gridSpan w:val="4"/>
          </w:tcPr>
          <w:p>
            <w:pPr>
              <w:jc w:val="right"/>
              <w:ind w:right="413"/>
              <w:spacing w:after="0"/>
              <w:rPr>
                <w:sz w:val="20"/>
                <w:szCs w:val="20"/>
                <w:color w:val="auto"/>
              </w:rPr>
            </w:pPr>
            <w:r>
              <w:rPr>
                <w:rFonts w:ascii="Arial" w:cs="Arial" w:eastAsia="Arial" w:hAnsi="Arial"/>
                <w:sz w:val="13"/>
                <w:szCs w:val="13"/>
                <w:color w:val="auto"/>
              </w:rPr>
              <w:t>Year ended July 31,</w:t>
            </w:r>
          </w:p>
        </w:tc>
      </w:tr>
      <w:tr>
        <w:trPr>
          <w:trHeight w:val="27"/>
        </w:trPr>
        <w:tc>
          <w:tcPr>
            <w:tcW w:w="3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73"/>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2017</w:t>
            </w: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297,499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289,212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1,173,851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1,113,316</w:t>
            </w: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Cost of products sold</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150,047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145,345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585,560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555,024</w:t>
            </w: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Gross margin</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147,452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143,867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588,291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558,292</w:t>
            </w: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Operating expenses: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Research and development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11,047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45,253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39,624</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90,931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96,525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390,342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387,653</w:t>
            </w: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Total operating expenses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102,672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107,572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435,595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427,277</w:t>
            </w:r>
          </w:p>
        </w:tc>
      </w:tr>
      <w:tr>
        <w:trPr>
          <w:trHeight w:val="178"/>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Operating income</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44,780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36,295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152,696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131,015</w:t>
            </w:r>
          </w:p>
        </w:tc>
      </w:tr>
      <w:tr>
        <w:trPr>
          <w:trHeight w:val="178"/>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Other income (expense):</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Investment and other income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2,487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1,121</w:t>
            </w: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Interest expense</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(3,168)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(5,504)</w:t>
            </w:r>
          </w:p>
        </w:tc>
      </w:tr>
      <w:tr>
        <w:trPr>
          <w:trHeight w:val="169"/>
        </w:trPr>
        <w:tc>
          <w:tcPr>
            <w:tcW w:w="38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Earnings before income taxes</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45,249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35,917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152,015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126,632</w:t>
            </w:r>
          </w:p>
        </w:tc>
      </w:tr>
      <w:tr>
        <w:trPr>
          <w:trHeight w:val="178"/>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Income tax expense</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60,955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30,987</w:t>
            </w:r>
          </w:p>
        </w:tc>
      </w:tr>
      <w:tr>
        <w:trPr>
          <w:trHeight w:val="169"/>
        </w:trPr>
        <w:tc>
          <w:tcPr>
            <w:tcW w:w="38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1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Net earnings</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34,951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91,060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95,645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8"/>
        </w:trPr>
        <w:tc>
          <w:tcPr>
            <w:tcW w:w="3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Net earnings per Class A Nonvoting Common Share:</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Basic</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1.76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1.87</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Diluted</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0.66</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1.84</w:t>
            </w: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Dividends</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0.83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0.82</w:t>
            </w:r>
          </w:p>
        </w:tc>
      </w:tr>
      <w:tr>
        <w:trPr>
          <w:trHeight w:val="178"/>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Net earnings per Class B Voting Common Share:</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Basic</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0.67</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1.86</w:t>
            </w: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Diluted</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1.72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Dividends</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0.81</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0.80</w:t>
            </w: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78"/>
        </w:trPr>
        <w:tc>
          <w:tcPr>
            <w:tcW w:w="3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Weighted average common shares outstanding:</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Basic</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51,822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51,307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51,677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51,056</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52,658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52,180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52,524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51,956</w:t>
            </w:r>
          </w:p>
        </w:tc>
      </w:tr>
    </w:tbl>
    <w:p>
      <w:pPr>
        <w:sectPr>
          <w:pgSz w:w="11900" w:h="16838" w:orient="portrait"/>
          <w:cols w:equalWidth="0" w:num="1">
            <w:col w:w="10239"/>
          </w:cols>
          <w:pgMar w:left="220" w:top="506"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July 31, 2018</w:t>
            </w:r>
          </w:p>
        </w:tc>
        <w:tc>
          <w:tcPr>
            <w:tcW w:w="160" w:type="dxa"/>
            <w:vAlign w:val="bottom"/>
          </w:tcPr>
          <w:p>
            <w:pPr>
              <w:spacing w:after="0"/>
              <w:rPr>
                <w:sz w:val="14"/>
                <w:szCs w:val="14"/>
                <w:color w:val="auto"/>
              </w:rPr>
            </w:pPr>
          </w:p>
        </w:tc>
        <w:tc>
          <w:tcPr>
            <w:tcW w:w="1000" w:type="dxa"/>
            <w:vAlign w:val="bottom"/>
          </w:tcPr>
          <w:p>
            <w:pPr>
              <w:jc w:val="right"/>
              <w:ind w:right="153"/>
              <w:spacing w:after="0"/>
              <w:rPr>
                <w:sz w:val="20"/>
                <w:szCs w:val="20"/>
                <w:color w:val="auto"/>
              </w:rPr>
            </w:pPr>
            <w:r>
              <w:rPr>
                <w:rFonts w:ascii="Arial" w:cs="Arial" w:eastAsia="Arial" w:hAnsi="Arial"/>
                <w:sz w:val="13"/>
                <w:szCs w:val="13"/>
                <w:color w:val="auto"/>
                <w:w w:val="98"/>
              </w:rPr>
              <w:t>July 31, 2017</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w w:val="92"/>
              </w:rPr>
              <w:t>ASSETS</w:t>
            </w:r>
          </w:p>
        </w:tc>
        <w:tc>
          <w:tcPr>
            <w:tcW w:w="2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4"/>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Arial" w:cs="Arial" w:eastAsia="Arial" w:hAnsi="Arial"/>
                <w:sz w:val="13"/>
                <w:szCs w:val="13"/>
                <w:b w:val="1"/>
                <w:bCs w:val="1"/>
                <w:color w:val="auto"/>
              </w:rPr>
              <w:t>Current assets: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181,427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133,944</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Accounts receivable—net</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161,282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149,638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Arial" w:cs="Arial" w:eastAsia="Arial" w:hAnsi="Arial"/>
                <w:sz w:val="13"/>
                <w:szCs w:val="13"/>
                <w:color w:val="auto"/>
              </w:rPr>
              <w:t>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Finished products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73,133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69,760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3"/>
                <w:szCs w:val="13"/>
                <w:color w:val="auto"/>
              </w:rPr>
              <w:t>Work-in-process</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19,903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18,117</w:t>
            </w: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Raw materials and supplies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20,035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19,147</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6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3"/>
                <w:szCs w:val="13"/>
                <w:color w:val="auto"/>
              </w:rPr>
              <w:t>Total inventories</w:t>
            </w: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113,071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107,024</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15,559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17,208</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w w:val="89"/>
                <w:shd w:val="clear" w:color="auto" w:fill="CCEEFF"/>
              </w:rPr>
              <w:t>Total current assets</w:t>
            </w:r>
          </w:p>
        </w:tc>
        <w:tc>
          <w:tcPr>
            <w:tcW w:w="2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284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471,339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407,814</w:t>
            </w:r>
          </w:p>
        </w:tc>
      </w:tr>
      <w:tr>
        <w:trPr>
          <w:trHeight w:val="184"/>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Arial" w:cs="Arial" w:eastAsia="Arial" w:hAnsi="Arial"/>
                <w:sz w:val="13"/>
                <w:szCs w:val="13"/>
                <w:b w:val="1"/>
                <w:bCs w:val="1"/>
                <w:color w:val="auto"/>
              </w:rPr>
              <w:t>Other assets: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color w:val="auto"/>
                <w:shd w:val="clear" w:color="auto" w:fill="CCEEFF"/>
              </w:rPr>
              <w:t>Goodwill</w:t>
            </w: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419,815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437,697</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Other intangible assets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42,588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53,076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3"/>
                <w:szCs w:val="13"/>
                <w:color w:val="auto"/>
                <w:shd w:val="clear" w:color="auto" w:fill="CCEEFF"/>
              </w:rPr>
              <w:t>Deferred 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7,582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35,456</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17,662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18,077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b w:val="1"/>
                <w:bCs w:val="1"/>
                <w:color w:val="auto"/>
                <w:w w:val="99"/>
                <w:shd w:val="clear" w:color="auto" w:fill="CCEEFF"/>
              </w:rPr>
              <w:t>Property, plant and equipment:</w:t>
            </w: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84"/>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Cost:</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Land</w:t>
            </w:r>
          </w:p>
        </w:tc>
        <w:tc>
          <w:tcPr>
            <w:tcW w:w="112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6,994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7,470</w:t>
            </w: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Buildings and improvements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96,245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98,228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92"/>
                <w:shd w:val="clear" w:color="auto" w:fill="CCEEFF"/>
              </w:rPr>
              <w:t>Machinery and equipment</w:t>
            </w: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270,989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261,192</w:t>
            </w: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Construction in progress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4,495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4,109</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378,723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370,999</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Less accumulated depreciation</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280,778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272,896</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b w:val="1"/>
                <w:bCs w:val="1"/>
                <w:color w:val="auto"/>
                <w:w w:val="92"/>
                <w:shd w:val="clear" w:color="auto" w:fill="CCEEFF"/>
              </w:rPr>
              <w:t>Property, plant and equipment—net</w:t>
            </w: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97,945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98,103</w:t>
            </w:r>
          </w:p>
        </w:tc>
      </w:tr>
      <w:tr>
        <w:trPr>
          <w:trHeight w:val="175"/>
        </w:trPr>
        <w:tc>
          <w:tcPr>
            <w:tcW w:w="40" w:type="dxa"/>
            <w:vAlign w:val="bottom"/>
          </w:tcPr>
          <w:p>
            <w:pPr>
              <w:spacing w:after="0"/>
              <w:rPr>
                <w:sz w:val="15"/>
                <w:szCs w:val="15"/>
                <w:color w:val="auto"/>
              </w:rPr>
            </w:pPr>
          </w:p>
        </w:tc>
        <w:tc>
          <w:tcPr>
            <w:tcW w:w="5440" w:type="dxa"/>
            <w:vAlign w:val="bottom"/>
            <w:gridSpan w:val="8"/>
          </w:tcPr>
          <w:p>
            <w:pPr>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1,056,931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1,050,223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5016500" cy="161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16500" cy="161925"/>
                    </a:xfrm>
                    <a:prstGeom prst="rect">
                      <a:avLst/>
                    </a:prstGeom>
                    <a:noFill/>
                  </pic:spPr>
                </pic:pic>
              </a:graphicData>
            </a:graphic>
          </wp:anchor>
        </w:drawing>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b w:val="1"/>
          <w:bCs w:val="1"/>
          <w:u w:val="single" w:color="auto"/>
          <w:color w:val="auto"/>
          <w:shd w:val="clear" w:color="auto" w:fill="CCEEFF"/>
        </w:rPr>
        <w:t>LIABILITIES AND STOCKHOLDERS’ INVESTMENT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16500" cy="140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ectPr>
          <w:pgSz w:w="11900" w:h="16838" w:orient="portrait"/>
          <w:cols w:equalWidth="0" w:num="1">
            <w:col w:w="10239"/>
          </w:cols>
          <w:pgMar w:left="220" w:top="506" w:right="1440" w:bottom="1440" w:gutter="0" w:footer="0" w:header="0"/>
        </w:sectPr>
      </w:pPr>
    </w:p>
    <w:p>
      <w:pPr>
        <w:spacing w:after="0" w:line="76"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3"/>
          <w:szCs w:val="13"/>
          <w:color w:val="auto"/>
          <w:shd w:val="clear" w:color="auto" w:fill="CCEEFF"/>
        </w:rPr>
        <w:t>Notes payable</w:t>
      </w:r>
      <w:r>
        <w:rPr>
          <w:sz w:val="20"/>
          <w:szCs w:val="20"/>
          <w:color w:val="auto"/>
        </w:rPr>
        <w:tab/>
      </w:r>
      <w:r>
        <w:rPr>
          <w:rFonts w:ascii="Arial" w:cs="Arial" w:eastAsia="Arial" w:hAnsi="Arial"/>
          <w:sz w:val="10"/>
          <w:szCs w:val="10"/>
          <w:color w:val="auto"/>
        </w:rPr>
        <w:t>$</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shd w:val="clear" w:color="auto" w:fill="CCEEFF"/>
        </w:rPr>
        <w:t>Wages and amounts withheld from employees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Accrued income taxes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shd w:val="clear" w:color="auto" w:fill="CCEEFF"/>
        </w:rPr>
        <w:t>Total current liabilities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Long-term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16500" cy="140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shd w:val="clear" w:color="auto" w:fill="CCEEFF"/>
        </w:rPr>
        <w:t>Other liabilities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16500" cy="14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shd w:val="clear" w:color="auto" w:fill="CCEEFF"/>
        </w:rPr>
        <w:t>Stockholders’ investment: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239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16500" cy="239395"/>
                    </a:xfrm>
                    <a:prstGeom prst="rect">
                      <a:avLst/>
                    </a:prstGeom>
                    <a:noFill/>
                  </pic:spPr>
                </pic:pic>
              </a:graphicData>
            </a:graphic>
          </wp:anchor>
        </w:drawing>
      </w:r>
    </w:p>
    <w:p>
      <w:pPr>
        <w:spacing w:after="0" w:line="52" w:lineRule="exact"/>
        <w:rPr>
          <w:sz w:val="20"/>
          <w:szCs w:val="20"/>
          <w:color w:val="auto"/>
        </w:rPr>
      </w:pPr>
    </w:p>
    <w:p>
      <w:pPr>
        <w:ind w:left="580" w:right="140"/>
        <w:spacing w:after="0" w:line="297" w:lineRule="auto"/>
        <w:rPr>
          <w:sz w:val="20"/>
          <w:szCs w:val="20"/>
          <w:color w:val="auto"/>
        </w:rPr>
      </w:pPr>
      <w:r>
        <w:rPr>
          <w:rFonts w:ascii="Arial" w:cs="Arial" w:eastAsia="Arial" w:hAnsi="Arial"/>
          <w:sz w:val="13"/>
          <w:szCs w:val="13"/>
          <w:color w:val="auto"/>
          <w:shd w:val="clear" w:color="auto" w:fill="CCEEFF"/>
        </w:rPr>
        <w:t>Class A nonvoting common stock—Issued 51,261,487 and 51,261,487 shares, respectively, and outstanding 48,393,617 and 47,814,818 shares, respectively</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Class B voting common stock—Issued and outstanding, 3,538,628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shd w:val="clear" w:color="auto" w:fill="CCEEFF"/>
        </w:rPr>
        <w:t>Additional paid-in capital</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Earnings retained in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239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16500" cy="239395"/>
                    </a:xfrm>
                    <a:prstGeom prst="rect">
                      <a:avLst/>
                    </a:prstGeom>
                    <a:noFill/>
                  </pic:spPr>
                </pic:pic>
              </a:graphicData>
            </a:graphic>
          </wp:anchor>
        </w:drawing>
      </w:r>
    </w:p>
    <w:p>
      <w:pPr>
        <w:spacing w:after="0" w:line="52" w:lineRule="exact"/>
        <w:rPr>
          <w:sz w:val="20"/>
          <w:szCs w:val="20"/>
          <w:color w:val="auto"/>
        </w:rPr>
      </w:pPr>
    </w:p>
    <w:p>
      <w:pPr>
        <w:ind w:left="320" w:right="280"/>
        <w:spacing w:after="0" w:line="297" w:lineRule="auto"/>
        <w:rPr>
          <w:sz w:val="20"/>
          <w:szCs w:val="20"/>
          <w:color w:val="auto"/>
        </w:rPr>
      </w:pPr>
      <w:r>
        <w:rPr>
          <w:rFonts w:ascii="Arial" w:cs="Arial" w:eastAsia="Arial" w:hAnsi="Arial"/>
          <w:sz w:val="13"/>
          <w:szCs w:val="13"/>
          <w:color w:val="auto"/>
          <w:shd w:val="clear" w:color="auto" w:fill="CCEEFF"/>
        </w:rPr>
        <w:t>Treasury stock—2,867,870 and 3,446,669 shares, respectively of Class A nonvoting common stock, at cost</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shd w:val="clear" w:color="auto" w:fill="CCEEFF"/>
        </w:rPr>
        <w:t>Total stockholders’ investment</w:t>
      </w:r>
    </w:p>
    <w:p>
      <w:pPr>
        <w:spacing w:after="0" w:line="72"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0"/>
          <w:szCs w:val="10"/>
          <w:b w:val="1"/>
          <w:bCs w:val="1"/>
          <w:color w:val="auto"/>
        </w:rPr>
        <w:t>Total</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9"/>
        </w:trPr>
        <w:tc>
          <w:tcPr>
            <w:tcW w:w="96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3,228</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66,538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66,817</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67,619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58,192</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8,318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7,970</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3,885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7,373</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44,567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43,618</w:t>
            </w:r>
          </w:p>
        </w:tc>
      </w:tr>
      <w:tr>
        <w:trPr>
          <w:trHeight w:val="27"/>
        </w:trPr>
        <w:tc>
          <w:tcPr>
            <w:tcW w:w="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5"/>
        </w:trPr>
        <w:tc>
          <w:tcPr>
            <w:tcW w:w="580" w:type="dxa"/>
            <w:vAlign w:val="bottom"/>
          </w:tcPr>
          <w:p>
            <w:pPr>
              <w:jc w:val="right"/>
              <w:ind w:right="93"/>
              <w:spacing w:after="0"/>
              <w:rPr>
                <w:sz w:val="20"/>
                <w:szCs w:val="20"/>
                <w:color w:val="auto"/>
              </w:rPr>
            </w:pPr>
            <w:r>
              <w:rPr>
                <w:rFonts w:ascii="Arial" w:cs="Arial" w:eastAsia="Arial" w:hAnsi="Arial"/>
                <w:sz w:val="13"/>
                <w:szCs w:val="13"/>
                <w:color w:val="auto"/>
                <w:w w:val="85"/>
              </w:rPr>
              <w:t>190,927</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187,198</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52,618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104,536</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61,274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58,349</w:t>
            </w:r>
          </w:p>
        </w:tc>
      </w:tr>
      <w:tr>
        <w:trPr>
          <w:trHeight w:val="27"/>
        </w:trPr>
        <w:tc>
          <w:tcPr>
            <w:tcW w:w="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5"/>
        </w:trPr>
        <w:tc>
          <w:tcPr>
            <w:tcW w:w="580" w:type="dxa"/>
            <w:vAlign w:val="bottom"/>
          </w:tcPr>
          <w:p>
            <w:pPr>
              <w:jc w:val="right"/>
              <w:ind w:right="93"/>
              <w:spacing w:after="0"/>
              <w:rPr>
                <w:sz w:val="20"/>
                <w:szCs w:val="20"/>
                <w:color w:val="auto"/>
              </w:rPr>
            </w:pPr>
            <w:r>
              <w:rPr>
                <w:rFonts w:ascii="Arial" w:cs="Arial" w:eastAsia="Arial" w:hAnsi="Arial"/>
                <w:sz w:val="13"/>
                <w:szCs w:val="13"/>
                <w:color w:val="auto"/>
                <w:w w:val="85"/>
              </w:rPr>
              <w:t>304,819</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350,083</w:t>
            </w:r>
          </w:p>
        </w:tc>
      </w:tr>
      <w:tr>
        <w:trPr>
          <w:trHeight w:val="821"/>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513</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-644525</wp:posOffset>
            </wp:positionV>
            <wp:extent cx="73977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33" w:lineRule="exact"/>
        <w:rPr>
          <w:sz w:val="20"/>
          <w:szCs w:val="20"/>
          <w:color w:val="auto"/>
        </w:rPr>
      </w:pPr>
    </w:p>
    <w:p>
      <w:pPr>
        <w:ind w:left="1640" w:hanging="1245"/>
        <w:spacing w:after="0"/>
        <w:tabs>
          <w:tab w:leader="none" w:pos="1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35</w:t>
      </w:r>
    </w:p>
    <w:p>
      <w:pPr>
        <w:spacing w:after="0" w:line="72"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325,631</w:t>
      </w:r>
      <w:r>
        <w:rPr>
          <w:rFonts w:ascii="Arial" w:cs="Arial" w:eastAsia="Arial" w:hAnsi="Arial"/>
          <w:sz w:val="12"/>
          <w:szCs w:val="12"/>
          <w:color w:val="auto"/>
        </w:rPr>
        <w:t>322,608</w:t>
      </w:r>
    </w:p>
    <w:p>
      <w:pPr>
        <w:spacing w:after="0" w:line="72"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553,454</w:t>
      </w:r>
      <w:r>
        <w:rPr>
          <w:rFonts w:ascii="Arial" w:cs="Arial" w:eastAsia="Arial" w:hAnsi="Arial"/>
          <w:sz w:val="12"/>
          <w:szCs w:val="12"/>
          <w:color w:val="auto"/>
        </w:rPr>
        <w:t>507,136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jc w:val="right"/>
              <w:ind w:right="33"/>
              <w:spacing w:after="0"/>
              <w:rPr>
                <w:sz w:val="20"/>
                <w:szCs w:val="20"/>
                <w:color w:val="auto"/>
              </w:rPr>
            </w:pPr>
            <w:r>
              <w:rPr>
                <w:rFonts w:ascii="Arial" w:cs="Arial" w:eastAsia="Arial" w:hAnsi="Arial"/>
                <w:sz w:val="13"/>
                <w:szCs w:val="13"/>
                <w:color w:val="auto"/>
              </w:rPr>
              <w:t>(71,120)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(85,470)</w:t>
            </w:r>
          </w:p>
        </w:tc>
      </w:tr>
      <w:tr>
        <w:trPr>
          <w:trHeight w:val="222"/>
        </w:trPr>
        <w:tc>
          <w:tcPr>
            <w:tcW w:w="680" w:type="dxa"/>
            <w:vAlign w:val="bottom"/>
          </w:tcPr>
          <w:p>
            <w:pPr>
              <w:jc w:val="right"/>
              <w:ind w:right="33"/>
              <w:spacing w:after="0"/>
              <w:rPr>
                <w:sz w:val="20"/>
                <w:szCs w:val="20"/>
                <w:color w:val="auto"/>
              </w:rPr>
            </w:pPr>
            <w:r>
              <w:rPr>
                <w:rFonts w:ascii="Arial" w:cs="Arial" w:eastAsia="Arial" w:hAnsi="Arial"/>
                <w:sz w:val="13"/>
                <w:szCs w:val="13"/>
                <w:color w:val="auto"/>
              </w:rPr>
              <w:t>(56,401)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(44,682)</w:t>
            </w:r>
          </w:p>
        </w:tc>
      </w:tr>
      <w:tr>
        <w:trPr>
          <w:trHeight w:val="222"/>
        </w:trPr>
        <w:tc>
          <w:tcPr>
            <w:tcW w:w="680" w:type="dxa"/>
            <w:vAlign w:val="bottom"/>
          </w:tcPr>
          <w:p>
            <w:pPr>
              <w:jc w:val="right"/>
              <w:ind w:right="93"/>
              <w:spacing w:after="0"/>
              <w:rPr>
                <w:sz w:val="20"/>
                <w:szCs w:val="20"/>
                <w:color w:val="auto"/>
              </w:rPr>
            </w:pPr>
            <w:r>
              <w:rPr>
                <w:rFonts w:ascii="Arial" w:cs="Arial" w:eastAsia="Arial" w:hAnsi="Arial"/>
                <w:sz w:val="13"/>
                <w:szCs w:val="13"/>
                <w:color w:val="auto"/>
              </w:rPr>
              <w:t>752,112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700,140</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5"/>
        </w:trPr>
        <w:tc>
          <w:tcPr>
            <w:tcW w:w="680" w:type="dxa"/>
            <w:vAlign w:val="bottom"/>
          </w:tcPr>
          <w:p>
            <w:pPr>
              <w:jc w:val="right"/>
              <w:ind w:right="93"/>
              <w:spacing w:after="0"/>
              <w:rPr>
                <w:sz w:val="20"/>
                <w:szCs w:val="20"/>
                <w:color w:val="auto"/>
              </w:rPr>
            </w:pPr>
            <w:r>
              <w:rPr>
                <w:rFonts w:ascii="Arial" w:cs="Arial" w:eastAsia="Arial" w:hAnsi="Arial"/>
                <w:sz w:val="13"/>
                <w:szCs w:val="13"/>
                <w:color w:val="auto"/>
                <w:w w:val="86"/>
              </w:rPr>
              <w:t>1,056,931</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1,050,223</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-20320</wp:posOffset>
            </wp:positionV>
            <wp:extent cx="7397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-6350</wp:posOffset>
            </wp:positionV>
            <wp:extent cx="7397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-161290</wp:posOffset>
            </wp:positionV>
            <wp:extent cx="7397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ectPr>
          <w:pgSz w:w="11900" w:h="16838" w:orient="portrait"/>
          <w:cols w:equalWidth="0" w:num="2">
            <w:col w:w="5580" w:space="480"/>
            <w:col w:w="4179"/>
          </w:cols>
          <w:pgMar w:left="220" w:top="506" w:right="1440" w:bottom="1440" w:gutter="0" w:footer="0" w:header="0"/>
          <w:type w:val="continuous"/>
        </w:sectPr>
      </w:pPr>
    </w:p>
    <w:bookmarkStart w:id="8" w:name="page9"/>
    <w:bookmarkEnd w:id="8"/>
    <w:p>
      <w:pPr>
        <w:ind w:right="2080"/>
        <w:spacing w:after="0" w:line="267" w:lineRule="auto"/>
        <w:rPr>
          <w:sz w:val="20"/>
          <w:szCs w:val="20"/>
          <w:color w:val="auto"/>
        </w:rPr>
      </w:pPr>
      <w:r>
        <w:rPr>
          <w:rFonts w:ascii="Arial" w:cs="Arial" w:eastAsia="Arial" w:hAnsi="Arial"/>
          <w:sz w:val="13"/>
          <w:szCs w:val="13"/>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5073015" cy="147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Operating activities: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Adjustments to reconcile net income to net cash provided by operating activities: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3"/>
          <w:szCs w:val="13"/>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Non-cash portion of stock-based compensation expense</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Gain on sale of business,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Deferred income taxes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Accounts receivable</w:t>
      </w:r>
    </w:p>
    <w:p>
      <w:pPr>
        <w:spacing w:after="0" w:line="7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Prepaid expenses and other assets</w:t>
      </w:r>
    </w:p>
    <w:p>
      <w:pPr>
        <w:spacing w:after="0" w:line="7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Income taxes</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7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Purchases of property, plant and equipment</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Divestiture of business, net of cash transferred with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shd w:val="clear" w:color="auto" w:fill="CCEEFF"/>
        </w:rPr>
        <w:t>Other</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7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shd w:val="clear" w:color="auto" w:fill="CCEEFF"/>
        </w:rPr>
        <w:t>Payment of dividends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Proceeds from borrowing on credit facilities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Principal payments on debt</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Income tax on equity-based compensation,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5073015" cy="140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5073015" cy="140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decrease in cash and cash equivalents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54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73015"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3106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2017</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408"/>
        </w:trPr>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91,060</w:t>
            </w:r>
          </w:p>
        </w:tc>
        <w:tc>
          <w:tcPr>
            <w:tcW w:w="80" w:type="dxa"/>
            <w:vAlign w:val="bottom"/>
          </w:tcPr>
          <w:p>
            <w:pPr>
              <w:spacing w:after="0"/>
              <w:rPr>
                <w:sz w:val="24"/>
                <w:szCs w:val="24"/>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95,645</w:t>
            </w:r>
          </w:p>
        </w:tc>
      </w:tr>
      <w:tr>
        <w:trPr>
          <w:trHeight w:val="444"/>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25,442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27,303</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9,495</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33,656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(8,618)</w:t>
            </w:r>
          </w:p>
        </w:tc>
      </w:tr>
      <w:tr>
        <w:trPr>
          <w:trHeight w:val="444"/>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(16,612)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766</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(5,687)</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1,812</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22,255</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1,061</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5"/>
        </w:trPr>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143,042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144,032</w:t>
            </w:r>
          </w:p>
        </w:tc>
      </w:tr>
      <w:tr>
        <w:trPr>
          <w:trHeight w:val="677"/>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(21,777)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(15,167)</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19,141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5"/>
        </w:trPr>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(15,253)</w:t>
            </w:r>
          </w:p>
        </w:tc>
      </w:tr>
    </w:tbl>
    <w:p>
      <w:pPr>
        <w:spacing w:after="0" w:line="200" w:lineRule="exact"/>
        <w:rPr>
          <w:sz w:val="20"/>
          <w:szCs w:val="20"/>
          <w:color w:val="auto"/>
        </w:rPr>
      </w:pPr>
    </w:p>
    <w:p>
      <w:pPr>
        <w:spacing w:after="0" w:line="308" w:lineRule="exact"/>
        <w:rPr>
          <w:sz w:val="20"/>
          <w:szCs w:val="20"/>
          <w:color w:val="auto"/>
        </w:rPr>
      </w:pPr>
    </w:p>
    <w:p>
      <w:pPr>
        <w:ind w:left="500"/>
        <w:spacing w:after="0"/>
        <w:tabs>
          <w:tab w:leader="none" w:pos="1560" w:val="left"/>
        </w:tabs>
        <w:rPr>
          <w:sz w:val="20"/>
          <w:szCs w:val="20"/>
          <w:color w:val="auto"/>
        </w:rPr>
      </w:pPr>
      <w:r>
        <w:rPr>
          <w:rFonts w:ascii="Arial" w:cs="Arial" w:eastAsia="Arial" w:hAnsi="Arial"/>
          <w:sz w:val="12"/>
          <w:szCs w:val="12"/>
          <w:color w:val="auto"/>
        </w:rPr>
        <w:t>(42,873)</w:t>
      </w:r>
      <w:r>
        <w:rPr>
          <w:sz w:val="20"/>
          <w:szCs w:val="20"/>
          <w:color w:val="auto"/>
        </w:rPr>
        <w:tab/>
      </w:r>
      <w:r>
        <w:rPr>
          <w:rFonts w:ascii="Arial" w:cs="Arial" w:eastAsia="Arial" w:hAnsi="Arial"/>
          <w:sz w:val="12"/>
          <w:szCs w:val="12"/>
          <w:color w:val="auto"/>
        </w:rPr>
        <w:t>(41,880)</w:t>
      </w:r>
    </w:p>
    <w:p>
      <w:pPr>
        <w:spacing w:after="0" w:line="84" w:lineRule="exact"/>
        <w:rPr>
          <w:sz w:val="20"/>
          <w:szCs w:val="20"/>
          <w:color w:val="auto"/>
        </w:rPr>
      </w:pPr>
    </w:p>
    <w:p>
      <w:pPr>
        <w:ind w:left="540"/>
        <w:spacing w:after="0"/>
        <w:tabs>
          <w:tab w:leader="none" w:pos="1600" w:val="left"/>
        </w:tabs>
        <w:rPr>
          <w:sz w:val="20"/>
          <w:szCs w:val="20"/>
          <w:color w:val="auto"/>
        </w:rPr>
      </w:pPr>
      <w:r>
        <w:rPr>
          <w:rFonts w:ascii="Arial" w:cs="Arial" w:eastAsia="Arial" w:hAnsi="Arial"/>
          <w:sz w:val="13"/>
          <w:szCs w:val="13"/>
          <w:color w:val="auto"/>
        </w:rPr>
        <w:t>12,099</w:t>
      </w:r>
      <w:r>
        <w:rPr>
          <w:sz w:val="20"/>
          <w:szCs w:val="20"/>
          <w:color w:val="auto"/>
        </w:rPr>
        <w:tab/>
      </w:r>
      <w:r>
        <w:rPr>
          <w:rFonts w:ascii="Arial" w:cs="Arial" w:eastAsia="Arial" w:hAnsi="Arial"/>
          <w:sz w:val="13"/>
          <w:szCs w:val="13"/>
          <w:color w:val="auto"/>
        </w:rPr>
        <w:t>19,728</w:t>
      </w:r>
    </w:p>
    <w:p>
      <w:pPr>
        <w:spacing w:after="0" w:line="72"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3"/>
          <w:szCs w:val="13"/>
          <w:color w:val="auto"/>
        </w:rPr>
        <w:t>23,221</w:t>
      </w:r>
      <w:r>
        <w:rPr>
          <w:sz w:val="20"/>
          <w:szCs w:val="20"/>
          <w:color w:val="auto"/>
        </w:rPr>
        <w:tab/>
      </w:r>
      <w:r>
        <w:rPr>
          <w:rFonts w:ascii="Arial" w:cs="Arial" w:eastAsia="Arial" w:hAnsi="Arial"/>
          <w:sz w:val="13"/>
          <w:szCs w:val="13"/>
          <w:color w:val="auto"/>
        </w:rPr>
        <w:t>180,320</w:t>
      </w:r>
    </w:p>
    <w:p>
      <w:pPr>
        <w:spacing w:after="0" w:line="72"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2"/>
          <w:szCs w:val="12"/>
          <w:color w:val="auto"/>
        </w:rPr>
        <w:t>(78,419)</w:t>
      </w:r>
      <w:r>
        <w:rPr>
          <w:sz w:val="20"/>
          <w:szCs w:val="20"/>
          <w:color w:val="auto"/>
        </w:rPr>
        <w:tab/>
      </w:r>
      <w:r>
        <w:rPr>
          <w:rFonts w:ascii="Arial" w:cs="Arial" w:eastAsia="Arial" w:hAnsi="Arial"/>
          <w:sz w:val="12"/>
          <w:szCs w:val="12"/>
          <w:color w:val="auto"/>
        </w:rPr>
        <w:t>(244,268)</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(49,302)</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(4,708)</w:t>
      </w:r>
      <w:r>
        <w:rPr>
          <w:rFonts w:ascii="Arial" w:cs="Arial" w:eastAsia="Arial" w:hAnsi="Arial"/>
          <w:sz w:val="12"/>
          <w:szCs w:val="12"/>
          <w:color w:val="auto"/>
        </w:rPr>
        <w:t>(839)</w:t>
      </w:r>
    </w:p>
    <w:p>
      <w:pPr>
        <w:spacing w:after="0" w:line="72"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2"/>
          <w:szCs w:val="12"/>
          <w:color w:val="auto"/>
        </w:rPr>
        <w:t>(90,680)</w:t>
      </w:r>
      <w:r>
        <w:rPr>
          <w:sz w:val="20"/>
          <w:szCs w:val="20"/>
          <w:color w:val="auto"/>
        </w:rPr>
        <w:tab/>
      </w:r>
      <w:r>
        <w:rPr>
          <w:rFonts w:ascii="Arial" w:cs="Arial" w:eastAsia="Arial" w:hAnsi="Arial"/>
          <w:sz w:val="12"/>
          <w:szCs w:val="12"/>
          <w:color w:val="auto"/>
        </w:rPr>
        <w:t>(136,241)</w:t>
      </w:r>
    </w:p>
    <w:p>
      <w:pPr>
        <w:spacing w:after="0" w:line="317"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3"/>
          <w:szCs w:val="13"/>
          <w:color w:val="auto"/>
        </w:rPr>
        <w:t>(1,974)</w:t>
      </w:r>
      <w:r>
        <w:rPr>
          <w:sz w:val="20"/>
          <w:szCs w:val="20"/>
          <w:color w:val="auto"/>
        </w:rPr>
        <w:tab/>
      </w:r>
      <w:r>
        <w:rPr>
          <w:rFonts w:ascii="Arial" w:cs="Arial" w:eastAsia="Arial" w:hAnsi="Arial"/>
          <w:sz w:val="13"/>
          <w:szCs w:val="13"/>
          <w:color w:val="auto"/>
        </w:rPr>
        <w:t>178</w:t>
      </w:r>
    </w:p>
    <w:p>
      <w:pPr>
        <w:spacing w:after="0" w:line="305"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3"/>
          <w:szCs w:val="13"/>
          <w:color w:val="auto"/>
        </w:rPr>
        <w:t>47,483</w:t>
      </w:r>
      <w:r>
        <w:rPr>
          <w:sz w:val="20"/>
          <w:szCs w:val="20"/>
          <w:color w:val="auto"/>
        </w:rPr>
        <w:tab/>
      </w:r>
      <w:r>
        <w:rPr>
          <w:rFonts w:ascii="Arial" w:cs="Arial" w:eastAsia="Arial" w:hAnsi="Arial"/>
          <w:sz w:val="13"/>
          <w:szCs w:val="13"/>
          <w:color w:val="auto"/>
        </w:rPr>
        <w:t>(7,284)</w:t>
      </w:r>
    </w:p>
    <w:p>
      <w:pPr>
        <w:spacing w:after="0" w:line="72" w:lineRule="exact"/>
        <w:rPr>
          <w:sz w:val="20"/>
          <w:szCs w:val="20"/>
          <w:color w:val="auto"/>
        </w:rPr>
      </w:pPr>
    </w:p>
    <w:p>
      <w:pPr>
        <w:ind w:left="480"/>
        <w:spacing w:after="0"/>
        <w:tabs>
          <w:tab w:leader="none" w:pos="1540" w:val="left"/>
        </w:tabs>
        <w:rPr>
          <w:sz w:val="20"/>
          <w:szCs w:val="20"/>
          <w:color w:val="auto"/>
        </w:rPr>
      </w:pPr>
      <w:r>
        <w:rPr>
          <w:rFonts w:ascii="Arial" w:cs="Arial" w:eastAsia="Arial" w:hAnsi="Arial"/>
          <w:sz w:val="13"/>
          <w:szCs w:val="13"/>
          <w:color w:val="auto"/>
        </w:rPr>
        <w:t>133,944</w:t>
      </w:r>
      <w:r>
        <w:rPr>
          <w:sz w:val="20"/>
          <w:szCs w:val="20"/>
          <w:color w:val="auto"/>
        </w:rPr>
        <w:tab/>
      </w:r>
      <w:r>
        <w:rPr>
          <w:rFonts w:ascii="Arial" w:cs="Arial" w:eastAsia="Arial" w:hAnsi="Arial"/>
          <w:sz w:val="13"/>
          <w:szCs w:val="13"/>
          <w:color w:val="auto"/>
        </w:rPr>
        <w:t>141,228</w:t>
      </w:r>
    </w:p>
    <w:p>
      <w:pPr>
        <w:spacing w:after="0" w:line="200" w:lineRule="exact"/>
        <w:rPr>
          <w:sz w:val="20"/>
          <w:szCs w:val="20"/>
          <w:color w:val="auto"/>
        </w:rPr>
      </w:pPr>
    </w:p>
    <w:p>
      <w:pPr>
        <w:sectPr>
          <w:pgSz w:w="11900" w:h="16838" w:orient="portrait"/>
          <w:cols w:equalWidth="0" w:num="2">
            <w:col w:w="5220" w:space="720"/>
            <w:col w:w="4299"/>
          </w:cols>
          <w:pgMar w:left="220" w:top="506" w:right="1440" w:bottom="1440" w:gutter="0" w:footer="0" w:header="0"/>
        </w:sectPr>
      </w:pPr>
    </w:p>
    <w:p>
      <w:pPr>
        <w:spacing w:after="0" w:line="105" w:lineRule="exact"/>
        <w:rPr>
          <w:sz w:val="20"/>
          <w:szCs w:val="20"/>
          <w:color w:val="auto"/>
        </w:rPr>
      </w:pPr>
    </w:p>
    <w:p>
      <w:pPr>
        <w:ind w:left="40"/>
        <w:spacing w:after="0"/>
        <w:tabs>
          <w:tab w:leader="none" w:pos="5940" w:val="left"/>
          <w:tab w:leader="none" w:pos="6400" w:val="left"/>
          <w:tab w:leader="none" w:pos="7020" w:val="left"/>
          <w:tab w:leader="none" w:pos="7480" w:val="left"/>
        </w:tabs>
        <w:rPr>
          <w:sz w:val="20"/>
          <w:szCs w:val="20"/>
          <w:color w:val="auto"/>
        </w:rPr>
      </w:pPr>
      <w:r>
        <w:rPr>
          <w:rFonts w:ascii="Arial" w:cs="Arial" w:eastAsia="Arial" w:hAnsi="Arial"/>
          <w:sz w:val="13"/>
          <w:szCs w:val="13"/>
          <w:color w:val="auto"/>
        </w:rPr>
        <w:t>Cash and cash equivalents, end of period</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181,427</w:t>
        <w:tab/>
        <w:t>$</w:t>
      </w:r>
      <w:r>
        <w:rPr>
          <w:sz w:val="20"/>
          <w:szCs w:val="20"/>
          <w:color w:val="auto"/>
        </w:rPr>
        <w:tab/>
      </w:r>
      <w:r>
        <w:rPr>
          <w:rFonts w:ascii="Arial" w:cs="Arial" w:eastAsia="Arial" w:hAnsi="Arial"/>
          <w:sz w:val="12"/>
          <w:szCs w:val="12"/>
          <w:color w:val="auto"/>
        </w:rPr>
        <w:t>133,944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29210</wp:posOffset>
            </wp:positionV>
            <wp:extent cx="13106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0640" cy="20955"/>
                    </a:xfrm>
                    <a:prstGeom prst="rect">
                      <a:avLst/>
                    </a:prstGeom>
                    <a:noFill/>
                  </pic:spPr>
                </pic:pic>
              </a:graphicData>
            </a:graphic>
          </wp:anchor>
        </w:drawing>
      </w:r>
    </w:p>
    <w:p>
      <w:pPr>
        <w:sectPr>
          <w:pgSz w:w="11900" w:h="16838" w:orient="portrait"/>
          <w:cols w:equalWidth="0" w:num="1">
            <w:col w:w="10239"/>
          </w:cols>
          <w:pgMar w:left="220" w:top="506"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INFORMATION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Arial" w:cs="Arial" w:eastAsia="Arial" w:hAnsi="Arial"/>
                <w:sz w:val="13"/>
                <w:szCs w:val="13"/>
                <w:color w:val="auto"/>
              </w:rPr>
              <w:t>Three months ended July 31,</w:t>
            </w:r>
          </w:p>
        </w:tc>
        <w:tc>
          <w:tcPr>
            <w:tcW w:w="220" w:type="dxa"/>
            <w:vAlign w:val="bottom"/>
          </w:tcPr>
          <w:p>
            <w:pPr>
              <w:spacing w:after="0"/>
              <w:rPr>
                <w:sz w:val="14"/>
                <w:szCs w:val="14"/>
                <w:color w:val="auto"/>
              </w:rPr>
            </w:pPr>
          </w:p>
        </w:tc>
        <w:tc>
          <w:tcPr>
            <w:tcW w:w="1980" w:type="dxa"/>
            <w:vAlign w:val="bottom"/>
            <w:gridSpan w:val="4"/>
          </w:tcPr>
          <w:p>
            <w:pPr>
              <w:jc w:val="right"/>
              <w:ind w:right="493"/>
              <w:spacing w:after="0"/>
              <w:rPr>
                <w:sz w:val="20"/>
                <w:szCs w:val="20"/>
                <w:color w:val="auto"/>
              </w:rPr>
            </w:pPr>
            <w:r>
              <w:rPr>
                <w:rFonts w:ascii="Arial" w:cs="Arial" w:eastAsia="Arial" w:hAnsi="Arial"/>
                <w:sz w:val="13"/>
                <w:szCs w:val="13"/>
                <w:color w:val="auto"/>
              </w:rPr>
              <w:t>Year ended July 31,</w:t>
            </w: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Arial" w:cs="Arial" w:eastAsia="Arial" w:hAnsi="Arial"/>
                <w:sz w:val="13"/>
                <w:szCs w:val="13"/>
                <w:color w:val="auto"/>
              </w:rPr>
              <w:t>2017</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NET SALES</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5"/>
        </w:trPr>
        <w:tc>
          <w:tcPr>
            <w:tcW w:w="3500" w:type="dxa"/>
            <w:vAlign w:val="bottom"/>
          </w:tcPr>
          <w:p>
            <w:pPr>
              <w:ind w:left="320"/>
              <w:spacing w:after="0"/>
              <w:rPr>
                <w:sz w:val="20"/>
                <w:szCs w:val="20"/>
                <w:color w:val="auto"/>
              </w:rPr>
            </w:pPr>
            <w:r>
              <w:rPr>
                <w:rFonts w:ascii="Arial" w:cs="Arial" w:eastAsia="Arial" w:hAnsi="Arial"/>
                <w:sz w:val="13"/>
                <w:szCs w:val="13"/>
                <w:color w:val="auto"/>
              </w:rPr>
              <w:t>ID Solutions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217,796</w:t>
            </w:r>
          </w:p>
        </w:tc>
        <w:tc>
          <w:tcPr>
            <w:tcW w:w="100" w:type="dxa"/>
            <w:vAlign w:val="bottom"/>
          </w:tcPr>
          <w:p>
            <w:pPr>
              <w:spacing w:after="0"/>
              <w:rPr>
                <w:sz w:val="16"/>
                <w:szCs w:val="16"/>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93"/>
              <w:spacing w:after="0"/>
              <w:rPr>
                <w:sz w:val="20"/>
                <w:szCs w:val="20"/>
                <w:color w:val="auto"/>
              </w:rPr>
            </w:pPr>
            <w:r>
              <w:rPr>
                <w:rFonts w:ascii="Arial" w:cs="Arial" w:eastAsia="Arial" w:hAnsi="Arial"/>
                <w:sz w:val="13"/>
                <w:szCs w:val="13"/>
                <w:color w:val="auto"/>
              </w:rPr>
              <w:t>211,286</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846,087</w:t>
            </w:r>
          </w:p>
        </w:tc>
        <w:tc>
          <w:tcPr>
            <w:tcW w:w="80" w:type="dxa"/>
            <w:vAlign w:val="bottom"/>
          </w:tcPr>
          <w:p>
            <w:pPr>
              <w:spacing w:after="0"/>
              <w:rPr>
                <w:sz w:val="16"/>
                <w:szCs w:val="16"/>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800,392</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2"/>
        </w:trPr>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Workplace Safety</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79,703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77,926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327,764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312,924</w:t>
            </w:r>
          </w:p>
        </w:tc>
      </w:tr>
      <w:tr>
        <w:trPr>
          <w:trHeight w:val="175"/>
        </w:trPr>
        <w:tc>
          <w:tcPr>
            <w:tcW w:w="3500" w:type="dxa"/>
            <w:vAlign w:val="bottom"/>
          </w:tcPr>
          <w:p>
            <w:pPr>
              <w:ind w:left="3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297,499</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rPr>
              <w:t>289,212</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1,173,851</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1,113,316</w:t>
            </w:r>
          </w:p>
        </w:tc>
      </w:tr>
      <w:tr>
        <w:trPr>
          <w:trHeight w:val="67"/>
        </w:trPr>
        <w:tc>
          <w:tcPr>
            <w:tcW w:w="35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06"/>
        </w:trPr>
        <w:tc>
          <w:tcPr>
            <w:tcW w:w="3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SALES INFORMATION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i w:val="1"/>
                <w:iCs w:val="1"/>
                <w:color w:val="auto"/>
                <w:shd w:val="clear" w:color="auto" w:fill="CCEEFF"/>
              </w:rPr>
              <w:t>ID Solutions</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Organic</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shd w:val="clear" w:color="auto" w:fill="CCEEFF"/>
              </w:rPr>
              <w:t>Currency</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34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CCEEFF"/>
            </w:tcBorders>
            <w:shd w:val="clear" w:color="auto" w:fill="CCEEFF"/>
          </w:tcPr>
          <w:p>
            <w:pPr>
              <w:spacing w:after="0"/>
              <w:rPr>
                <w:sz w:val="15"/>
                <w:szCs w:val="15"/>
                <w:color w:val="auto"/>
              </w:rPr>
            </w:pPr>
          </w:p>
        </w:tc>
        <w:tc>
          <w:tcPr>
            <w:tcW w:w="34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3"/>
                <w:szCs w:val="13"/>
                <w:b w:val="1"/>
                <w:bCs w:val="1"/>
                <w:i w:val="1"/>
                <w:iCs w:val="1"/>
                <w:color w:val="auto"/>
              </w:rPr>
              <w:t>Workplace Safety</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Organic</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Currency</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Divestitures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tcPr>
          <w:p>
            <w:pPr>
              <w:ind w:left="480"/>
              <w:spacing w:after="0"/>
              <w:rPr>
                <w:sz w:val="20"/>
                <w:szCs w:val="20"/>
                <w:color w:val="auto"/>
              </w:rPr>
            </w:pPr>
            <w:r>
              <w:rPr>
                <w:rFonts w:ascii="Arial" w:cs="Arial" w:eastAsia="Arial" w:hAnsi="Arial"/>
                <w:sz w:val="13"/>
                <w:szCs w:val="13"/>
                <w:color w:val="auto"/>
              </w:rPr>
              <w:t>— %</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i w:val="1"/>
                <w:iCs w:val="1"/>
                <w:color w:val="auto"/>
              </w:rPr>
              <w:t>Total Company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Organic</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Currency</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Divestitures</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3"/>
                <w:szCs w:val="13"/>
                <w:color w:val="auto"/>
              </w:rPr>
              <w:t>— %</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34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3"/>
                <w:szCs w:val="13"/>
                <w:b w:val="1"/>
                <w:bCs w:val="1"/>
                <w:color w:val="auto"/>
              </w:rPr>
              <w:t>SEGMENT PROFIT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ID Solutions</w:t>
            </w:r>
          </w:p>
        </w:tc>
        <w:tc>
          <w:tcPr>
            <w:tcW w:w="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36,515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35,896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143,411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130,572</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Workplace Safety</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10,675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7,939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31,712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25,554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47,190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43,835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175,123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156,126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SEGMENT PROFIT AS A PERCENT OF SALES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ID Solutions</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16.3 %</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Workplace Safety</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13.4 %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8"/>
          </w:tcPr>
          <w:p>
            <w:pPr>
              <w:ind w:left="120"/>
              <w:spacing w:after="0"/>
              <w:rPr>
                <w:sz w:val="20"/>
                <w:szCs w:val="20"/>
                <w:color w:val="auto"/>
              </w:rPr>
            </w:pPr>
            <w:r>
              <w:rPr>
                <w:rFonts w:ascii="Arial" w:cs="Arial" w:eastAsia="Arial" w:hAnsi="Arial"/>
                <w:sz w:val="13"/>
                <w:szCs w:val="13"/>
                <w:color w:val="auto"/>
              </w:rPr>
              <w:t>Three months ended July 31,</w:t>
            </w:r>
          </w:p>
        </w:tc>
        <w:tc>
          <w:tcPr>
            <w:tcW w:w="260" w:type="dxa"/>
            <w:vAlign w:val="bottom"/>
          </w:tcPr>
          <w:p>
            <w:pPr>
              <w:spacing w:after="0"/>
              <w:rPr>
                <w:sz w:val="24"/>
                <w:szCs w:val="24"/>
                <w:color w:val="auto"/>
              </w:rPr>
            </w:pPr>
          </w:p>
        </w:tc>
        <w:tc>
          <w:tcPr>
            <w:tcW w:w="1940" w:type="dxa"/>
            <w:vAlign w:val="bottom"/>
            <w:gridSpan w:val="5"/>
          </w:tcPr>
          <w:p>
            <w:pPr>
              <w:jc w:val="right"/>
              <w:ind w:right="493"/>
              <w:spacing w:after="0"/>
              <w:rPr>
                <w:sz w:val="20"/>
                <w:szCs w:val="20"/>
                <w:color w:val="auto"/>
              </w:rPr>
            </w:pPr>
            <w:r>
              <w:rPr>
                <w:rFonts w:ascii="Arial" w:cs="Arial" w:eastAsia="Arial" w:hAnsi="Arial"/>
                <w:sz w:val="13"/>
                <w:szCs w:val="13"/>
                <w:color w:val="auto"/>
              </w:rPr>
              <w:t>Year ended July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Arial" w:cs="Arial" w:eastAsia="Arial" w:hAnsi="Arial"/>
                <w:sz w:val="13"/>
                <w:szCs w:val="13"/>
                <w:color w:val="auto"/>
              </w:rPr>
              <w:t>2017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33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segment profit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47,190</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43,835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175,123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156,126</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Unallocated amounts: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Administrative costs</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(7,076)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(27,093)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(25,111)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Gain on sale of business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4,666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Investment and other income</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(715)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(3,168)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Earnings before income taxes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45,249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35,917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152,015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126,632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39"/>
          </w:cols>
          <w:pgMar w:left="220" w:top="506"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auto"/>
        </w:rPr>
        <w:t>EXHIBIT 99.2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 More Information Contact: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 Ann Thornton (414) 438-6887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Kate Venne (414) 358-5176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Brady Corporation increases its dividend to shareholders for the 33rd consecutive year</w:t>
      </w:r>
    </w:p>
    <w:p>
      <w:pPr>
        <w:spacing w:after="0" w:line="231" w:lineRule="exact"/>
        <w:rPr>
          <w:sz w:val="20"/>
          <w:szCs w:val="20"/>
          <w:color w:val="auto"/>
        </w:rPr>
      </w:pPr>
    </w:p>
    <w:p>
      <w:pPr>
        <w:ind w:right="40"/>
        <w:spacing w:after="0" w:line="340" w:lineRule="auto"/>
        <w:rPr>
          <w:sz w:val="20"/>
          <w:szCs w:val="20"/>
          <w:color w:val="auto"/>
        </w:rPr>
      </w:pPr>
      <w:r>
        <w:rPr>
          <w:rFonts w:ascii="Arial" w:cs="Arial" w:eastAsia="Arial" w:hAnsi="Arial"/>
          <w:sz w:val="16"/>
          <w:szCs w:val="16"/>
          <w:color w:val="auto"/>
        </w:rPr>
        <w:t>MILWAUKEE (September 12, 2018) - On September 12, 2018, Brady Corporation’s (NYSE: BRC) Board of Directors announced an increase in its annual dividend to shareholders of the Company’s Class A Common stock from $0.83 per share to $0.85 per share. A quarterly dividend to shareholders of the company's Class A Common Stock of $0.2125 per share will be paid on October 31, 2018, to shareholders of record at the close of business on October 10, 2018. This dividend represents the 33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consecutive annual increase in dividends.</w:t>
      </w:r>
    </w:p>
    <w:p>
      <w:pPr>
        <w:spacing w:after="0" w:line="2" w:lineRule="exact"/>
        <w:rPr>
          <w:sz w:val="20"/>
          <w:szCs w:val="20"/>
          <w:color w:val="auto"/>
        </w:rPr>
      </w:pPr>
    </w:p>
    <w:p>
      <w:pPr>
        <w:ind w:right="120" w:firstLine="533"/>
        <w:spacing w:after="0" w:line="367"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2017, employed approximately 6,300 people in its worldwide businesses. Brady’s fiscal 2017 sales were approximately $1.11 billion. Brady stock trades on the New York Stock Exchange under the symbol BRC. More information is available on the Internet at </w:t>
      </w:r>
      <w:r>
        <w:rPr>
          <w:rFonts w:ascii="Arial" w:cs="Arial" w:eastAsia="Arial" w:hAnsi="Arial"/>
          <w:sz w:val="16"/>
          <w:szCs w:val="16"/>
          <w:u w:val="single" w:color="auto"/>
          <w:color w:val="0000FF"/>
        </w:rPr>
        <w:t>www.bradycorp.com.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60"/>
          </w:cols>
          <w:pgMar w:left="220" w:top="498" w:right="21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554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54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5554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35"/>
    </w:lvl>
  </w:abstractNum>
  <w:abstractNum w:abstractNumId="3">
    <w:nsid w:val="625558EC"/>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2019-12-28T19:20:18Z</dcterms:created>
  <dcterms:modified xsi:type="dcterms:W3CDTF">2019-12-28T19:20:18Z</dcterms:modified>
</cp:coreProperties>
</file>