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2772410</wp:posOffset>
            </wp:positionH>
            <wp:positionV relativeFrom="paragraph">
              <wp:posOffset>38735</wp:posOffset>
            </wp:positionV>
            <wp:extent cx="1594485"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94485" cy="5715"/>
                    </a:xfrm>
                    <a:prstGeom prst="rect">
                      <a:avLst/>
                    </a:prstGeom>
                    <a:noFill/>
                  </pic:spPr>
                </pic:pic>
              </a:graphicData>
            </a:graphic>
          </wp:anchor>
        </w:drawing>
      </w:r>
    </w:p>
    <w:p>
      <w:pPr>
        <w:spacing w:after="0" w:line="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2772410</wp:posOffset>
            </wp:positionH>
            <wp:positionV relativeFrom="paragraph">
              <wp:posOffset>53340</wp:posOffset>
            </wp:positionV>
            <wp:extent cx="1594485"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94485" cy="5715"/>
                    </a:xfrm>
                    <a:prstGeom prst="rect">
                      <a:avLst/>
                    </a:prstGeom>
                    <a:noFill/>
                  </pic:spPr>
                </pic:pic>
              </a:graphicData>
            </a:graphic>
          </wp:anchor>
        </w:drawing>
      </w:r>
    </w:p>
    <w:p>
      <w:pPr>
        <w:spacing w:after="0" w:line="1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CURRENT REPORT</w:t>
      </w:r>
    </w:p>
    <w:p>
      <w:pPr>
        <w:spacing w:after="0" w:line="1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Pursuant to Section 13 or 15(d) of The Securities Exchange Act of 1934</w:t>
      </w:r>
    </w:p>
    <w:p>
      <w:pPr>
        <w:spacing w:after="0" w:line="1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Date of Report (Date of earliest event reported): May 18,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2772410</wp:posOffset>
            </wp:positionH>
            <wp:positionV relativeFrom="paragraph">
              <wp:posOffset>47625</wp:posOffset>
            </wp:positionV>
            <wp:extent cx="1594485"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94485" cy="5715"/>
                    </a:xfrm>
                    <a:prstGeom prst="rect">
                      <a:avLst/>
                    </a:prstGeom>
                    <a:noFill/>
                  </pic:spPr>
                </pic:pic>
              </a:graphicData>
            </a:graphic>
          </wp:anchor>
        </w:drawing>
      </w:r>
    </w:p>
    <w:p>
      <w:pPr>
        <w:spacing w:after="0" w:line="166" w:lineRule="exact"/>
        <w:rPr>
          <w:sz w:val="24"/>
          <w:szCs w:val="24"/>
          <w:color w:val="auto"/>
        </w:rPr>
      </w:pPr>
    </w:p>
    <w:tbl>
      <w:tblPr>
        <w:tblLayout w:type="fixed"/>
        <w:tblInd w:w="1620" w:type="dxa"/>
        <w:tblCellMar>
          <w:top w:w="0" w:type="dxa"/>
          <w:left w:w="0" w:type="dxa"/>
          <w:bottom w:w="0" w:type="dxa"/>
          <w:right w:w="0" w:type="dxa"/>
        </w:tblCellMar>
      </w:tblPr>
      <w:tr>
        <w:trPr>
          <w:trHeight w:val="352"/>
        </w:trPr>
        <w:tc>
          <w:tcPr>
            <w:tcW w:w="2340" w:type="dxa"/>
            <w:vAlign w:val="bottom"/>
          </w:tcPr>
          <w:p>
            <w:pPr>
              <w:spacing w:after="0"/>
              <w:rPr>
                <w:sz w:val="24"/>
                <w:szCs w:val="24"/>
                <w:color w:val="auto"/>
              </w:rPr>
            </w:pPr>
          </w:p>
        </w:tc>
        <w:tc>
          <w:tcPr>
            <w:tcW w:w="5280" w:type="dxa"/>
            <w:vAlign w:val="bottom"/>
            <w:gridSpan w:val="3"/>
          </w:tcPr>
          <w:p>
            <w:pPr>
              <w:jc w:val="center"/>
              <w:ind w:right="1852"/>
              <w:spacing w:after="0"/>
              <w:rPr>
                <w:sz w:val="20"/>
                <w:szCs w:val="20"/>
                <w:color w:val="auto"/>
              </w:rPr>
            </w:pPr>
            <w:r>
              <w:rPr>
                <w:rFonts w:ascii="Times New Roman" w:cs="Times New Roman" w:eastAsia="Times New Roman" w:hAnsi="Times New Roman"/>
                <w:sz w:val="29"/>
                <w:szCs w:val="29"/>
                <w:b w:val="1"/>
                <w:bCs w:val="1"/>
                <w:color w:val="auto"/>
                <w:w w:val="98"/>
              </w:rPr>
              <w:t>BRADY CORPORATION</w:t>
            </w:r>
          </w:p>
        </w:tc>
      </w:tr>
      <w:tr>
        <w:trPr>
          <w:trHeight w:val="123"/>
        </w:trPr>
        <w:tc>
          <w:tcPr>
            <w:tcW w:w="2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880" w:type="dxa"/>
            <w:vAlign w:val="bottom"/>
            <w:gridSpan w:val="2"/>
          </w:tcPr>
          <w:p>
            <w:pPr>
              <w:jc w:val="center"/>
              <w:ind w:right="2252"/>
              <w:spacing w:after="0"/>
              <w:rPr>
                <w:sz w:val="20"/>
                <w:szCs w:val="20"/>
                <w:color w:val="auto"/>
              </w:rPr>
            </w:pPr>
            <w:r>
              <w:rPr>
                <w:rFonts w:ascii="Times New Roman" w:cs="Times New Roman" w:eastAsia="Times New Roman" w:hAnsi="Times New Roman"/>
                <w:sz w:val="10"/>
                <w:szCs w:val="10"/>
                <w:color w:val="auto"/>
                <w:w w:val="95"/>
              </w:rPr>
              <w:t>(Exact name of registrant as specified in its charter)</w:t>
            </w:r>
          </w:p>
        </w:tc>
      </w:tr>
      <w:tr>
        <w:trPr>
          <w:trHeight w:val="62"/>
        </w:trPr>
        <w:tc>
          <w:tcPr>
            <w:tcW w:w="2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2520" w:type="dxa"/>
            <w:vAlign w:val="bottom"/>
            <w:tcBorders>
              <w:bottom w:val="single" w:sz="8" w:color="auto"/>
            </w:tcBorders>
          </w:tcPr>
          <w:p>
            <w:pPr>
              <w:spacing w:after="0"/>
              <w:rPr>
                <w:sz w:val="5"/>
                <w:szCs w:val="5"/>
                <w:color w:val="auto"/>
              </w:rPr>
            </w:pPr>
          </w:p>
        </w:tc>
        <w:tc>
          <w:tcPr>
            <w:tcW w:w="2360" w:type="dxa"/>
            <w:vAlign w:val="bottom"/>
          </w:tcPr>
          <w:p>
            <w:pPr>
              <w:spacing w:after="0"/>
              <w:rPr>
                <w:sz w:val="5"/>
                <w:szCs w:val="5"/>
                <w:color w:val="auto"/>
              </w:rPr>
            </w:pPr>
          </w:p>
        </w:tc>
      </w:tr>
      <w:tr>
        <w:trPr>
          <w:trHeight w:val="286"/>
        </w:trPr>
        <w:tc>
          <w:tcPr>
            <w:tcW w:w="2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80" w:type="dxa"/>
            <w:vAlign w:val="bottom"/>
            <w:gridSpan w:val="2"/>
          </w:tcPr>
          <w:p>
            <w:pPr>
              <w:jc w:val="center"/>
              <w:ind w:right="2252"/>
              <w:spacing w:after="0"/>
              <w:rPr>
                <w:sz w:val="20"/>
                <w:szCs w:val="20"/>
                <w:color w:val="auto"/>
              </w:rPr>
            </w:pPr>
            <w:r>
              <w:rPr>
                <w:rFonts w:ascii="Times New Roman" w:cs="Times New Roman" w:eastAsia="Times New Roman" w:hAnsi="Times New Roman"/>
                <w:sz w:val="12"/>
                <w:szCs w:val="12"/>
                <w:b w:val="1"/>
                <w:bCs w:val="1"/>
                <w:color w:val="auto"/>
                <w:w w:val="99"/>
              </w:rPr>
              <w:t>Commission File Number 1-14959</w:t>
            </w:r>
          </w:p>
        </w:tc>
      </w:tr>
      <w:tr>
        <w:trPr>
          <w:trHeight w:val="265"/>
        </w:trPr>
        <w:tc>
          <w:tcPr>
            <w:tcW w:w="2340" w:type="dxa"/>
            <w:vAlign w:val="bottom"/>
          </w:tcPr>
          <w:p>
            <w:pPr>
              <w:jc w:val="center"/>
              <w:ind w:right="6"/>
              <w:spacing w:after="0"/>
              <w:rPr>
                <w:sz w:val="20"/>
                <w:szCs w:val="20"/>
                <w:color w:val="auto"/>
              </w:rPr>
            </w:pPr>
            <w:r>
              <w:rPr>
                <w:rFonts w:ascii="Times New Roman" w:cs="Times New Roman" w:eastAsia="Times New Roman" w:hAnsi="Times New Roman"/>
                <w:sz w:val="12"/>
                <w:szCs w:val="12"/>
                <w:b w:val="1"/>
                <w:bCs w:val="1"/>
                <w:color w:val="auto"/>
                <w:w w:val="98"/>
              </w:rPr>
              <w:t>Wisconsin</w:t>
            </w:r>
          </w:p>
        </w:tc>
        <w:tc>
          <w:tcPr>
            <w:tcW w:w="5280" w:type="dxa"/>
            <w:vAlign w:val="bottom"/>
            <w:gridSpan w:val="3"/>
          </w:tcPr>
          <w:p>
            <w:pPr>
              <w:jc w:val="right"/>
              <w:ind w:right="332"/>
              <w:spacing w:after="0"/>
              <w:rPr>
                <w:sz w:val="20"/>
                <w:szCs w:val="20"/>
                <w:color w:val="auto"/>
              </w:rPr>
            </w:pPr>
            <w:r>
              <w:rPr>
                <w:rFonts w:ascii="Times New Roman" w:cs="Times New Roman" w:eastAsia="Times New Roman" w:hAnsi="Times New Roman"/>
                <w:sz w:val="12"/>
                <w:szCs w:val="12"/>
                <w:b w:val="1"/>
                <w:bCs w:val="1"/>
                <w:color w:val="auto"/>
              </w:rPr>
              <w:t>39-0178960</w:t>
            </w:r>
          </w:p>
        </w:tc>
      </w:tr>
      <w:tr>
        <w:trPr>
          <w:trHeight w:val="123"/>
        </w:trPr>
        <w:tc>
          <w:tcPr>
            <w:tcW w:w="2340" w:type="dxa"/>
            <w:vAlign w:val="bottom"/>
          </w:tcPr>
          <w:p>
            <w:pPr>
              <w:jc w:val="center"/>
              <w:ind w:right="6"/>
              <w:spacing w:after="0"/>
              <w:rPr>
                <w:sz w:val="20"/>
                <w:szCs w:val="20"/>
                <w:color w:val="auto"/>
              </w:rPr>
            </w:pPr>
            <w:r>
              <w:rPr>
                <w:rFonts w:ascii="Times New Roman" w:cs="Times New Roman" w:eastAsia="Times New Roman" w:hAnsi="Times New Roman"/>
                <w:sz w:val="10"/>
                <w:szCs w:val="10"/>
                <w:color w:val="auto"/>
                <w:w w:val="95"/>
              </w:rPr>
              <w:t>(State or other jurisdiction of incorporation or organization)</w:t>
            </w:r>
          </w:p>
        </w:tc>
        <w:tc>
          <w:tcPr>
            <w:tcW w:w="40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2360" w:type="dxa"/>
            <w:vAlign w:val="bottom"/>
          </w:tcPr>
          <w:p>
            <w:pPr>
              <w:jc w:val="center"/>
              <w:ind w:left="992"/>
              <w:spacing w:after="0"/>
              <w:rPr>
                <w:sz w:val="20"/>
                <w:szCs w:val="20"/>
                <w:color w:val="auto"/>
              </w:rPr>
            </w:pPr>
            <w:r>
              <w:rPr>
                <w:rFonts w:ascii="Times New Roman" w:cs="Times New Roman" w:eastAsia="Times New Roman" w:hAnsi="Times New Roman"/>
                <w:sz w:val="10"/>
                <w:szCs w:val="10"/>
                <w:color w:val="auto"/>
                <w:w w:val="95"/>
              </w:rPr>
              <w:t>(IRS Employer Identification No.)</w:t>
            </w:r>
          </w:p>
        </w:tc>
      </w:tr>
      <w:tr>
        <w:trPr>
          <w:trHeight w:val="272"/>
        </w:trPr>
        <w:tc>
          <w:tcPr>
            <w:tcW w:w="23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880" w:type="dxa"/>
            <w:vAlign w:val="bottom"/>
            <w:gridSpan w:val="2"/>
          </w:tcPr>
          <w:p>
            <w:pPr>
              <w:jc w:val="center"/>
              <w:ind w:right="2272"/>
              <w:spacing w:after="0"/>
              <w:rPr>
                <w:sz w:val="20"/>
                <w:szCs w:val="20"/>
                <w:color w:val="auto"/>
              </w:rPr>
            </w:pPr>
            <w:r>
              <w:rPr>
                <w:rFonts w:ascii="Times New Roman" w:cs="Times New Roman" w:eastAsia="Times New Roman" w:hAnsi="Times New Roman"/>
                <w:sz w:val="12"/>
                <w:szCs w:val="12"/>
                <w:b w:val="1"/>
                <w:bCs w:val="1"/>
                <w:color w:val="auto"/>
                <w:w w:val="99"/>
              </w:rPr>
              <w:t>6555 West Good Hope Road</w:t>
            </w:r>
          </w:p>
        </w:tc>
      </w:tr>
      <w:tr>
        <w:trPr>
          <w:trHeight w:val="144"/>
        </w:trPr>
        <w:tc>
          <w:tcPr>
            <w:tcW w:w="2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880" w:type="dxa"/>
            <w:vAlign w:val="bottom"/>
            <w:gridSpan w:val="2"/>
          </w:tcPr>
          <w:p>
            <w:pPr>
              <w:jc w:val="center"/>
              <w:ind w:right="2272"/>
              <w:spacing w:after="0"/>
              <w:rPr>
                <w:sz w:val="20"/>
                <w:szCs w:val="20"/>
                <w:color w:val="auto"/>
              </w:rPr>
            </w:pPr>
            <w:r>
              <w:rPr>
                <w:rFonts w:ascii="Times New Roman" w:cs="Times New Roman" w:eastAsia="Times New Roman" w:hAnsi="Times New Roman"/>
                <w:sz w:val="12"/>
                <w:szCs w:val="12"/>
                <w:b w:val="1"/>
                <w:bCs w:val="1"/>
                <w:color w:val="auto"/>
                <w:w w:val="99"/>
              </w:rPr>
              <w:t>Milwaukee, Wisconsin 53223</w:t>
            </w:r>
          </w:p>
        </w:tc>
      </w:tr>
      <w:tr>
        <w:trPr>
          <w:trHeight w:val="123"/>
        </w:trPr>
        <w:tc>
          <w:tcPr>
            <w:tcW w:w="2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880" w:type="dxa"/>
            <w:vAlign w:val="bottom"/>
            <w:gridSpan w:val="2"/>
          </w:tcPr>
          <w:p>
            <w:pPr>
              <w:jc w:val="center"/>
              <w:ind w:right="2252"/>
              <w:spacing w:after="0"/>
              <w:rPr>
                <w:sz w:val="20"/>
                <w:szCs w:val="20"/>
                <w:color w:val="auto"/>
              </w:rPr>
            </w:pPr>
            <w:r>
              <w:rPr>
                <w:rFonts w:ascii="Times New Roman" w:cs="Times New Roman" w:eastAsia="Times New Roman" w:hAnsi="Times New Roman"/>
                <w:sz w:val="10"/>
                <w:szCs w:val="10"/>
                <w:color w:val="auto"/>
                <w:w w:val="95"/>
              </w:rPr>
              <w:t>(Address of principal executive offices and Zip Code)</w:t>
            </w:r>
          </w:p>
        </w:tc>
      </w:tr>
      <w:tr>
        <w:trPr>
          <w:trHeight w:val="246"/>
        </w:trPr>
        <w:tc>
          <w:tcPr>
            <w:tcW w:w="2340" w:type="dxa"/>
            <w:vAlign w:val="bottom"/>
          </w:tcPr>
          <w:p>
            <w:pPr>
              <w:spacing w:after="0"/>
              <w:rPr>
                <w:sz w:val="21"/>
                <w:szCs w:val="21"/>
                <w:color w:val="auto"/>
              </w:rPr>
            </w:pPr>
          </w:p>
        </w:tc>
        <w:tc>
          <w:tcPr>
            <w:tcW w:w="2920" w:type="dxa"/>
            <w:vAlign w:val="bottom"/>
            <w:gridSpan w:val="2"/>
          </w:tcPr>
          <w:p>
            <w:pPr>
              <w:jc w:val="center"/>
              <w:ind w:left="352"/>
              <w:spacing w:after="0"/>
              <w:rPr>
                <w:sz w:val="20"/>
                <w:szCs w:val="20"/>
                <w:color w:val="auto"/>
              </w:rPr>
            </w:pPr>
            <w:r>
              <w:rPr>
                <w:rFonts w:ascii="Times New Roman" w:cs="Times New Roman" w:eastAsia="Times New Roman" w:hAnsi="Times New Roman"/>
                <w:sz w:val="12"/>
                <w:szCs w:val="12"/>
                <w:b w:val="1"/>
                <w:bCs w:val="1"/>
                <w:color w:val="auto"/>
              </w:rPr>
              <w:t>(414) 358-6600</w:t>
            </w:r>
          </w:p>
        </w:tc>
        <w:tc>
          <w:tcPr>
            <w:tcW w:w="2360" w:type="dxa"/>
            <w:vAlign w:val="bottom"/>
          </w:tcPr>
          <w:p>
            <w:pPr>
              <w:spacing w:after="0"/>
              <w:rPr>
                <w:sz w:val="21"/>
                <w:szCs w:val="21"/>
                <w:color w:val="auto"/>
              </w:rPr>
            </w:pPr>
          </w:p>
        </w:tc>
      </w:tr>
      <w:tr>
        <w:trPr>
          <w:trHeight w:val="123"/>
        </w:trPr>
        <w:tc>
          <w:tcPr>
            <w:tcW w:w="2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880" w:type="dxa"/>
            <w:vAlign w:val="bottom"/>
            <w:gridSpan w:val="2"/>
          </w:tcPr>
          <w:p>
            <w:pPr>
              <w:jc w:val="center"/>
              <w:ind w:right="2272"/>
              <w:spacing w:after="0"/>
              <w:rPr>
                <w:sz w:val="20"/>
                <w:szCs w:val="20"/>
                <w:color w:val="auto"/>
              </w:rPr>
            </w:pPr>
            <w:r>
              <w:rPr>
                <w:rFonts w:ascii="Times New Roman" w:cs="Times New Roman" w:eastAsia="Times New Roman" w:hAnsi="Times New Roman"/>
                <w:sz w:val="10"/>
                <w:szCs w:val="10"/>
                <w:color w:val="auto"/>
                <w:w w:val="94"/>
              </w:rPr>
              <w:t>(Registrant’s Telephone Number)</w:t>
            </w:r>
          </w:p>
        </w:tc>
      </w:tr>
      <w:tr>
        <w:trPr>
          <w:trHeight w:val="62"/>
        </w:trPr>
        <w:tc>
          <w:tcPr>
            <w:tcW w:w="2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2520" w:type="dxa"/>
            <w:vAlign w:val="bottom"/>
            <w:tcBorders>
              <w:bottom w:val="single" w:sz="8" w:color="auto"/>
            </w:tcBorders>
          </w:tcPr>
          <w:p>
            <w:pPr>
              <w:spacing w:after="0"/>
              <w:rPr>
                <w:sz w:val="5"/>
                <w:szCs w:val="5"/>
                <w:color w:val="auto"/>
              </w:rPr>
            </w:pPr>
          </w:p>
        </w:tc>
        <w:tc>
          <w:tcPr>
            <w:tcW w:w="2360" w:type="dxa"/>
            <w:vAlign w:val="bottom"/>
          </w:tcPr>
          <w:p>
            <w:pPr>
              <w:spacing w:after="0"/>
              <w:rPr>
                <w:sz w:val="5"/>
                <w:szCs w:val="5"/>
                <w:color w:val="auto"/>
              </w:rPr>
            </w:pPr>
          </w:p>
        </w:tc>
      </w:tr>
    </w:tbl>
    <w:p>
      <w:pPr>
        <w:spacing w:after="0" w:line="160"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w:t>
      </w:r>
    </w:p>
    <w:p>
      <w:pPr>
        <w:spacing w:after="0" w:line="141" w:lineRule="exact"/>
        <w:rPr>
          <w:sz w:val="24"/>
          <w:szCs w:val="24"/>
          <w:color w:val="auto"/>
        </w:rPr>
      </w:pPr>
    </w:p>
    <w:p>
      <w:pPr>
        <w:ind w:left="680" w:hanging="676"/>
        <w:spacing w:after="0"/>
        <w:tabs>
          <w:tab w:leader="none" w:pos="68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69" w:lineRule="exact"/>
        <w:rPr>
          <w:rFonts w:ascii="MS PGothic" w:cs="MS PGothic" w:eastAsia="MS PGothic" w:hAnsi="MS PGothic"/>
          <w:sz w:val="14"/>
          <w:szCs w:val="14"/>
          <w:color w:val="auto"/>
        </w:rPr>
      </w:pPr>
    </w:p>
    <w:p>
      <w:pPr>
        <w:ind w:left="680" w:hanging="676"/>
        <w:spacing w:after="0"/>
        <w:tabs>
          <w:tab w:leader="none" w:pos="68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2"/>
          <w:szCs w:val="12"/>
          <w:color w:val="auto"/>
        </w:rPr>
        <w:t>Soliciting material pursuant to Rule 14a-12 under the Exchange Act (17 CFR 240.14a-12)</w:t>
      </w:r>
    </w:p>
    <w:p>
      <w:pPr>
        <w:spacing w:after="0" w:line="69" w:lineRule="exact"/>
        <w:rPr>
          <w:rFonts w:ascii="MS PGothic" w:cs="MS PGothic" w:eastAsia="MS PGothic" w:hAnsi="MS PGothic"/>
          <w:sz w:val="14"/>
          <w:szCs w:val="14"/>
          <w:color w:val="auto"/>
        </w:rPr>
      </w:pPr>
    </w:p>
    <w:p>
      <w:pPr>
        <w:ind w:left="680" w:hanging="676"/>
        <w:spacing w:after="0"/>
        <w:tabs>
          <w:tab w:leader="none" w:pos="68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2"/>
          <w:szCs w:val="12"/>
          <w:color w:val="auto"/>
        </w:rPr>
        <w:t>Pre-commencement communications pursuant to Rule 14d-2(b) under the Exchange Act (17 CFR 240.14d-2(b))</w:t>
      </w:r>
    </w:p>
    <w:p>
      <w:pPr>
        <w:spacing w:after="0" w:line="69" w:lineRule="exact"/>
        <w:rPr>
          <w:rFonts w:ascii="MS PGothic" w:cs="MS PGothic" w:eastAsia="MS PGothic" w:hAnsi="MS PGothic"/>
          <w:sz w:val="14"/>
          <w:szCs w:val="14"/>
          <w:color w:val="auto"/>
        </w:rPr>
      </w:pPr>
    </w:p>
    <w:p>
      <w:pPr>
        <w:ind w:left="680" w:hanging="676"/>
        <w:spacing w:after="0"/>
        <w:tabs>
          <w:tab w:leader="none" w:pos="68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2"/>
          <w:szCs w:val="12"/>
          <w:color w:val="auto"/>
        </w:rPr>
        <w:t>Pre-commencement communications pursuant to Rule 13e-4(c) under the Exchange Act (17 CFR 240.13e-4(c))</w:t>
      </w:r>
    </w:p>
    <w:p>
      <w:pPr>
        <w:spacing w:after="0" w:line="187"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Securities registered pursuant to Section 12(b) of the Act:</w:t>
      </w:r>
    </w:p>
    <w:p>
      <w:pPr>
        <w:spacing w:after="0" w:line="123" w:lineRule="exact"/>
        <w:rPr>
          <w:sz w:val="24"/>
          <w:szCs w:val="24"/>
          <w:color w:val="auto"/>
        </w:rPr>
      </w:pPr>
    </w:p>
    <w:tbl>
      <w:tblPr>
        <w:tblLayout w:type="fixed"/>
        <w:tblInd w:w="10" w:type="dxa"/>
        <w:tblCellMar>
          <w:top w:w="0" w:type="dxa"/>
          <w:left w:w="0" w:type="dxa"/>
          <w:bottom w:w="0" w:type="dxa"/>
          <w:right w:w="0" w:type="dxa"/>
        </w:tblCellMar>
      </w:tblPr>
      <w:tr>
        <w:trPr>
          <w:trHeight w:val="162"/>
        </w:trPr>
        <w:tc>
          <w:tcPr>
            <w:tcW w:w="61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Title of each class</w:t>
            </w:r>
          </w:p>
        </w:tc>
        <w:tc>
          <w:tcPr>
            <w:tcW w:w="16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Trading Symbol</w:t>
            </w:r>
          </w:p>
        </w:tc>
        <w:tc>
          <w:tcPr>
            <w:tcW w:w="35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Name of each exchange on which registered</w:t>
            </w:r>
          </w:p>
        </w:tc>
      </w:tr>
      <w:tr>
        <w:trPr>
          <w:trHeight w:val="142"/>
        </w:trPr>
        <w:tc>
          <w:tcPr>
            <w:tcW w:w="61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Class A Nonvoting Common Stock, par value $0.01 per share</w:t>
            </w:r>
          </w:p>
        </w:tc>
        <w:tc>
          <w:tcPr>
            <w:tcW w:w="1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BRC</w:t>
            </w:r>
          </w:p>
        </w:tc>
        <w:tc>
          <w:tcPr>
            <w:tcW w:w="3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New York Stock Exchange</w:t>
            </w:r>
          </w:p>
        </w:tc>
      </w:tr>
    </w:tbl>
    <w:p>
      <w:pPr>
        <w:spacing w:after="0" w:line="160" w:lineRule="exact"/>
        <w:rPr>
          <w:sz w:val="24"/>
          <w:szCs w:val="24"/>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45"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2"/>
          <w:szCs w:val="12"/>
          <w:color w:val="auto"/>
        </w:rPr>
        <w:t xml:space="preserve">Emerging growth company </w:t>
      </w:r>
      <w:r>
        <w:rPr>
          <w:rFonts w:ascii="MS PGothic" w:cs="MS PGothic" w:eastAsia="MS PGothic" w:hAnsi="MS PGothic"/>
          <w:sz w:val="14"/>
          <w:szCs w:val="14"/>
          <w:color w:val="auto"/>
        </w:rPr>
        <w:t>☐</w:t>
      </w:r>
    </w:p>
    <w:p>
      <w:pPr>
        <w:spacing w:after="0" w:line="148" w:lineRule="exact"/>
        <w:rPr>
          <w:sz w:val="24"/>
          <w:szCs w:val="24"/>
          <w:color w:val="auto"/>
        </w:rPr>
      </w:pPr>
    </w:p>
    <w:p>
      <w:pPr>
        <w:jc w:val="both"/>
        <w:ind w:right="20"/>
        <w:spacing w:after="0" w:line="178"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340360</wp:posOffset>
            </wp:positionV>
            <wp:extent cx="7203440" cy="368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38" w:right="299" w:bottom="1440" w:gutter="0" w:footer="0" w:header="0"/>
        </w:sectPr>
      </w:pPr>
    </w:p>
    <w:bookmarkStart w:id="1" w:name="page2"/>
    <w:bookmarkEnd w:id="1"/>
    <w:p>
      <w:pPr>
        <w:spacing w:after="0"/>
        <w:tabs>
          <w:tab w:leader="none" w:pos="1380" w:val="left"/>
        </w:tabs>
        <w:rPr>
          <w:sz w:val="20"/>
          <w:szCs w:val="20"/>
          <w:color w:val="auto"/>
        </w:rPr>
      </w:pPr>
      <w:r>
        <w:rPr>
          <w:rFonts w:ascii="Times New Roman" w:cs="Times New Roman" w:eastAsia="Times New Roman" w:hAnsi="Times New Roman"/>
          <w:sz w:val="12"/>
          <w:szCs w:val="12"/>
          <w:color w:val="auto"/>
        </w:rPr>
        <w:t>Item 2.02</w:t>
      </w:r>
      <w:r>
        <w:rPr>
          <w:sz w:val="20"/>
          <w:szCs w:val="20"/>
          <w:color w:val="auto"/>
        </w:rPr>
        <w:tab/>
      </w:r>
      <w:r>
        <w:rPr>
          <w:rFonts w:ascii="Times New Roman" w:cs="Times New Roman" w:eastAsia="Times New Roman" w:hAnsi="Times New Roman"/>
          <w:sz w:val="11"/>
          <w:szCs w:val="11"/>
          <w:color w:val="auto"/>
        </w:rPr>
        <w:t>RESULTS OF OPERATIONS AND FINANCIAL CONDITION</w:t>
      </w:r>
    </w:p>
    <w:p>
      <w:pPr>
        <w:spacing w:after="0" w:line="231" w:lineRule="exact"/>
        <w:rPr>
          <w:sz w:val="20"/>
          <w:szCs w:val="20"/>
          <w:color w:val="auto"/>
        </w:rPr>
      </w:pPr>
    </w:p>
    <w:p>
      <w:pPr>
        <w:ind w:firstLine="216"/>
        <w:spacing w:after="0" w:line="279" w:lineRule="auto"/>
        <w:rPr>
          <w:sz w:val="20"/>
          <w:szCs w:val="20"/>
          <w:color w:val="auto"/>
        </w:rPr>
      </w:pPr>
      <w:r>
        <w:rPr>
          <w:rFonts w:ascii="Times New Roman" w:cs="Times New Roman" w:eastAsia="Times New Roman" w:hAnsi="Times New Roman"/>
          <w:sz w:val="12"/>
          <w:szCs w:val="12"/>
          <w:color w:val="auto"/>
        </w:rPr>
        <w:t>On May 18, 2026, Brady Corporation (the “Company”) issued a press release announcing its fiscal 2026 third quarter financial results. A copy of the press release is being furnished to the Securities and Exchange Commission as Exhibit 99.1 attached hereto and is incorporated herein by reference.</w:t>
      </w:r>
    </w:p>
    <w:p>
      <w:pPr>
        <w:spacing w:after="0" w:line="264"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12"/>
          <w:szCs w:val="12"/>
          <w:color w:val="auto"/>
        </w:rPr>
        <w:t>Item 7.01</w:t>
      </w:r>
      <w:r>
        <w:rPr>
          <w:sz w:val="20"/>
          <w:szCs w:val="20"/>
          <w:color w:val="auto"/>
        </w:rPr>
        <w:tab/>
      </w:r>
      <w:r>
        <w:rPr>
          <w:rFonts w:ascii="Times New Roman" w:cs="Times New Roman" w:eastAsia="Times New Roman" w:hAnsi="Times New Roman"/>
          <w:sz w:val="11"/>
          <w:szCs w:val="11"/>
          <w:color w:val="auto"/>
        </w:rPr>
        <w:t>REGULATION FD DISCLOSURE</w:t>
      </w:r>
    </w:p>
    <w:p>
      <w:pPr>
        <w:spacing w:after="0" w:line="222" w:lineRule="exact"/>
        <w:rPr>
          <w:sz w:val="20"/>
          <w:szCs w:val="20"/>
          <w:color w:val="auto"/>
        </w:rPr>
      </w:pPr>
    </w:p>
    <w:p>
      <w:pPr>
        <w:ind w:firstLine="216"/>
        <w:spacing w:after="0" w:line="279" w:lineRule="auto"/>
        <w:rPr>
          <w:sz w:val="20"/>
          <w:szCs w:val="20"/>
          <w:color w:val="auto"/>
        </w:rPr>
      </w:pPr>
      <w:r>
        <w:rPr>
          <w:rFonts w:ascii="Times New Roman" w:cs="Times New Roman" w:eastAsia="Times New Roman" w:hAnsi="Times New Roman"/>
          <w:sz w:val="12"/>
          <w:szCs w:val="12"/>
          <w:color w:val="auto"/>
        </w:rPr>
        <w:t>On May 18, 2026, the Company hosted a conference call related to its fiscal 2026 third quarter financial results. A copy of the slides referenced in the conference call, which is also posted on the Company’s website, is being furnished to the Securities and Exchange Commission as Exhibit 99.2 attached hereto and is incorporated herein by reference.</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1400" w:type="dxa"/>
            <w:vAlign w:val="bottom"/>
          </w:tcPr>
          <w:p>
            <w:pPr>
              <w:spacing w:after="0"/>
              <w:rPr>
                <w:sz w:val="20"/>
                <w:szCs w:val="20"/>
                <w:color w:val="auto"/>
              </w:rPr>
            </w:pPr>
            <w:r>
              <w:rPr>
                <w:rFonts w:ascii="Times New Roman" w:cs="Times New Roman" w:eastAsia="Times New Roman" w:hAnsi="Times New Roman"/>
                <w:sz w:val="12"/>
                <w:szCs w:val="12"/>
                <w:color w:val="auto"/>
              </w:rPr>
              <w:t>Item 9.01</w:t>
            </w:r>
          </w:p>
        </w:tc>
        <w:tc>
          <w:tcPr>
            <w:tcW w:w="990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FINANCIAL STATEMENTS AND EXHIBITS</w:t>
            </w:r>
          </w:p>
        </w:tc>
      </w:tr>
      <w:tr>
        <w:trPr>
          <w:trHeight w:val="369"/>
        </w:trPr>
        <w:tc>
          <w:tcPr>
            <w:tcW w:w="1400" w:type="dxa"/>
            <w:vAlign w:val="bottom"/>
          </w:tcPr>
          <w:p>
            <w:pPr>
              <w:spacing w:after="0"/>
              <w:rPr>
                <w:sz w:val="20"/>
                <w:szCs w:val="20"/>
                <w:color w:val="auto"/>
              </w:rPr>
            </w:pPr>
            <w:r>
              <w:rPr>
                <w:rFonts w:ascii="Times New Roman" w:cs="Times New Roman" w:eastAsia="Times New Roman" w:hAnsi="Times New Roman"/>
                <w:sz w:val="12"/>
                <w:szCs w:val="12"/>
                <w:color w:val="auto"/>
              </w:rPr>
              <w:t>(d) Exhibits</w:t>
            </w:r>
          </w:p>
        </w:tc>
        <w:tc>
          <w:tcPr>
            <w:tcW w:w="5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20" w:type="dxa"/>
            <w:vAlign w:val="bottom"/>
          </w:tcPr>
          <w:p>
            <w:pPr>
              <w:spacing w:after="0"/>
              <w:rPr>
                <w:sz w:val="24"/>
                <w:szCs w:val="24"/>
                <w:color w:val="auto"/>
              </w:rPr>
            </w:pPr>
          </w:p>
        </w:tc>
      </w:tr>
      <w:tr>
        <w:trPr>
          <w:trHeight w:val="279"/>
        </w:trPr>
        <w:tc>
          <w:tcPr>
            <w:tcW w:w="1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EXHIBIT NUMBER</w:t>
            </w:r>
          </w:p>
        </w:tc>
        <w:tc>
          <w:tcPr>
            <w:tcW w:w="99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2"/>
                <w:szCs w:val="12"/>
                <w:color w:val="auto"/>
              </w:rPr>
              <w:t>DESCRIPTION</w:t>
            </w:r>
          </w:p>
        </w:tc>
      </w:tr>
      <w:tr>
        <w:trPr>
          <w:trHeight w:val="178"/>
        </w:trPr>
        <w:tc>
          <w:tcPr>
            <w:tcW w:w="1400" w:type="dxa"/>
            <w:vAlign w:val="bottom"/>
          </w:tcPr>
          <w:p>
            <w:pPr>
              <w:spacing w:after="0"/>
              <w:rPr>
                <w:sz w:val="20"/>
                <w:szCs w:val="20"/>
                <w:color w:val="auto"/>
              </w:rPr>
            </w:pPr>
            <w:r>
              <w:rPr>
                <w:rFonts w:ascii="Times New Roman" w:cs="Times New Roman" w:eastAsia="Times New Roman" w:hAnsi="Times New Roman"/>
                <w:sz w:val="12"/>
                <w:szCs w:val="12"/>
                <w:color w:val="auto"/>
              </w:rPr>
              <w:t>99.1</w:t>
            </w:r>
          </w:p>
        </w:tc>
        <w:tc>
          <w:tcPr>
            <w:tcW w:w="53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2"/>
                <w:szCs w:val="12"/>
                <w:color w:val="0000FF"/>
                <w:w w:val="99"/>
              </w:rPr>
              <w:t>Press Release of Brady Corporation, dated May 18, 2026, relating to fiscal 2026 third quarter financial results.</w:t>
            </w:r>
          </w:p>
        </w:tc>
        <w:tc>
          <w:tcPr>
            <w:tcW w:w="4600" w:type="dxa"/>
            <w:vAlign w:val="bottom"/>
            <w:gridSpan w:val="2"/>
          </w:tcPr>
          <w:p>
            <w:pPr>
              <w:spacing w:after="0"/>
              <w:rPr>
                <w:sz w:val="15"/>
                <w:szCs w:val="15"/>
                <w:color w:val="auto"/>
              </w:rPr>
            </w:pPr>
          </w:p>
        </w:tc>
      </w:tr>
      <w:tr>
        <w:trPr>
          <w:trHeight w:val="196"/>
        </w:trPr>
        <w:tc>
          <w:tcPr>
            <w:tcW w:w="1400" w:type="dxa"/>
            <w:vAlign w:val="bottom"/>
          </w:tcPr>
          <w:p>
            <w:pPr>
              <w:spacing w:after="0"/>
              <w:rPr>
                <w:sz w:val="20"/>
                <w:szCs w:val="20"/>
                <w:color w:val="auto"/>
              </w:rPr>
            </w:pPr>
            <w:r>
              <w:rPr>
                <w:rFonts w:ascii="Times New Roman" w:cs="Times New Roman" w:eastAsia="Times New Roman" w:hAnsi="Times New Roman"/>
                <w:sz w:val="12"/>
                <w:szCs w:val="12"/>
                <w:color w:val="auto"/>
              </w:rPr>
              <w:t>99.2</w:t>
            </w:r>
          </w:p>
        </w:tc>
        <w:tc>
          <w:tcPr>
            <w:tcW w:w="60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2"/>
                <w:szCs w:val="12"/>
                <w:color w:val="0000FF"/>
                <w:w w:val="99"/>
              </w:rPr>
              <w:t>Informational slides provided by Brady Corporation, dated May 18, 2026, relating to fiscal 2026 third quarter financial results.</w:t>
            </w:r>
          </w:p>
        </w:tc>
        <w:tc>
          <w:tcPr>
            <w:tcW w:w="3820" w:type="dxa"/>
            <w:vAlign w:val="bottom"/>
          </w:tcPr>
          <w:p>
            <w:pPr>
              <w:spacing w:after="0"/>
              <w:rPr>
                <w:sz w:val="17"/>
                <w:szCs w:val="17"/>
                <w:color w:val="auto"/>
              </w:rPr>
            </w:pPr>
          </w:p>
        </w:tc>
      </w:tr>
      <w:tr>
        <w:trPr>
          <w:trHeight w:val="223"/>
        </w:trPr>
        <w:tc>
          <w:tcPr>
            <w:tcW w:w="1400" w:type="dxa"/>
            <w:vAlign w:val="bottom"/>
          </w:tcPr>
          <w:p>
            <w:pPr>
              <w:spacing w:after="0"/>
              <w:rPr>
                <w:sz w:val="20"/>
                <w:szCs w:val="20"/>
                <w:color w:val="auto"/>
              </w:rPr>
            </w:pPr>
            <w:r>
              <w:rPr>
                <w:rFonts w:ascii="Times New Roman" w:cs="Times New Roman" w:eastAsia="Times New Roman" w:hAnsi="Times New Roman"/>
                <w:sz w:val="12"/>
                <w:szCs w:val="12"/>
                <w:color w:val="auto"/>
              </w:rPr>
              <w:t>104</w:t>
            </w:r>
          </w:p>
        </w:tc>
        <w:tc>
          <w:tcPr>
            <w:tcW w:w="990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Cover Page Interactive Data File (embedded within Inline XBRL document).</w:t>
            </w:r>
          </w:p>
        </w:tc>
      </w:tr>
    </w:tbl>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SIGNATURE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hereunto duly authorized.</w:t>
      </w:r>
    </w:p>
    <w:p>
      <w:pPr>
        <w:spacing w:after="0" w:line="159" w:lineRule="exact"/>
        <w:rPr>
          <w:sz w:val="20"/>
          <w:szCs w:val="20"/>
          <w:color w:val="auto"/>
        </w:rPr>
      </w:pPr>
    </w:p>
    <w:p>
      <w:pPr>
        <w:ind w:left="7500"/>
        <w:spacing w:after="0"/>
        <w:rPr>
          <w:sz w:val="20"/>
          <w:szCs w:val="20"/>
          <w:color w:val="auto"/>
        </w:rPr>
      </w:pPr>
      <w:r>
        <w:rPr>
          <w:rFonts w:ascii="Times New Roman" w:cs="Times New Roman" w:eastAsia="Times New Roman" w:hAnsi="Times New Roman"/>
          <w:sz w:val="12"/>
          <w:szCs w:val="12"/>
          <w:color w:val="auto"/>
        </w:rPr>
        <w:t>BRADY CORPORATION</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Date: May 18, 2026</w:t>
      </w:r>
    </w:p>
    <w:p>
      <w:pPr>
        <w:spacing w:after="0" w:line="195" w:lineRule="exact"/>
        <w:rPr>
          <w:sz w:val="20"/>
          <w:szCs w:val="20"/>
          <w:color w:val="auto"/>
        </w:rPr>
      </w:pPr>
    </w:p>
    <w:p>
      <w:pPr>
        <w:ind w:left="7500"/>
        <w:spacing w:after="0"/>
        <w:rPr>
          <w:sz w:val="20"/>
          <w:szCs w:val="20"/>
          <w:color w:val="auto"/>
        </w:rPr>
      </w:pPr>
      <w:r>
        <w:rPr>
          <w:rFonts w:ascii="Times New Roman" w:cs="Times New Roman" w:eastAsia="Times New Roman" w:hAnsi="Times New Roman"/>
          <w:sz w:val="12"/>
          <w:szCs w:val="12"/>
          <w:color w:val="auto"/>
        </w:rPr>
        <w:t>/s/ ANN E. THORNTON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4749800</wp:posOffset>
            </wp:positionH>
            <wp:positionV relativeFrom="paragraph">
              <wp:posOffset>10795</wp:posOffset>
            </wp:positionV>
            <wp:extent cx="242316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423160" cy="5715"/>
                    </a:xfrm>
                    <a:prstGeom prst="rect">
                      <a:avLst/>
                    </a:prstGeom>
                    <a:noFill/>
                  </pic:spPr>
                </pic:pic>
              </a:graphicData>
            </a:graphic>
          </wp:anchor>
        </w:drawing>
      </w:r>
    </w:p>
    <w:p>
      <w:pPr>
        <w:spacing w:after="0" w:line="4" w:lineRule="exact"/>
        <w:rPr>
          <w:sz w:val="20"/>
          <w:szCs w:val="20"/>
          <w:color w:val="auto"/>
        </w:rPr>
      </w:pPr>
    </w:p>
    <w:p>
      <w:pPr>
        <w:ind w:left="7500"/>
        <w:spacing w:after="0"/>
        <w:rPr>
          <w:sz w:val="20"/>
          <w:szCs w:val="20"/>
          <w:color w:val="auto"/>
        </w:rPr>
      </w:pPr>
      <w:r>
        <w:rPr>
          <w:rFonts w:ascii="Times New Roman" w:cs="Times New Roman" w:eastAsia="Times New Roman" w:hAnsi="Times New Roman"/>
          <w:sz w:val="12"/>
          <w:szCs w:val="12"/>
          <w:color w:val="auto"/>
        </w:rPr>
        <w:t>Ann E. Thornton</w:t>
      </w:r>
    </w:p>
    <w:p>
      <w:pPr>
        <w:spacing w:after="0" w:line="17" w:lineRule="exact"/>
        <w:rPr>
          <w:sz w:val="20"/>
          <w:szCs w:val="20"/>
          <w:color w:val="auto"/>
        </w:rPr>
      </w:pPr>
    </w:p>
    <w:p>
      <w:pPr>
        <w:ind w:left="7500"/>
        <w:spacing w:after="0"/>
        <w:rPr>
          <w:sz w:val="20"/>
          <w:szCs w:val="20"/>
          <w:color w:val="auto"/>
        </w:rPr>
      </w:pPr>
      <w:r>
        <w:rPr>
          <w:rFonts w:ascii="Times New Roman" w:cs="Times New Roman" w:eastAsia="Times New Roman" w:hAnsi="Times New Roman"/>
          <w:sz w:val="12"/>
          <w:szCs w:val="12"/>
          <w:color w:val="auto"/>
        </w:rPr>
        <w:t>Chief Financial Officer, Chief Accounting Officer and Treasurer</w:t>
      </w:r>
    </w:p>
    <w:p>
      <w:pPr>
        <w:sectPr>
          <w:pgSz w:w="11900" w:h="16838" w:orient="portrait"/>
          <w:cols w:equalWidth="0" w:num="1">
            <w:col w:w="11300"/>
          </w:cols>
          <w:pgMar w:left="300" w:top="669" w:right="299" w:bottom="1440" w:gutter="0" w:footer="0" w:header="0"/>
        </w:sectPr>
      </w:pPr>
    </w:p>
    <w:bookmarkStart w:id="2" w:name="page3"/>
    <w:bookmarkEnd w:id="2"/>
    <w:p>
      <w:pPr>
        <w:jc w:val="right"/>
        <w:spacing w:after="0"/>
        <w:rPr>
          <w:sz w:val="20"/>
          <w:szCs w:val="20"/>
          <w:color w:val="auto"/>
        </w:rPr>
      </w:pPr>
      <w:r>
        <w:rPr>
          <w:rFonts w:ascii="Times New Roman" w:cs="Times New Roman" w:eastAsia="Times New Roman" w:hAnsi="Times New Roman"/>
          <w:sz w:val="13"/>
          <w:szCs w:val="13"/>
          <w:b w:val="1"/>
          <w:bCs w:val="1"/>
          <w:u w:val="single" w:color="auto"/>
          <w:color w:val="auto"/>
        </w:rPr>
        <w:t>EXHIBIT 99.1</w:t>
      </w: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auto"/>
        </w:rPr>
        <w:t>For More Information:</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Investor contact: Ann Thornton 414-438-6887</w:t>
      </w:r>
    </w:p>
    <w:p>
      <w:pPr>
        <w:spacing w:after="0"/>
        <w:rPr>
          <w:sz w:val="20"/>
          <w:szCs w:val="20"/>
          <w:color w:val="auto"/>
        </w:rPr>
      </w:pPr>
      <w:r>
        <w:rPr>
          <w:rFonts w:ascii="Times New Roman" w:cs="Times New Roman" w:eastAsia="Times New Roman" w:hAnsi="Times New Roman"/>
          <w:sz w:val="13"/>
          <w:szCs w:val="13"/>
          <w:color w:val="auto"/>
        </w:rPr>
        <w:t>Media contact: Kate Venne 414-358-5176</w:t>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u w:val="single" w:color="auto"/>
          <w:color w:val="auto"/>
        </w:rPr>
        <w:t>Brady Corporation Reports Record Adjusted EPS in its Fiscal 2026 Third Quarter and Raises its Fiscal 2026 Adjusted EPS Guidance</w:t>
      </w:r>
    </w:p>
    <w:p>
      <w:pPr>
        <w:spacing w:after="0" w:line="195" w:lineRule="exact"/>
        <w:rPr>
          <w:sz w:val="20"/>
          <w:szCs w:val="20"/>
          <w:color w:val="auto"/>
        </w:rPr>
      </w:pPr>
    </w:p>
    <w:p>
      <w:pPr>
        <w:ind w:left="420" w:right="340" w:hanging="212"/>
        <w:spacing w:after="0" w:line="310" w:lineRule="auto"/>
        <w:tabs>
          <w:tab w:leader="none" w:pos="416" w:val="left"/>
        </w:tabs>
        <w:numPr>
          <w:ilvl w:val="0"/>
          <w:numId w:val="2"/>
        </w:numPr>
        <w:rPr>
          <w:rFonts w:ascii="Arial" w:cs="Arial" w:eastAsia="Arial" w:hAnsi="Arial"/>
          <w:sz w:val="14"/>
          <w:szCs w:val="14"/>
          <w:color w:val="auto"/>
        </w:rPr>
      </w:pPr>
      <w:r>
        <w:rPr>
          <w:rFonts w:ascii="Times New Roman" w:cs="Times New Roman" w:eastAsia="Times New Roman" w:hAnsi="Times New Roman"/>
          <w:sz w:val="13"/>
          <w:szCs w:val="13"/>
          <w:color w:val="auto"/>
        </w:rPr>
        <w:t>Sales for the quarter increased 13.8 percent compared to the same quarter of the prior year. Organic sales increased 8.2 percent, acquisitions increased sales 2.1 percent and foreign currency translation increased sales 3.5 percent.</w:t>
      </w:r>
    </w:p>
    <w:p>
      <w:pPr>
        <w:spacing w:after="0" w:line="12" w:lineRule="exact"/>
        <w:rPr>
          <w:rFonts w:ascii="Arial" w:cs="Arial" w:eastAsia="Arial" w:hAnsi="Arial"/>
          <w:sz w:val="14"/>
          <w:szCs w:val="14"/>
          <w:color w:val="auto"/>
        </w:rPr>
      </w:pPr>
    </w:p>
    <w:p>
      <w:pPr>
        <w:ind w:left="420" w:right="240" w:hanging="212"/>
        <w:spacing w:after="0" w:line="310" w:lineRule="auto"/>
        <w:tabs>
          <w:tab w:leader="none" w:pos="416" w:val="left"/>
        </w:tabs>
        <w:numPr>
          <w:ilvl w:val="0"/>
          <w:numId w:val="2"/>
        </w:numPr>
        <w:rPr>
          <w:rFonts w:ascii="Arial" w:cs="Arial" w:eastAsia="Arial" w:hAnsi="Arial"/>
          <w:sz w:val="14"/>
          <w:szCs w:val="14"/>
          <w:color w:val="auto"/>
        </w:rPr>
      </w:pPr>
      <w:r>
        <w:rPr>
          <w:rFonts w:ascii="Times New Roman" w:cs="Times New Roman" w:eastAsia="Times New Roman" w:hAnsi="Times New Roman"/>
          <w:sz w:val="13"/>
          <w:szCs w:val="13"/>
          <w:color w:val="auto"/>
        </w:rPr>
        <w:t>Diluted EPS increased 11.0 percent to $1.21 in the third quarter of fiscal 2026 compared to $1.09 in the same quarter of the prior year. Adjusted Diluted EPS* increased 23.0 percent to $1.50 in the third quarter of fiscal 2026 compared to $1.22 in the same quarter of the prior year.</w:t>
      </w:r>
    </w:p>
    <w:p>
      <w:pPr>
        <w:spacing w:after="0" w:line="12" w:lineRule="exact"/>
        <w:rPr>
          <w:rFonts w:ascii="Arial" w:cs="Arial" w:eastAsia="Arial" w:hAnsi="Arial"/>
          <w:sz w:val="14"/>
          <w:szCs w:val="14"/>
          <w:color w:val="auto"/>
        </w:rPr>
      </w:pPr>
    </w:p>
    <w:p>
      <w:pPr>
        <w:ind w:left="420" w:hanging="212"/>
        <w:spacing w:after="0"/>
        <w:tabs>
          <w:tab w:leader="none" w:pos="420" w:val="left"/>
        </w:tabs>
        <w:numPr>
          <w:ilvl w:val="0"/>
          <w:numId w:val="2"/>
        </w:numPr>
        <w:rPr>
          <w:rFonts w:ascii="Arial" w:cs="Arial" w:eastAsia="Arial" w:hAnsi="Arial"/>
          <w:sz w:val="14"/>
          <w:szCs w:val="14"/>
          <w:color w:val="auto"/>
        </w:rPr>
      </w:pPr>
      <w:r>
        <w:rPr>
          <w:rFonts w:ascii="Times New Roman" w:cs="Times New Roman" w:eastAsia="Times New Roman" w:hAnsi="Times New Roman"/>
          <w:sz w:val="13"/>
          <w:szCs w:val="13"/>
          <w:color w:val="auto"/>
        </w:rPr>
        <w:t>Net cash provided by operating activities increased to $78.2 million in the third quarter of fiscal 2026 compared to $59.9 million in the third quarter of last year.</w:t>
      </w:r>
    </w:p>
    <w:p>
      <w:pPr>
        <w:spacing w:after="0" w:line="55" w:lineRule="exact"/>
        <w:rPr>
          <w:rFonts w:ascii="Arial" w:cs="Arial" w:eastAsia="Arial" w:hAnsi="Arial"/>
          <w:sz w:val="14"/>
          <w:szCs w:val="14"/>
          <w:color w:val="auto"/>
        </w:rPr>
      </w:pPr>
    </w:p>
    <w:p>
      <w:pPr>
        <w:ind w:left="420" w:right="340" w:hanging="212"/>
        <w:spacing w:after="0" w:line="310" w:lineRule="auto"/>
        <w:tabs>
          <w:tab w:leader="none" w:pos="416" w:val="left"/>
        </w:tabs>
        <w:numPr>
          <w:ilvl w:val="0"/>
          <w:numId w:val="2"/>
        </w:numPr>
        <w:rPr>
          <w:rFonts w:ascii="Arial" w:cs="Arial" w:eastAsia="Arial" w:hAnsi="Arial"/>
          <w:sz w:val="14"/>
          <w:szCs w:val="14"/>
          <w:color w:val="auto"/>
        </w:rPr>
      </w:pPr>
      <w:r>
        <w:rPr>
          <w:rFonts w:ascii="Times New Roman" w:cs="Times New Roman" w:eastAsia="Times New Roman" w:hAnsi="Times New Roman"/>
          <w:sz w:val="13"/>
          <w:szCs w:val="13"/>
          <w:color w:val="auto"/>
        </w:rPr>
        <w:t>GAAP earnings per diluted Class A Nonvoting Common share guidance for the year ending July 31, 2026 was adjusted from the previous range of $4.62 to $4.82 per share to $4.66 to $4.76 per share. Adjusted Diluted EPS* Guidance was raised for the full year ending July 31, 2026 from the previous range of $4.95 to $5.15 per share to the new range of $5.20 to $5.30 per share.</w:t>
      </w:r>
    </w:p>
    <w:p>
      <w:pPr>
        <w:spacing w:after="0" w:line="12" w:lineRule="exact"/>
        <w:rPr>
          <w:rFonts w:ascii="Arial" w:cs="Arial" w:eastAsia="Arial" w:hAnsi="Arial"/>
          <w:sz w:val="14"/>
          <w:szCs w:val="14"/>
          <w:color w:val="auto"/>
        </w:rPr>
      </w:pPr>
    </w:p>
    <w:p>
      <w:pPr>
        <w:ind w:left="420" w:right="420" w:hanging="212"/>
        <w:spacing w:after="0" w:line="349" w:lineRule="auto"/>
        <w:tabs>
          <w:tab w:leader="none" w:pos="416" w:val="left"/>
        </w:tabs>
        <w:numPr>
          <w:ilvl w:val="0"/>
          <w:numId w:val="2"/>
        </w:numPr>
        <w:rPr>
          <w:rFonts w:ascii="Arial" w:cs="Arial" w:eastAsia="Arial" w:hAnsi="Arial"/>
          <w:sz w:val="14"/>
          <w:szCs w:val="14"/>
          <w:color w:val="auto"/>
        </w:rPr>
      </w:pPr>
      <w:r>
        <w:rPr>
          <w:rFonts w:ascii="Times New Roman" w:cs="Times New Roman" w:eastAsia="Times New Roman" w:hAnsi="Times New Roman"/>
          <w:sz w:val="13"/>
          <w:szCs w:val="13"/>
          <w:color w:val="auto"/>
        </w:rPr>
        <w:t>Entered into a definitive purchase agreement on April 20, 2026, to acquire Honeywell’s Productivity Solutions and Services business, expected to close in the second half of calendar 2026, subject to regulatory approvals and customary closing conditions.</w:t>
      </w:r>
    </w:p>
    <w:p>
      <w:pPr>
        <w:spacing w:after="0" w:line="116" w:lineRule="exact"/>
        <w:rPr>
          <w:sz w:val="20"/>
          <w:szCs w:val="20"/>
          <w:color w:val="auto"/>
        </w:rPr>
      </w:pPr>
    </w:p>
    <w:p>
      <w:pPr>
        <w:ind w:right="300"/>
        <w:spacing w:after="0" w:line="353" w:lineRule="auto"/>
        <w:rPr>
          <w:sz w:val="20"/>
          <w:szCs w:val="20"/>
          <w:color w:val="auto"/>
        </w:rPr>
      </w:pPr>
      <w:r>
        <w:rPr>
          <w:rFonts w:ascii="Times New Roman" w:cs="Times New Roman" w:eastAsia="Times New Roman" w:hAnsi="Times New Roman"/>
          <w:sz w:val="13"/>
          <w:szCs w:val="13"/>
          <w:color w:val="auto"/>
        </w:rPr>
        <w:t>MILWAUKEE (May 18, 2026) -- Brady Corporation (NYSE: BRC) (“Brady” or “Company”), a world leader in identification solutions, today reported its financial results for its fiscal 2026 third quarter ended April 30, 2026.</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Quarter Ended April 30, 2026 Financial Results:</w:t>
      </w:r>
    </w:p>
    <w:p>
      <w:pPr>
        <w:spacing w:after="0" w:line="51" w:lineRule="exact"/>
        <w:rPr>
          <w:sz w:val="20"/>
          <w:szCs w:val="20"/>
          <w:color w:val="auto"/>
        </w:rPr>
      </w:pPr>
    </w:p>
    <w:p>
      <w:pPr>
        <w:jc w:val="both"/>
        <w:ind w:firstLine="432"/>
        <w:spacing w:after="0" w:line="332" w:lineRule="auto"/>
        <w:rPr>
          <w:sz w:val="20"/>
          <w:szCs w:val="20"/>
          <w:color w:val="auto"/>
        </w:rPr>
      </w:pPr>
      <w:r>
        <w:rPr>
          <w:rFonts w:ascii="Times New Roman" w:cs="Times New Roman" w:eastAsia="Times New Roman" w:hAnsi="Times New Roman"/>
          <w:sz w:val="13"/>
          <w:szCs w:val="13"/>
          <w:color w:val="auto"/>
        </w:rPr>
        <w:t>Sales for the quarter ended April 30, 2026 increased 13.8 percent, which consisted of organic sales growth of 8.2 percent, growth of 2.1 percent from acquisitions and an increase of 3.5 percent from foreign currency translation. Sales for the quarter ended April 30, 2026 were $435.2 million compared to $382.6 million in the same quarter last year. By region, sales increased 14.4 percent in the Americas &amp; Asia and sales increased 12.6 percent in Europe &amp; Australia, which consisted of organic sales growth of 10.1 percent in the Americas &amp; Asia and organic sales growth of 4.5 percent in Europe &amp; Australia.</w:t>
      </w:r>
    </w:p>
    <w:p>
      <w:pPr>
        <w:spacing w:after="0" w:line="1" w:lineRule="exact"/>
        <w:rPr>
          <w:sz w:val="20"/>
          <w:szCs w:val="20"/>
          <w:color w:val="auto"/>
        </w:rPr>
      </w:pPr>
    </w:p>
    <w:p>
      <w:pPr>
        <w:jc w:val="both"/>
        <w:ind w:firstLine="432"/>
        <w:spacing w:after="0" w:line="344" w:lineRule="auto"/>
        <w:rPr>
          <w:sz w:val="20"/>
          <w:szCs w:val="20"/>
          <w:color w:val="auto"/>
        </w:rPr>
      </w:pPr>
      <w:r>
        <w:rPr>
          <w:rFonts w:ascii="Times New Roman" w:cs="Times New Roman" w:eastAsia="Times New Roman" w:hAnsi="Times New Roman"/>
          <w:sz w:val="13"/>
          <w:szCs w:val="13"/>
          <w:color w:val="auto"/>
        </w:rPr>
        <w:t>Income before income taxes increased 11.6 percent to $73.4 million in the quarter ended April 30, 2026, compared to $65.7 million in the same quarter last year. Adjusted Income Before Income Taxes* in the quarter ended April 30, 2026, which was adjusted for amortization expense of $5.3 million and acquisition-related costs of $13.5 million, was $92.1 million, an increase of 23.8 percent compared to the third quarter of last year. Adjusted Income Before Income Taxes* in the quarter ended April 30, 2025, which was adjusted for amortization expense and facility closure and other reorganization costs of $8.7 million, was $74.4 million.</w:t>
      </w:r>
    </w:p>
    <w:p>
      <w:pPr>
        <w:sectPr>
          <w:pgSz w:w="11900" w:h="16838" w:orient="portrait"/>
          <w:cols w:equalWidth="0" w:num="1">
            <w:col w:w="11300"/>
          </w:cols>
          <w:pgMar w:left="300" w:top="636" w:right="299" w:bottom="1440" w:gutter="0" w:footer="0" w:header="0"/>
        </w:sectPr>
      </w:pPr>
    </w:p>
    <w:bookmarkStart w:id="3" w:name="page4"/>
    <w:bookmarkEnd w:id="3"/>
    <w:p>
      <w:pPr>
        <w:jc w:val="both"/>
        <w:ind w:right="20" w:firstLine="432"/>
        <w:spacing w:after="0" w:line="357" w:lineRule="auto"/>
        <w:rPr>
          <w:sz w:val="20"/>
          <w:szCs w:val="20"/>
          <w:color w:val="auto"/>
        </w:rPr>
      </w:pPr>
      <w:r>
        <w:rPr>
          <w:rFonts w:ascii="Times New Roman" w:cs="Times New Roman" w:eastAsia="Times New Roman" w:hAnsi="Times New Roman"/>
          <w:sz w:val="13"/>
          <w:szCs w:val="13"/>
          <w:color w:val="auto"/>
        </w:rPr>
        <w:t>Net income for the quarter ended April 30, 2026 was $57.8 million compared to $52.3 million in the same quarter last year. Adjusted Net Income* in the quarter ended April 30, 2026 was $71.9 million compared to $58.8 million in the same quarter last year. Earnings per diluted Class A Nonvoting Common Share was $1.21 compared to $1.09 in the same quarter last year. Adjusted Diluted EPS* in the quarter ended April 30, 2026 was $1.50 compared to $1.22 in the same quarter last year.</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Nine-Month Period Ended April 30, 2026 Financial Results:</w:t>
      </w:r>
    </w:p>
    <w:p>
      <w:pPr>
        <w:spacing w:after="0" w:line="51" w:lineRule="exact"/>
        <w:rPr>
          <w:sz w:val="20"/>
          <w:szCs w:val="20"/>
          <w:color w:val="auto"/>
        </w:rPr>
      </w:pPr>
    </w:p>
    <w:p>
      <w:pPr>
        <w:jc w:val="both"/>
        <w:ind w:firstLine="432"/>
        <w:spacing w:after="0" w:line="332" w:lineRule="auto"/>
        <w:rPr>
          <w:sz w:val="20"/>
          <w:szCs w:val="20"/>
          <w:color w:val="auto"/>
        </w:rPr>
      </w:pPr>
      <w:r>
        <w:rPr>
          <w:rFonts w:ascii="Times New Roman" w:cs="Times New Roman" w:eastAsia="Times New Roman" w:hAnsi="Times New Roman"/>
          <w:sz w:val="13"/>
          <w:szCs w:val="13"/>
          <w:color w:val="auto"/>
        </w:rPr>
        <w:t>Sales for the nine-month period ended April 30, 2026 increased 9.7 percent, which consisted of organic sales growth of 4.3 percent, growth of 2.5 percent from acquisitions and an increase of 2.9 percent from foreign currency translation. Sales for the nine months ended April 30, 2026 were $1.22 billion compared to $1.12 billion in the same period last year. By region, sales increased 10.6 percent in the Americas &amp; Asia and sales increased 8.0 percent in Europe &amp; Australia, which consisted of organic sales growth of 6.0 percent in the Americas &amp; Asia and organic sales growth of 0.9 percent in Europe &amp; Australia.</w:t>
      </w:r>
    </w:p>
    <w:p>
      <w:pPr>
        <w:spacing w:after="0" w:line="1" w:lineRule="exact"/>
        <w:rPr>
          <w:sz w:val="20"/>
          <w:szCs w:val="20"/>
          <w:color w:val="auto"/>
        </w:rPr>
      </w:pPr>
    </w:p>
    <w:p>
      <w:pPr>
        <w:jc w:val="both"/>
        <w:ind w:firstLine="432"/>
        <w:spacing w:after="0" w:line="332" w:lineRule="auto"/>
        <w:rPr>
          <w:sz w:val="20"/>
          <w:szCs w:val="20"/>
          <w:color w:val="auto"/>
        </w:rPr>
      </w:pPr>
      <w:r>
        <w:rPr>
          <w:rFonts w:ascii="Times New Roman" w:cs="Times New Roman" w:eastAsia="Times New Roman" w:hAnsi="Times New Roman"/>
          <w:sz w:val="13"/>
          <w:szCs w:val="13"/>
          <w:color w:val="auto"/>
        </w:rPr>
        <w:t>Income before income taxes increased 15.4 percent to $203.8 million in the nine-month period ended April 30, 2026, compared to $176.6 million in the same period last year. Adjusted Income Before Income Taxes* in the nine-month period ended April 30, 2026, which was adjusted for amortization expense of $15.8 million and acquisition-related costs of $13.5 million, was $233.1 million, an increase of 13.5 percent compared to the same period last year. Adjusted Income Before Income Taxes* in the nine-month period ended April 30, 2025, which was adjusted for amortization expense, facility closure and other reorganization costs and acquisition-related charges of $28.8 million, was $205.4 million.</w:t>
      </w:r>
    </w:p>
    <w:p>
      <w:pPr>
        <w:spacing w:after="0" w:line="1" w:lineRule="exact"/>
        <w:rPr>
          <w:sz w:val="20"/>
          <w:szCs w:val="20"/>
          <w:color w:val="auto"/>
        </w:rPr>
      </w:pPr>
    </w:p>
    <w:p>
      <w:pPr>
        <w:jc w:val="both"/>
        <w:ind w:right="20" w:firstLine="432"/>
        <w:spacing w:after="0" w:line="357" w:lineRule="auto"/>
        <w:rPr>
          <w:sz w:val="20"/>
          <w:szCs w:val="20"/>
          <w:color w:val="auto"/>
        </w:rPr>
      </w:pPr>
      <w:r>
        <w:rPr>
          <w:rFonts w:ascii="Times New Roman" w:cs="Times New Roman" w:eastAsia="Times New Roman" w:hAnsi="Times New Roman"/>
          <w:sz w:val="13"/>
          <w:szCs w:val="13"/>
          <w:color w:val="auto"/>
        </w:rPr>
        <w:t>Net income in the nine-month period ended April 30, 2026 was $159.8 million compared to $139.4 million in the same period last year. Adjusted Net Income* in the nine-month period ended April 30, 2026 was $181.9 million compared to $161.1 million in the same period last year. Earnings per diluted Class A Nonvoting Common Share was $3.35 compared to $2.89 in the same period last year. Adjusted Diluted EPS* in the nine-month period ended April 30, 2026 was $3.81 compared to $3.34 in the same period last year.</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Commentary:</w:t>
      </w:r>
    </w:p>
    <w:p>
      <w:pPr>
        <w:spacing w:after="0" w:line="60" w:lineRule="exact"/>
        <w:rPr>
          <w:sz w:val="20"/>
          <w:szCs w:val="20"/>
          <w:color w:val="auto"/>
        </w:rPr>
      </w:pPr>
    </w:p>
    <w:p>
      <w:pPr>
        <w:jc w:val="both"/>
        <w:ind w:firstLine="432"/>
        <w:spacing w:after="0" w:line="344" w:lineRule="auto"/>
        <w:rPr>
          <w:sz w:val="20"/>
          <w:szCs w:val="20"/>
          <w:color w:val="auto"/>
        </w:rPr>
      </w:pPr>
      <w:r>
        <w:rPr>
          <w:rFonts w:ascii="Times New Roman" w:cs="Times New Roman" w:eastAsia="Times New Roman" w:hAnsi="Times New Roman"/>
          <w:sz w:val="13"/>
          <w:szCs w:val="13"/>
          <w:color w:val="auto"/>
        </w:rPr>
        <w:t>“Our investment in research &amp; development resulted in strong organic sales growth globally, along with a record quarter of adjusted earnings per share. New product launches over the last several years as well as data center construction drove our sales growth, which is an end market that is ideal for our high-performance identification solutions,” said Brady’s President and Chief Executive Officer, Russell R. Shaller. “Last month, we announced our agreement to acquire Honeywell’s Productivity Solutions and Services business, which we expect to close in the second half of calendar 2026. I’m incredibly excited to execute our plans for growth and expand our portfolio through PSS with high-quality mobility and scanning solutions, which are highly complementary to Brady’s portfolio of printers, software and specialty adhesive materials.”</w:t>
      </w:r>
    </w:p>
    <w:p>
      <w:pPr>
        <w:spacing w:after="0" w:line="160" w:lineRule="exact"/>
        <w:rPr>
          <w:sz w:val="20"/>
          <w:szCs w:val="20"/>
          <w:color w:val="auto"/>
        </w:rPr>
      </w:pPr>
    </w:p>
    <w:p>
      <w:pPr>
        <w:jc w:val="both"/>
        <w:ind w:firstLine="432"/>
        <w:spacing w:after="0" w:line="339" w:lineRule="auto"/>
        <w:rPr>
          <w:sz w:val="20"/>
          <w:szCs w:val="20"/>
          <w:color w:val="auto"/>
        </w:rPr>
      </w:pPr>
      <w:r>
        <w:rPr>
          <w:rFonts w:ascii="Times New Roman" w:cs="Times New Roman" w:eastAsia="Times New Roman" w:hAnsi="Times New Roman"/>
          <w:sz w:val="13"/>
          <w:szCs w:val="13"/>
          <w:color w:val="auto"/>
        </w:rPr>
        <w:t>“In addition to our new quarterly record adjusted earnings per share, we increased our cash flow from operating activities more than 30 percent to $78.2 million in the quarter, and we returned $16.7 million to our shareholders in the form of dividends and share buybacks,” said Brady’s Chief Financial Officer, Ann Thornton. “We were in a net cash position of $148.6 million as of April 30, 2026, which gives us the ability to continue to invest in organic growth and provides support for our acquisition of the Productivity Solutions and Services business, while returning funds to our shareholders to continue to drive long-term shareholder value.”</w:t>
      </w:r>
    </w:p>
    <w:p>
      <w:pPr>
        <w:sectPr>
          <w:pgSz w:w="11900" w:h="16838" w:orient="portrait"/>
          <w:cols w:equalWidth="0" w:num="1">
            <w:col w:w="11300"/>
          </w:cols>
          <w:pgMar w:left="300" w:top="674" w:right="2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3"/>
          <w:szCs w:val="13"/>
          <w:b w:val="1"/>
          <w:bCs w:val="1"/>
          <w:color w:val="auto"/>
        </w:rPr>
        <w:t>Fiscal 2026 Guidance:</w:t>
      </w:r>
    </w:p>
    <w:p>
      <w:pPr>
        <w:spacing w:after="0" w:line="60" w:lineRule="exact"/>
        <w:rPr>
          <w:sz w:val="20"/>
          <w:szCs w:val="20"/>
          <w:color w:val="auto"/>
        </w:rPr>
      </w:pPr>
    </w:p>
    <w:p>
      <w:pPr>
        <w:jc w:val="both"/>
        <w:ind w:firstLine="432"/>
        <w:spacing w:after="0" w:line="325" w:lineRule="auto"/>
        <w:rPr>
          <w:sz w:val="20"/>
          <w:szCs w:val="20"/>
          <w:color w:val="auto"/>
        </w:rPr>
      </w:pPr>
      <w:r>
        <w:rPr>
          <w:rFonts w:ascii="Times New Roman" w:cs="Times New Roman" w:eastAsia="Times New Roman" w:hAnsi="Times New Roman"/>
          <w:sz w:val="13"/>
          <w:szCs w:val="13"/>
          <w:color w:val="auto"/>
        </w:rPr>
        <w:t>The Company adjusted its GAAP earnings per diluted Class A Nonvoting Common Share guidance for the year ending July 31, 2026 from $4.62 to $4.82 per share, to $4.66 to $4.76 per share. The Company raised its Adjusted Diluted EPS* guidance for the year ending July 31, 2026 from $4.95 to $5.15 per share, to $5.20 to $5.30 per share.</w:t>
      </w:r>
    </w:p>
    <w:p>
      <w:pPr>
        <w:jc w:val="both"/>
        <w:ind w:firstLine="432"/>
        <w:spacing w:after="0" w:line="350" w:lineRule="auto"/>
        <w:rPr>
          <w:sz w:val="20"/>
          <w:szCs w:val="20"/>
          <w:color w:val="auto"/>
        </w:rPr>
      </w:pPr>
      <w:r>
        <w:rPr>
          <w:rFonts w:ascii="Times New Roman" w:cs="Times New Roman" w:eastAsia="Times New Roman" w:hAnsi="Times New Roman"/>
          <w:sz w:val="13"/>
          <w:szCs w:val="13"/>
          <w:color w:val="auto"/>
        </w:rPr>
        <w:t>The assumptions included in fiscal 2026 guidance include a full-year income tax rate of approximately 21 percent, depreciation and amortization expense of approximately $44 million, and capital expenditures of approximately $45 million. Fiscal 2026 guidance is based on foreign currency exchange rates as of April 30, 2026 and assumes continued economic growth. Fiscal 2026 guidance does not include any earnings impact from the PSS transaction.</w:t>
      </w:r>
    </w:p>
    <w:p>
      <w:pPr>
        <w:spacing w:after="0" w:line="12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 xml:space="preserve">A webcast regarding Brady’s fiscal 2026 third quarter financial results will be available at </w:t>
      </w:r>
      <w:r>
        <w:rPr>
          <w:rFonts w:ascii="Times New Roman" w:cs="Times New Roman" w:eastAsia="Times New Roman" w:hAnsi="Times New Roman"/>
          <w:sz w:val="13"/>
          <w:szCs w:val="13"/>
          <w:u w:val="single" w:color="auto"/>
          <w:color w:val="0000FF"/>
        </w:rPr>
        <w:t>www.bradycorp.com/investors</w:t>
      </w:r>
      <w:r>
        <w:rPr>
          <w:rFonts w:ascii="Times New Roman" w:cs="Times New Roman" w:eastAsia="Times New Roman" w:hAnsi="Times New Roman"/>
          <w:sz w:val="13"/>
          <w:szCs w:val="13"/>
          <w:color w:val="auto"/>
        </w:rPr>
        <w:t xml:space="preserve"> beginning at 9:30 a.m. central time today.</w:t>
      </w:r>
    </w:p>
    <w:p>
      <w:pPr>
        <w:spacing w:after="0" w:line="211" w:lineRule="exact"/>
        <w:rPr>
          <w:sz w:val="20"/>
          <w:szCs w:val="20"/>
          <w:color w:val="auto"/>
        </w:rPr>
      </w:pPr>
    </w:p>
    <w:p>
      <w:pPr>
        <w:jc w:val="both"/>
        <w:ind w:firstLine="432"/>
        <w:spacing w:after="0" w:line="326" w:lineRule="auto"/>
        <w:rPr>
          <w:sz w:val="20"/>
          <w:szCs w:val="20"/>
          <w:color w:val="auto"/>
        </w:rPr>
      </w:pPr>
      <w:r>
        <w:rPr>
          <w:rFonts w:ascii="Times New Roman" w:cs="Times New Roman" w:eastAsia="Times New Roman" w:hAnsi="Times New Roman"/>
          <w:sz w:val="13"/>
          <w:szCs w:val="13"/>
          <w:color w:val="auto"/>
        </w:rPr>
        <w:t xml:space="preserve">Brady Corporation is an international manufacturer and marketer of complete solutions that identify and protect people, products and places. Brady’s products help customers increase safety, security, productivity and performance and include high-performance labels, signs, safety devices, printing systems and software. Founded in 1914, the Company has a diverse customer base in electronics, telecommunications, manufacturing, electrical, construction, medical, aerospace and a variety of other industries. Brady is headquartered in Milwaukee, Wisconsin and as of July 31, 2025, employed approximately 6,400 people in its worldwide businesses. Brady’s fiscal 2025 sales were approximately $1.51 billion. Brady stock trades on the New York Stock Exchange under the symbol BRC. More information is available on the Internet at </w:t>
      </w:r>
      <w:r>
        <w:rPr>
          <w:rFonts w:ascii="Times New Roman" w:cs="Times New Roman" w:eastAsia="Times New Roman" w:hAnsi="Times New Roman"/>
          <w:sz w:val="13"/>
          <w:szCs w:val="13"/>
          <w:u w:val="single" w:color="auto"/>
          <w:color w:val="0000FF"/>
        </w:rPr>
        <w:t>www.bradyid.com</w:t>
      </w:r>
      <w:r>
        <w:rPr>
          <w:rFonts w:ascii="Times New Roman" w:cs="Times New Roman" w:eastAsia="Times New Roman" w:hAnsi="Times New Roman"/>
          <w:sz w:val="13"/>
          <w:szCs w:val="13"/>
          <w:color w:val="auto"/>
        </w:rPr>
        <w:t>.</w:t>
      </w:r>
    </w:p>
    <w:p>
      <w:pPr>
        <w:spacing w:after="0" w:line="137" w:lineRule="exact"/>
        <w:rPr>
          <w:sz w:val="20"/>
          <w:szCs w:val="20"/>
          <w:color w:val="auto"/>
        </w:rPr>
      </w:pPr>
    </w:p>
    <w:p>
      <w:pPr>
        <w:ind w:firstLine="424"/>
        <w:spacing w:after="0" w:line="353" w:lineRule="auto"/>
        <w:tabs>
          <w:tab w:leader="none" w:pos="534"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Adjusted Income Before Income Taxes, Adjusted Net Income, and Adjusted Diluted EPS are non-GAAP measures. See appendix for more information on these measures, including reconciliations to the most directly comparable GAAP measures.</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w:t>
      </w:r>
    </w:p>
    <w:p>
      <w:pPr>
        <w:spacing w:after="0" w:line="20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2"/>
          <w:szCs w:val="12"/>
          <w:color w:val="auto"/>
        </w:rPr>
        <w:t>In this news release, statements that are not reported financial results or other historic information are “forward-looking statements.” These forward-looking statements relate to, among other things, the Company's future financial position, business strategy, targets, projected sales, costs, earnings, capital expenditures, debt levels and cash flows, and plans and objectives of management for future operations.</w:t>
      </w:r>
    </w:p>
    <w:p>
      <w:pPr>
        <w:spacing w:after="0" w:line="13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2"/>
          <w:szCs w:val="12"/>
          <w:color w:val="auto"/>
        </w:rPr>
        <w:t>The use of words such as “may,” “will,” “expect,” “intend,” “estimate,” “anticipate,” “believe,” “should,” “project,” “plan” or similar terminology are generally intended to identify forward-looking statements. These forward-looking statements by their nature address matters that are, to different degrees, uncertain and are subject to risks, assumptions, and other factors, some of which are beyond Brady’s control, that could cause actual results to differ materially from those expressed or implied by such forward-looking statements. For Brady, uncertainties arise from: increased cost of materials, labor, material shortages and supply chain disruptions, including as a result of tariffs or other impacts of the global trade environment; decreased demand for our products; our ability to compete effectively or to successfully execute our strategy; our ability to develop technologically advanced products that meet customer demands; Brady’s ability to identify, integrate and grow acquired companies; difficulties in protecting our websites, networks, and systems against security breaches and difficulties in preventing phishing attacks, social engineering or malicious break-ins; risks associated with the loss of key employees; litigation, including product liability claims; global climate change and environmental regulations; foreign currency fluctuations; changes in tax legislation and tax rates; potential write-offs of goodwill and other intangible assets; differing interests of voting and non-voting shareholders and changes in the regulatory and business environment around dual-class voting structures; the possibility that events, changes or other circumstances could result in termination of the agreement to acquire the PSS business; our ability to complete the</w:t>
      </w:r>
    </w:p>
    <w:p>
      <w:pPr>
        <w:sectPr>
          <w:pgSz w:w="11900" w:h="16838" w:orient="portrait"/>
          <w:cols w:equalWidth="0" w:num="1">
            <w:col w:w="11300"/>
          </w:cols>
          <w:pgMar w:left="300" w:top="663" w:right="299" w:bottom="1440" w:gutter="0" w:footer="0" w:header="0"/>
        </w:sectPr>
      </w:pPr>
    </w:p>
    <w:bookmarkStart w:id="5" w:name="page6"/>
    <w:bookmarkEnd w:id="5"/>
    <w:p>
      <w:pPr>
        <w:jc w:val="both"/>
        <w:spacing w:after="0" w:line="242" w:lineRule="auto"/>
        <w:rPr>
          <w:sz w:val="20"/>
          <w:szCs w:val="20"/>
          <w:color w:val="auto"/>
        </w:rPr>
      </w:pPr>
      <w:r>
        <w:rPr>
          <w:rFonts w:ascii="Times New Roman" w:cs="Times New Roman" w:eastAsia="Times New Roman" w:hAnsi="Times New Roman"/>
          <w:sz w:val="12"/>
          <w:szCs w:val="12"/>
          <w:color w:val="auto"/>
        </w:rPr>
        <w:t>pending acquisition of the PSS business on the anticipated timeline or at all, including risks related to the timing, receipt and terms of required governmental and regulatory approvals and the satisfaction or waiver of other closing conditions; the potential effects of the pending acquisition and related integration planning on Brady’s and the PSS business’s relationships with customers, suppliers and other business partners, ability to retain and hire key personnel, operating results and businesses generally; our ability to realize the anticipated strategic and financial benefits of the pending acquisition of the PSS business, including expected synergies, within the anticipated timeframe, or at all; numerous other matters of national, regional and global scale, including major public health crises and government responses thereto and those of a political, economic, business, competitive, and regulatory nature contained from time to time in Brady’s U.S. Securities and Exchange Commission filings, including, but not limited to, those factors listed in the “Risk Factors” section within Item 1A of Part I of Brady’s Form 10-K for the year ended July 31, 2025.</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These uncertainties may cause Brady's actual future results to be materially different than those expressed in its forward-looking statements. Brady does not undertake to update its forward-looking statements except as required by law.</w:t>
      </w:r>
    </w:p>
    <w:p>
      <w:pPr>
        <w:sectPr>
          <w:pgSz w:w="11900" w:h="16838" w:orient="portrait"/>
          <w:cols w:equalWidth="0" w:num="1">
            <w:col w:w="11300"/>
          </w:cols>
          <w:pgMar w:left="300" w:top="633" w:right="2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1"/>
          <w:szCs w:val="11"/>
          <w:b w:val="1"/>
          <w:bCs w:val="1"/>
          <w:color w:val="auto"/>
        </w:rPr>
        <w:t>BRADY CORPORATION AND SUBSIDIARIES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CONSOLIDATED STATEMENTS OF INCOME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(Unaudited; Dollars in thousands, except per share data)</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5580" w:type="dxa"/>
            <w:vAlign w:val="bottom"/>
          </w:tcPr>
          <w:p>
            <w:pPr>
              <w:spacing w:after="0"/>
              <w:rPr>
                <w:sz w:val="12"/>
                <w:szCs w:val="12"/>
                <w:color w:val="auto"/>
              </w:rPr>
            </w:pPr>
          </w:p>
        </w:tc>
        <w:tc>
          <w:tcPr>
            <w:tcW w:w="2340" w:type="dxa"/>
            <w:vAlign w:val="bottom"/>
            <w:tcBorders>
              <w:bottom w:val="single" w:sz="8" w:color="auto"/>
            </w:tcBorders>
            <w:gridSpan w:val="4"/>
          </w:tcPr>
          <w:p>
            <w:pPr>
              <w:jc w:val="right"/>
              <w:ind w:right="226"/>
              <w:spacing w:after="0"/>
              <w:rPr>
                <w:sz w:val="20"/>
                <w:szCs w:val="20"/>
                <w:color w:val="auto"/>
              </w:rPr>
            </w:pPr>
            <w:r>
              <w:rPr>
                <w:rFonts w:ascii="Times New Roman" w:cs="Times New Roman" w:eastAsia="Times New Roman" w:hAnsi="Times New Roman"/>
                <w:sz w:val="11"/>
                <w:szCs w:val="11"/>
                <w:color w:val="auto"/>
              </w:rPr>
              <w:t>Three months ended April 30,</w:t>
            </w:r>
          </w:p>
        </w:tc>
        <w:tc>
          <w:tcPr>
            <w:tcW w:w="48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2500" w:type="dxa"/>
            <w:vAlign w:val="bottom"/>
            <w:tcBorders>
              <w:bottom w:val="single" w:sz="8" w:color="auto"/>
            </w:tcBorders>
            <w:gridSpan w:val="4"/>
          </w:tcPr>
          <w:p>
            <w:pPr>
              <w:jc w:val="right"/>
              <w:ind w:right="726"/>
              <w:spacing w:after="0"/>
              <w:rPr>
                <w:sz w:val="20"/>
                <w:szCs w:val="20"/>
                <w:color w:val="auto"/>
              </w:rPr>
            </w:pPr>
            <w:r>
              <w:rPr>
                <w:rFonts w:ascii="Times New Roman" w:cs="Times New Roman" w:eastAsia="Times New Roman" w:hAnsi="Times New Roman"/>
                <w:sz w:val="11"/>
                <w:szCs w:val="11"/>
                <w:color w:val="auto"/>
              </w:rPr>
              <w:t>Nine months ended April 30,</w:t>
            </w:r>
          </w:p>
        </w:tc>
      </w:tr>
      <w:tr>
        <w:trPr>
          <w:trHeight w:val="133"/>
        </w:trPr>
        <w:tc>
          <w:tcPr>
            <w:tcW w:w="5580" w:type="dxa"/>
            <w:vAlign w:val="bottom"/>
            <w:tcBorders>
              <w:bottom w:val="single" w:sz="8" w:color="CCEEFF"/>
            </w:tcBorders>
          </w:tcPr>
          <w:p>
            <w:pPr>
              <w:spacing w:after="0"/>
              <w:rPr>
                <w:sz w:val="11"/>
                <w:szCs w:val="11"/>
                <w:color w:val="auto"/>
              </w:rPr>
            </w:pPr>
          </w:p>
        </w:tc>
        <w:tc>
          <w:tcPr>
            <w:tcW w:w="88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2026</w:t>
            </w:r>
          </w:p>
        </w:tc>
        <w:tc>
          <w:tcPr>
            <w:tcW w:w="48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88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2025</w:t>
            </w:r>
          </w:p>
        </w:tc>
        <w:tc>
          <w:tcPr>
            <w:tcW w:w="48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ind w:right="506"/>
              <w:spacing w:after="0"/>
              <w:rPr>
                <w:sz w:val="20"/>
                <w:szCs w:val="20"/>
                <w:color w:val="auto"/>
              </w:rPr>
            </w:pPr>
            <w:r>
              <w:rPr>
                <w:rFonts w:ascii="Times New Roman" w:cs="Times New Roman" w:eastAsia="Times New Roman" w:hAnsi="Times New Roman"/>
                <w:sz w:val="11"/>
                <w:szCs w:val="11"/>
                <w:color w:val="auto"/>
              </w:rPr>
              <w:t>2026</w:t>
            </w:r>
          </w:p>
        </w:tc>
        <w:tc>
          <w:tcPr>
            <w:tcW w:w="10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ind w:right="526"/>
              <w:spacing w:after="0"/>
              <w:rPr>
                <w:sz w:val="20"/>
                <w:szCs w:val="20"/>
                <w:color w:val="auto"/>
              </w:rPr>
            </w:pPr>
            <w:r>
              <w:rPr>
                <w:rFonts w:ascii="Times New Roman" w:cs="Times New Roman" w:eastAsia="Times New Roman" w:hAnsi="Times New Roman"/>
                <w:sz w:val="11"/>
                <w:szCs w:val="11"/>
                <w:color w:val="auto"/>
              </w:rPr>
              <w:t>2025</w:t>
            </w:r>
          </w:p>
        </w:tc>
      </w:tr>
      <w:tr>
        <w:trPr>
          <w:trHeight w:val="135"/>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Net sales</w:t>
            </w:r>
          </w:p>
        </w:tc>
        <w:tc>
          <w:tcPr>
            <w:tcW w:w="880" w:type="dxa"/>
            <w:vAlign w:val="bottom"/>
            <w:shd w:val="clear" w:color="auto" w:fill="CCEEFF"/>
          </w:tcPr>
          <w:p>
            <w:pPr>
              <w:jc w:val="right"/>
              <w:ind w:right="746"/>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435,237</w:t>
            </w: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jc w:val="right"/>
              <w:ind w:right="766"/>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382,590</w:t>
            </w: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1,224,661</w:t>
            </w: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1,116,330</w:t>
            </w:r>
          </w:p>
        </w:tc>
      </w:tr>
      <w:tr>
        <w:trPr>
          <w:trHeight w:val="142"/>
        </w:trPr>
        <w:tc>
          <w:tcPr>
            <w:tcW w:w="55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1"/>
                <w:szCs w:val="11"/>
                <w:color w:val="auto"/>
              </w:rPr>
              <w:t>Cost of goods sold</w:t>
            </w:r>
          </w:p>
        </w:tc>
        <w:tc>
          <w:tcPr>
            <w:tcW w:w="8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209,768</w:t>
            </w:r>
          </w:p>
        </w:tc>
        <w:tc>
          <w:tcPr>
            <w:tcW w:w="10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187,531</w:t>
            </w:r>
          </w:p>
        </w:tc>
        <w:tc>
          <w:tcPr>
            <w:tcW w:w="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595,966</w:t>
            </w:r>
          </w:p>
        </w:tc>
        <w:tc>
          <w:tcPr>
            <w:tcW w:w="10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555,739</w:t>
            </w:r>
          </w:p>
        </w:tc>
      </w:tr>
      <w:tr>
        <w:trPr>
          <w:trHeight w:val="135"/>
        </w:trPr>
        <w:tc>
          <w:tcPr>
            <w:tcW w:w="5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Gross margin</w:t>
            </w:r>
          </w:p>
        </w:tc>
        <w:tc>
          <w:tcPr>
            <w:tcW w:w="8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225,469</w:t>
            </w: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195,059</w:t>
            </w: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628,695</w:t>
            </w: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560,591</w:t>
            </w:r>
          </w:p>
        </w:tc>
      </w:tr>
      <w:tr>
        <w:trPr>
          <w:trHeight w:val="142"/>
        </w:trPr>
        <w:tc>
          <w:tcPr>
            <w:tcW w:w="5580" w:type="dxa"/>
            <w:vAlign w:val="bottom"/>
          </w:tcPr>
          <w:p>
            <w:pPr>
              <w:spacing w:after="0"/>
              <w:rPr>
                <w:sz w:val="20"/>
                <w:szCs w:val="20"/>
                <w:color w:val="auto"/>
              </w:rPr>
            </w:pPr>
            <w:r>
              <w:rPr>
                <w:rFonts w:ascii="Times New Roman" w:cs="Times New Roman" w:eastAsia="Times New Roman" w:hAnsi="Times New Roman"/>
                <w:sz w:val="11"/>
                <w:szCs w:val="11"/>
                <w:color w:val="auto"/>
              </w:rPr>
              <w:t>Operating expenses:</w:t>
            </w:r>
          </w:p>
        </w:tc>
        <w:tc>
          <w:tcPr>
            <w:tcW w:w="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r>
      <w:tr>
        <w:trPr>
          <w:trHeight w:val="146"/>
        </w:trPr>
        <w:tc>
          <w:tcPr>
            <w:tcW w:w="5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Research and development</w:t>
            </w: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23,531</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19,191</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71,132</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56,835</w:t>
            </w:r>
          </w:p>
        </w:tc>
      </w:tr>
      <w:tr>
        <w:trPr>
          <w:trHeight w:val="142"/>
        </w:trPr>
        <w:tc>
          <w:tcPr>
            <w:tcW w:w="55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1"/>
                <w:szCs w:val="11"/>
                <w:color w:val="auto"/>
              </w:rPr>
              <w:t>Selling, general and administrative</w:t>
            </w:r>
          </w:p>
        </w:tc>
        <w:tc>
          <w:tcPr>
            <w:tcW w:w="8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128,732</w:t>
            </w:r>
          </w:p>
        </w:tc>
        <w:tc>
          <w:tcPr>
            <w:tcW w:w="10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108,678</w:t>
            </w:r>
          </w:p>
        </w:tc>
        <w:tc>
          <w:tcPr>
            <w:tcW w:w="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354,195</w:t>
            </w:r>
          </w:p>
        </w:tc>
        <w:tc>
          <w:tcPr>
            <w:tcW w:w="10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326,410</w:t>
            </w:r>
          </w:p>
        </w:tc>
      </w:tr>
      <w:tr>
        <w:trPr>
          <w:trHeight w:val="135"/>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Total operating expenses</w:t>
            </w:r>
          </w:p>
        </w:tc>
        <w:tc>
          <w:tcPr>
            <w:tcW w:w="8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152,263</w:t>
            </w: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127,869</w:t>
            </w: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425,327</w:t>
            </w: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383,245</w:t>
            </w:r>
          </w:p>
        </w:tc>
      </w:tr>
      <w:tr>
        <w:trPr>
          <w:trHeight w:val="171"/>
        </w:trPr>
        <w:tc>
          <w:tcPr>
            <w:tcW w:w="55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44"/>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Operating income</w:t>
            </w: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73,206</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67,190</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203,368</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177,346</w:t>
            </w:r>
          </w:p>
        </w:tc>
      </w:tr>
      <w:tr>
        <w:trPr>
          <w:trHeight w:val="171"/>
        </w:trPr>
        <w:tc>
          <w:tcPr>
            <w:tcW w:w="55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44"/>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Other income (expense):</w:t>
            </w: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r>
      <w:tr>
        <w:trPr>
          <w:trHeight w:val="142"/>
        </w:trPr>
        <w:tc>
          <w:tcPr>
            <w:tcW w:w="558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Investment and other income (expense)</w:t>
            </w: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1,431</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(509)</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3,948</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2,850</w:t>
            </w:r>
          </w:p>
        </w:tc>
      </w:tr>
      <w:tr>
        <w:trPr>
          <w:trHeight w:val="144"/>
        </w:trPr>
        <w:tc>
          <w:tcPr>
            <w:tcW w:w="5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Interest expense</w:t>
            </w:r>
          </w:p>
        </w:tc>
        <w:tc>
          <w:tcPr>
            <w:tcW w:w="88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(1,269)</w:t>
            </w:r>
          </w:p>
        </w:tc>
        <w:tc>
          <w:tcPr>
            <w:tcW w:w="100" w:type="dxa"/>
            <w:vAlign w:val="bottom"/>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(936)</w:t>
            </w:r>
          </w:p>
        </w:tc>
        <w:tc>
          <w:tcPr>
            <w:tcW w:w="80" w:type="dxa"/>
            <w:vAlign w:val="bottom"/>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(3,467)</w:t>
            </w:r>
          </w:p>
        </w:tc>
        <w:tc>
          <w:tcPr>
            <w:tcW w:w="100" w:type="dxa"/>
            <w:vAlign w:val="bottom"/>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(3,604)</w:t>
            </w:r>
          </w:p>
        </w:tc>
      </w:tr>
      <w:tr>
        <w:trPr>
          <w:trHeight w:val="153"/>
        </w:trPr>
        <w:tc>
          <w:tcPr>
            <w:tcW w:w="55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44"/>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Income before income taxes</w:t>
            </w: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73,368</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65,745</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203,849</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176,592</w:t>
            </w:r>
          </w:p>
        </w:tc>
      </w:tr>
      <w:tr>
        <w:trPr>
          <w:trHeight w:val="171"/>
        </w:trPr>
        <w:tc>
          <w:tcPr>
            <w:tcW w:w="55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42"/>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Income tax expense</w:t>
            </w:r>
          </w:p>
        </w:tc>
        <w:tc>
          <w:tcPr>
            <w:tcW w:w="88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15,568</w:t>
            </w:r>
          </w:p>
        </w:tc>
        <w:tc>
          <w:tcPr>
            <w:tcW w:w="100" w:type="dxa"/>
            <w:vAlign w:val="bottom"/>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13,482</w:t>
            </w:r>
          </w:p>
        </w:tc>
        <w:tc>
          <w:tcPr>
            <w:tcW w:w="80" w:type="dxa"/>
            <w:vAlign w:val="bottom"/>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44,062</w:t>
            </w:r>
          </w:p>
        </w:tc>
        <w:tc>
          <w:tcPr>
            <w:tcW w:w="100" w:type="dxa"/>
            <w:vAlign w:val="bottom"/>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37,212</w:t>
            </w:r>
          </w:p>
        </w:tc>
      </w:tr>
      <w:tr>
        <w:trPr>
          <w:trHeight w:val="153"/>
        </w:trPr>
        <w:tc>
          <w:tcPr>
            <w:tcW w:w="55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60"/>
        </w:trPr>
        <w:tc>
          <w:tcPr>
            <w:tcW w:w="5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Net income</w:t>
            </w:r>
          </w:p>
        </w:tc>
        <w:tc>
          <w:tcPr>
            <w:tcW w:w="880" w:type="dxa"/>
            <w:vAlign w:val="bottom"/>
            <w:tcBorders>
              <w:bottom w:val="single" w:sz="8" w:color="auto"/>
            </w:tcBorders>
            <w:shd w:val="clear" w:color="auto" w:fill="CCEEFF"/>
          </w:tcPr>
          <w:p>
            <w:pPr>
              <w:jc w:val="right"/>
              <w:ind w:right="746"/>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57,800</w:t>
            </w:r>
          </w:p>
        </w:tc>
        <w:tc>
          <w:tcPr>
            <w:tcW w:w="10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ind w:right="766"/>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52,263</w:t>
            </w:r>
          </w:p>
        </w:tc>
        <w:tc>
          <w:tcPr>
            <w:tcW w:w="8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159,787</w:t>
            </w:r>
          </w:p>
        </w:tc>
        <w:tc>
          <w:tcPr>
            <w:tcW w:w="10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139,380</w:t>
            </w:r>
          </w:p>
        </w:tc>
      </w:tr>
      <w:tr>
        <w:trPr>
          <w:trHeight w:val="153"/>
        </w:trPr>
        <w:tc>
          <w:tcPr>
            <w:tcW w:w="55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44"/>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Net income per Class A Nonvoting Common Share:</w:t>
            </w: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r>
      <w:tr>
        <w:trPr>
          <w:trHeight w:val="142"/>
        </w:trPr>
        <w:tc>
          <w:tcPr>
            <w:tcW w:w="558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Basic</w:t>
            </w:r>
          </w:p>
        </w:tc>
        <w:tc>
          <w:tcPr>
            <w:tcW w:w="880" w:type="dxa"/>
            <w:vAlign w:val="bottom"/>
          </w:tcPr>
          <w:p>
            <w:pPr>
              <w:jc w:val="right"/>
              <w:ind w:right="746"/>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1.22</w:t>
            </w:r>
          </w:p>
        </w:tc>
        <w:tc>
          <w:tcPr>
            <w:tcW w:w="100" w:type="dxa"/>
            <w:vAlign w:val="bottom"/>
          </w:tcPr>
          <w:p>
            <w:pPr>
              <w:spacing w:after="0"/>
              <w:rPr>
                <w:sz w:val="12"/>
                <w:szCs w:val="12"/>
                <w:color w:val="auto"/>
              </w:rPr>
            </w:pPr>
          </w:p>
        </w:tc>
        <w:tc>
          <w:tcPr>
            <w:tcW w:w="880" w:type="dxa"/>
            <w:vAlign w:val="bottom"/>
          </w:tcPr>
          <w:p>
            <w:pPr>
              <w:jc w:val="right"/>
              <w:ind w:right="766"/>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1.10</w:t>
            </w:r>
          </w:p>
        </w:tc>
        <w:tc>
          <w:tcPr>
            <w:tcW w:w="80" w:type="dxa"/>
            <w:vAlign w:val="bottom"/>
          </w:tcPr>
          <w:p>
            <w:pPr>
              <w:spacing w:after="0"/>
              <w:rPr>
                <w:sz w:val="12"/>
                <w:szCs w:val="12"/>
                <w:color w:val="auto"/>
              </w:rPr>
            </w:pPr>
          </w:p>
        </w:tc>
        <w:tc>
          <w:tcPr>
            <w:tcW w:w="32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3.38</w:t>
            </w:r>
          </w:p>
        </w:tc>
        <w:tc>
          <w:tcPr>
            <w:tcW w:w="100" w:type="dxa"/>
            <w:vAlign w:val="bottom"/>
          </w:tcPr>
          <w:p>
            <w:pPr>
              <w:spacing w:after="0"/>
              <w:rPr>
                <w:sz w:val="12"/>
                <w:szCs w:val="12"/>
                <w:color w:val="auto"/>
              </w:rPr>
            </w:pPr>
          </w:p>
        </w:tc>
        <w:tc>
          <w:tcPr>
            <w:tcW w:w="320" w:type="dxa"/>
            <w:vAlign w:val="bottom"/>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2.92</w:t>
            </w:r>
          </w:p>
        </w:tc>
      </w:tr>
      <w:tr>
        <w:trPr>
          <w:trHeight w:val="146"/>
        </w:trPr>
        <w:tc>
          <w:tcPr>
            <w:tcW w:w="5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Diluted</w:t>
            </w:r>
          </w:p>
        </w:tc>
        <w:tc>
          <w:tcPr>
            <w:tcW w:w="880" w:type="dxa"/>
            <w:vAlign w:val="bottom"/>
            <w:shd w:val="clear" w:color="auto" w:fill="CCEEFF"/>
          </w:tcPr>
          <w:p>
            <w:pPr>
              <w:jc w:val="right"/>
              <w:ind w:right="746"/>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1.21</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766"/>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1.09</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3.35</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2.89</w:t>
            </w:r>
          </w:p>
        </w:tc>
      </w:tr>
      <w:tr>
        <w:trPr>
          <w:trHeight w:val="171"/>
        </w:trPr>
        <w:tc>
          <w:tcPr>
            <w:tcW w:w="55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44"/>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Net income per Class B Voting Common Share:</w:t>
            </w: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r>
      <w:tr>
        <w:trPr>
          <w:trHeight w:val="142"/>
        </w:trPr>
        <w:tc>
          <w:tcPr>
            <w:tcW w:w="558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Basic</w:t>
            </w:r>
          </w:p>
        </w:tc>
        <w:tc>
          <w:tcPr>
            <w:tcW w:w="880" w:type="dxa"/>
            <w:vAlign w:val="bottom"/>
          </w:tcPr>
          <w:p>
            <w:pPr>
              <w:jc w:val="right"/>
              <w:ind w:right="746"/>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1.22</w:t>
            </w:r>
          </w:p>
        </w:tc>
        <w:tc>
          <w:tcPr>
            <w:tcW w:w="100" w:type="dxa"/>
            <w:vAlign w:val="bottom"/>
          </w:tcPr>
          <w:p>
            <w:pPr>
              <w:spacing w:after="0"/>
              <w:rPr>
                <w:sz w:val="12"/>
                <w:szCs w:val="12"/>
                <w:color w:val="auto"/>
              </w:rPr>
            </w:pPr>
          </w:p>
        </w:tc>
        <w:tc>
          <w:tcPr>
            <w:tcW w:w="880" w:type="dxa"/>
            <w:vAlign w:val="bottom"/>
          </w:tcPr>
          <w:p>
            <w:pPr>
              <w:jc w:val="right"/>
              <w:ind w:right="766"/>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1.10</w:t>
            </w:r>
          </w:p>
        </w:tc>
        <w:tc>
          <w:tcPr>
            <w:tcW w:w="80" w:type="dxa"/>
            <w:vAlign w:val="bottom"/>
          </w:tcPr>
          <w:p>
            <w:pPr>
              <w:spacing w:after="0"/>
              <w:rPr>
                <w:sz w:val="12"/>
                <w:szCs w:val="12"/>
                <w:color w:val="auto"/>
              </w:rPr>
            </w:pPr>
          </w:p>
        </w:tc>
        <w:tc>
          <w:tcPr>
            <w:tcW w:w="32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3.36</w:t>
            </w:r>
          </w:p>
        </w:tc>
        <w:tc>
          <w:tcPr>
            <w:tcW w:w="100" w:type="dxa"/>
            <w:vAlign w:val="bottom"/>
          </w:tcPr>
          <w:p>
            <w:pPr>
              <w:spacing w:after="0"/>
              <w:rPr>
                <w:sz w:val="12"/>
                <w:szCs w:val="12"/>
                <w:color w:val="auto"/>
              </w:rPr>
            </w:pPr>
          </w:p>
        </w:tc>
        <w:tc>
          <w:tcPr>
            <w:tcW w:w="320" w:type="dxa"/>
            <w:vAlign w:val="bottom"/>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2.90</w:t>
            </w:r>
          </w:p>
        </w:tc>
      </w:tr>
      <w:tr>
        <w:trPr>
          <w:trHeight w:val="146"/>
        </w:trPr>
        <w:tc>
          <w:tcPr>
            <w:tcW w:w="5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Diluted</w:t>
            </w:r>
          </w:p>
        </w:tc>
        <w:tc>
          <w:tcPr>
            <w:tcW w:w="880" w:type="dxa"/>
            <w:vAlign w:val="bottom"/>
            <w:shd w:val="clear" w:color="auto" w:fill="CCEEFF"/>
          </w:tcPr>
          <w:p>
            <w:pPr>
              <w:jc w:val="right"/>
              <w:ind w:right="746"/>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1.21</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766"/>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1.09</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3.33</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2.88</w:t>
            </w:r>
          </w:p>
        </w:tc>
      </w:tr>
      <w:tr>
        <w:trPr>
          <w:trHeight w:val="171"/>
        </w:trPr>
        <w:tc>
          <w:tcPr>
            <w:tcW w:w="55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44"/>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Weighted average common shares outstanding:</w:t>
            </w: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r>
      <w:tr>
        <w:trPr>
          <w:trHeight w:val="142"/>
        </w:trPr>
        <w:tc>
          <w:tcPr>
            <w:tcW w:w="558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Basic</w:t>
            </w: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47,357</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47,644</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47,313</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47,743</w:t>
            </w:r>
          </w:p>
        </w:tc>
      </w:tr>
      <w:tr>
        <w:trPr>
          <w:trHeight w:val="146"/>
        </w:trPr>
        <w:tc>
          <w:tcPr>
            <w:tcW w:w="5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Diluted</w:t>
            </w: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47,814</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48,066</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47,761</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48,196</w:t>
            </w:r>
          </w:p>
        </w:tc>
      </w:tr>
    </w:tbl>
    <w:p>
      <w:pPr>
        <w:sectPr>
          <w:pgSz w:w="11900" w:h="16838" w:orient="portrait"/>
          <w:cols w:equalWidth="0" w:num="1">
            <w:col w:w="11300"/>
          </w:cols>
          <w:pgMar w:left="300" w:top="560" w:right="2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1"/>
          <w:szCs w:val="11"/>
          <w:b w:val="1"/>
          <w:bCs w:val="1"/>
          <w:color w:val="auto"/>
        </w:rPr>
        <w:t>BRADY CORPORATION AND SUBSIDIARIES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CONSOLIDATED BALANCE SHEETS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(Dollars 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30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tcPr>
          <w:p>
            <w:pPr>
              <w:ind w:left="160"/>
              <w:spacing w:after="0"/>
              <w:rPr>
                <w:sz w:val="20"/>
                <w:szCs w:val="20"/>
                <w:color w:val="auto"/>
              </w:rPr>
            </w:pPr>
            <w:r>
              <w:rPr>
                <w:rFonts w:ascii="Times New Roman" w:cs="Times New Roman" w:eastAsia="Times New Roman" w:hAnsi="Times New Roman"/>
                <w:sz w:val="11"/>
                <w:szCs w:val="11"/>
                <w:color w:val="auto"/>
              </w:rPr>
              <w:t>April 30, 2026</w:t>
            </w:r>
          </w:p>
        </w:tc>
        <w:tc>
          <w:tcPr>
            <w:tcW w:w="220" w:type="dxa"/>
            <w:vAlign w:val="bottom"/>
          </w:tcPr>
          <w:p>
            <w:pPr>
              <w:spacing w:after="0"/>
              <w:rPr>
                <w:sz w:val="12"/>
                <w:szCs w:val="12"/>
                <w:color w:val="auto"/>
              </w:rPr>
            </w:pPr>
          </w:p>
        </w:tc>
        <w:tc>
          <w:tcPr>
            <w:tcW w:w="1140" w:type="dxa"/>
            <w:vAlign w:val="bottom"/>
          </w:tcPr>
          <w:p>
            <w:pPr>
              <w:jc w:val="right"/>
              <w:ind w:right="346"/>
              <w:spacing w:after="0"/>
              <w:rPr>
                <w:sz w:val="20"/>
                <w:szCs w:val="20"/>
                <w:color w:val="auto"/>
              </w:rPr>
            </w:pPr>
            <w:r>
              <w:rPr>
                <w:rFonts w:ascii="Times New Roman" w:cs="Times New Roman" w:eastAsia="Times New Roman" w:hAnsi="Times New Roman"/>
                <w:sz w:val="11"/>
                <w:szCs w:val="11"/>
                <w:color w:val="auto"/>
              </w:rPr>
              <w:t>July 31, 2025</w:t>
            </w:r>
          </w:p>
        </w:tc>
      </w:tr>
      <w:tr>
        <w:trPr>
          <w:trHeight w:val="133"/>
        </w:trPr>
        <w:tc>
          <w:tcPr>
            <w:tcW w:w="30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06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jc w:val="right"/>
              <w:ind w:right="366"/>
              <w:spacing w:after="0"/>
              <w:rPr>
                <w:sz w:val="20"/>
                <w:szCs w:val="20"/>
                <w:color w:val="auto"/>
              </w:rPr>
            </w:pPr>
            <w:r>
              <w:rPr>
                <w:rFonts w:ascii="Times New Roman" w:cs="Times New Roman" w:eastAsia="Times New Roman" w:hAnsi="Times New Roman"/>
                <w:sz w:val="11"/>
                <w:szCs w:val="11"/>
                <w:color w:val="auto"/>
              </w:rPr>
              <w:t>(Unaudited)</w:t>
            </w:r>
          </w:p>
        </w:tc>
        <w:tc>
          <w:tcPr>
            <w:tcW w:w="10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spacing w:after="0"/>
              <w:rPr>
                <w:sz w:val="11"/>
                <w:szCs w:val="11"/>
                <w:color w:val="auto"/>
              </w:rPr>
            </w:pPr>
          </w:p>
        </w:tc>
      </w:tr>
      <w:tr>
        <w:trPr>
          <w:trHeight w:val="126"/>
        </w:trPr>
        <w:tc>
          <w:tcPr>
            <w:tcW w:w="306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4440" w:type="dxa"/>
            <w:vAlign w:val="bottom"/>
            <w:gridSpan w:val="3"/>
            <w:shd w:val="clear" w:color="auto" w:fill="CCEEFF"/>
          </w:tcPr>
          <w:p>
            <w:pPr>
              <w:jc w:val="center"/>
              <w:ind w:right="4040"/>
              <w:spacing w:after="0" w:line="119" w:lineRule="exact"/>
              <w:rPr>
                <w:sz w:val="20"/>
                <w:szCs w:val="20"/>
                <w:color w:val="auto"/>
              </w:rPr>
            </w:pPr>
            <w:r>
              <w:rPr>
                <w:rFonts w:ascii="Times New Roman" w:cs="Times New Roman" w:eastAsia="Times New Roman" w:hAnsi="Times New Roman"/>
                <w:sz w:val="11"/>
                <w:szCs w:val="11"/>
                <w:b w:val="1"/>
                <w:bCs w:val="1"/>
                <w:color w:val="auto"/>
                <w:w w:val="97"/>
              </w:rPr>
              <w:t>ASSETS</w:t>
            </w:r>
          </w:p>
        </w:tc>
        <w:tc>
          <w:tcPr>
            <w:tcW w:w="22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r>
      <w:tr>
        <w:trPr>
          <w:trHeight w:val="142"/>
        </w:trPr>
        <w:tc>
          <w:tcPr>
            <w:tcW w:w="404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1"/>
                <w:szCs w:val="11"/>
                <w:color w:val="auto"/>
              </w:rPr>
              <w:t>Current assets:</w:t>
            </w:r>
          </w:p>
        </w:tc>
        <w:tc>
          <w:tcPr>
            <w:tcW w:w="400" w:type="dxa"/>
            <w:vAlign w:val="bottom"/>
            <w:tcBorders>
              <w:top w:val="single" w:sz="8" w:color="auto"/>
            </w:tcBorders>
          </w:tcPr>
          <w:p>
            <w:pPr>
              <w:spacing w:after="0"/>
              <w:rPr>
                <w:sz w:val="12"/>
                <w:szCs w:val="12"/>
                <w:color w:val="auto"/>
              </w:rPr>
            </w:pPr>
          </w:p>
        </w:tc>
        <w:tc>
          <w:tcPr>
            <w:tcW w:w="4040" w:type="dxa"/>
            <w:vAlign w:val="bottom"/>
            <w:tcBorders>
              <w:top w:val="single" w:sz="8" w:color="CCEEFF"/>
            </w:tcBorders>
            <w:gridSpan w:val="2"/>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114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1140" w:type="dxa"/>
            <w:vAlign w:val="bottom"/>
            <w:tcBorders>
              <w:top w:val="single" w:sz="8" w:color="CCEEFF"/>
            </w:tcBorders>
          </w:tcPr>
          <w:p>
            <w:pPr>
              <w:spacing w:after="0"/>
              <w:rPr>
                <w:sz w:val="12"/>
                <w:szCs w:val="12"/>
                <w:color w:val="auto"/>
              </w:rPr>
            </w:pPr>
          </w:p>
        </w:tc>
      </w:tr>
      <w:tr>
        <w:trPr>
          <w:trHeight w:val="146"/>
        </w:trPr>
        <w:tc>
          <w:tcPr>
            <w:tcW w:w="8480" w:type="dxa"/>
            <w:vAlign w:val="bottom"/>
            <w:gridSpan w:val="5"/>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Cash and cash equivalents</w:t>
            </w:r>
          </w:p>
        </w:tc>
        <w:tc>
          <w:tcPr>
            <w:tcW w:w="22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175,491</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174,349</w:t>
            </w:r>
          </w:p>
        </w:tc>
      </w:tr>
      <w:tr>
        <w:trPr>
          <w:trHeight w:val="142"/>
        </w:trPr>
        <w:tc>
          <w:tcPr>
            <w:tcW w:w="8480" w:type="dxa"/>
            <w:vAlign w:val="bottom"/>
            <w:gridSpan w:val="5"/>
          </w:tcPr>
          <w:p>
            <w:pPr>
              <w:ind w:left="220"/>
              <w:spacing w:after="0"/>
              <w:rPr>
                <w:sz w:val="20"/>
                <w:szCs w:val="20"/>
                <w:color w:val="auto"/>
              </w:rPr>
            </w:pPr>
            <w:r>
              <w:rPr>
                <w:rFonts w:ascii="Times New Roman" w:cs="Times New Roman" w:eastAsia="Times New Roman" w:hAnsi="Times New Roman"/>
                <w:sz w:val="11"/>
                <w:szCs w:val="11"/>
                <w:color w:val="auto"/>
              </w:rPr>
              <w:t>Accounts receivable, net of allowance for credit losses of $7,274 and $7,876, respectively</w:t>
            </w:r>
          </w:p>
        </w:tc>
        <w:tc>
          <w:tcPr>
            <w:tcW w:w="22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266,354</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231,944</w:t>
            </w:r>
          </w:p>
        </w:tc>
      </w:tr>
      <w:tr>
        <w:trPr>
          <w:trHeight w:val="146"/>
        </w:trPr>
        <w:tc>
          <w:tcPr>
            <w:tcW w:w="8480" w:type="dxa"/>
            <w:vAlign w:val="bottom"/>
            <w:gridSpan w:val="5"/>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Inventories</w:t>
            </w: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220,252</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200,881</w:t>
            </w:r>
          </w:p>
        </w:tc>
      </w:tr>
      <w:tr>
        <w:trPr>
          <w:trHeight w:val="142"/>
        </w:trPr>
        <w:tc>
          <w:tcPr>
            <w:tcW w:w="8480" w:type="dxa"/>
            <w:vAlign w:val="bottom"/>
            <w:tcBorders>
              <w:bottom w:val="single" w:sz="8" w:color="CCEEFF"/>
            </w:tcBorders>
            <w:gridSpan w:val="5"/>
          </w:tcPr>
          <w:p>
            <w:pPr>
              <w:ind w:left="220"/>
              <w:spacing w:after="0"/>
              <w:rPr>
                <w:sz w:val="20"/>
                <w:szCs w:val="20"/>
                <w:color w:val="auto"/>
              </w:rPr>
            </w:pPr>
            <w:r>
              <w:rPr>
                <w:rFonts w:ascii="Times New Roman" w:cs="Times New Roman" w:eastAsia="Times New Roman" w:hAnsi="Times New Roman"/>
                <w:sz w:val="11"/>
                <w:szCs w:val="11"/>
                <w:color w:val="auto"/>
              </w:rPr>
              <w:t>Prepaid expenses and other current assets</w:t>
            </w:r>
          </w:p>
        </w:tc>
        <w:tc>
          <w:tcPr>
            <w:tcW w:w="2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16,832</w:t>
            </w:r>
          </w:p>
        </w:tc>
        <w:tc>
          <w:tcPr>
            <w:tcW w:w="1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14,661</w:t>
            </w:r>
          </w:p>
        </w:tc>
      </w:tr>
      <w:tr>
        <w:trPr>
          <w:trHeight w:val="135"/>
        </w:trPr>
        <w:tc>
          <w:tcPr>
            <w:tcW w:w="8480" w:type="dxa"/>
            <w:vAlign w:val="bottom"/>
            <w:gridSpan w:val="5"/>
            <w:shd w:val="clear" w:color="auto" w:fill="CCEEFF"/>
          </w:tcPr>
          <w:p>
            <w:pPr>
              <w:ind w:left="360"/>
              <w:spacing w:after="0"/>
              <w:rPr>
                <w:sz w:val="20"/>
                <w:szCs w:val="20"/>
                <w:color w:val="auto"/>
              </w:rPr>
            </w:pPr>
            <w:r>
              <w:rPr>
                <w:rFonts w:ascii="Times New Roman" w:cs="Times New Roman" w:eastAsia="Times New Roman" w:hAnsi="Times New Roman"/>
                <w:sz w:val="11"/>
                <w:szCs w:val="11"/>
                <w:color w:val="auto"/>
              </w:rPr>
              <w:t>Total current assets</w:t>
            </w:r>
          </w:p>
        </w:tc>
        <w:tc>
          <w:tcPr>
            <w:tcW w:w="220" w:type="dxa"/>
            <w:vAlign w:val="bottom"/>
            <w:shd w:val="clear" w:color="auto" w:fill="CCEEFF"/>
          </w:tcPr>
          <w:p>
            <w:pPr>
              <w:spacing w:after="0"/>
              <w:rPr>
                <w:sz w:val="11"/>
                <w:szCs w:val="1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678,929</w:t>
            </w: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621,835</w:t>
            </w:r>
          </w:p>
        </w:tc>
      </w:tr>
      <w:tr>
        <w:trPr>
          <w:trHeight w:val="142"/>
        </w:trPr>
        <w:tc>
          <w:tcPr>
            <w:tcW w:w="8480" w:type="dxa"/>
            <w:vAlign w:val="bottom"/>
            <w:gridSpan w:val="5"/>
          </w:tcPr>
          <w:p>
            <w:pPr>
              <w:spacing w:after="0"/>
              <w:rPr>
                <w:sz w:val="20"/>
                <w:szCs w:val="20"/>
                <w:color w:val="auto"/>
              </w:rPr>
            </w:pPr>
            <w:r>
              <w:rPr>
                <w:rFonts w:ascii="Times New Roman" w:cs="Times New Roman" w:eastAsia="Times New Roman" w:hAnsi="Times New Roman"/>
                <w:sz w:val="11"/>
                <w:szCs w:val="11"/>
                <w:color w:val="auto"/>
              </w:rPr>
              <w:t>Property, plant and equipment—net</w:t>
            </w:r>
          </w:p>
        </w:tc>
        <w:tc>
          <w:tcPr>
            <w:tcW w:w="22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243,720</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225,572</w:t>
            </w:r>
          </w:p>
        </w:tc>
      </w:tr>
      <w:tr>
        <w:trPr>
          <w:trHeight w:val="146"/>
        </w:trPr>
        <w:tc>
          <w:tcPr>
            <w:tcW w:w="84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1"/>
                <w:szCs w:val="11"/>
                <w:color w:val="auto"/>
              </w:rPr>
              <w:t>Goodwill</w:t>
            </w: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689,415</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676,945</w:t>
            </w:r>
          </w:p>
        </w:tc>
      </w:tr>
      <w:tr>
        <w:trPr>
          <w:trHeight w:val="142"/>
        </w:trPr>
        <w:tc>
          <w:tcPr>
            <w:tcW w:w="8480" w:type="dxa"/>
            <w:vAlign w:val="bottom"/>
            <w:gridSpan w:val="5"/>
          </w:tcPr>
          <w:p>
            <w:pPr>
              <w:spacing w:after="0"/>
              <w:rPr>
                <w:sz w:val="20"/>
                <w:szCs w:val="20"/>
                <w:color w:val="auto"/>
              </w:rPr>
            </w:pPr>
            <w:r>
              <w:rPr>
                <w:rFonts w:ascii="Times New Roman" w:cs="Times New Roman" w:eastAsia="Times New Roman" w:hAnsi="Times New Roman"/>
                <w:sz w:val="11"/>
                <w:szCs w:val="11"/>
                <w:color w:val="auto"/>
              </w:rPr>
              <w:t>Other intangible assets</w:t>
            </w:r>
          </w:p>
        </w:tc>
        <w:tc>
          <w:tcPr>
            <w:tcW w:w="22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103,425</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105,374</w:t>
            </w:r>
          </w:p>
        </w:tc>
      </w:tr>
      <w:tr>
        <w:trPr>
          <w:trHeight w:val="146"/>
        </w:trPr>
        <w:tc>
          <w:tcPr>
            <w:tcW w:w="84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1"/>
                <w:szCs w:val="11"/>
                <w:color w:val="auto"/>
              </w:rPr>
              <w:t>Deferred income taxes</w:t>
            </w: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18,503</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20,862</w:t>
            </w:r>
          </w:p>
        </w:tc>
      </w:tr>
      <w:tr>
        <w:trPr>
          <w:trHeight w:val="142"/>
        </w:trPr>
        <w:tc>
          <w:tcPr>
            <w:tcW w:w="8480" w:type="dxa"/>
            <w:vAlign w:val="bottom"/>
            <w:gridSpan w:val="5"/>
          </w:tcPr>
          <w:p>
            <w:pPr>
              <w:spacing w:after="0"/>
              <w:rPr>
                <w:sz w:val="20"/>
                <w:szCs w:val="20"/>
                <w:color w:val="auto"/>
              </w:rPr>
            </w:pPr>
            <w:r>
              <w:rPr>
                <w:rFonts w:ascii="Times New Roman" w:cs="Times New Roman" w:eastAsia="Times New Roman" w:hAnsi="Times New Roman"/>
                <w:sz w:val="11"/>
                <w:szCs w:val="11"/>
                <w:color w:val="auto"/>
              </w:rPr>
              <w:t>Operating lease assets</w:t>
            </w:r>
          </w:p>
        </w:tc>
        <w:tc>
          <w:tcPr>
            <w:tcW w:w="22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61,154</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58,422</w:t>
            </w:r>
          </w:p>
        </w:tc>
      </w:tr>
      <w:tr>
        <w:trPr>
          <w:trHeight w:val="144"/>
        </w:trPr>
        <w:tc>
          <w:tcPr>
            <w:tcW w:w="84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1"/>
                <w:szCs w:val="11"/>
                <w:color w:val="auto"/>
              </w:rPr>
              <w:t>Other assets</w:t>
            </w:r>
          </w:p>
        </w:tc>
        <w:tc>
          <w:tcPr>
            <w:tcW w:w="220" w:type="dxa"/>
            <w:vAlign w:val="bottom"/>
            <w:tcBorders>
              <w:bottom w:val="single" w:sz="8" w:color="auto"/>
            </w:tcBorders>
            <w:shd w:val="clear" w:color="auto" w:fill="CCEEFF"/>
          </w:tcPr>
          <w:p>
            <w:pPr>
              <w:spacing w:after="0"/>
              <w:rPr>
                <w:sz w:val="12"/>
                <w:szCs w:val="1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36,805</w:t>
            </w:r>
          </w:p>
        </w:tc>
        <w:tc>
          <w:tcPr>
            <w:tcW w:w="10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25,243</w:t>
            </w:r>
          </w:p>
        </w:tc>
      </w:tr>
      <w:tr>
        <w:trPr>
          <w:trHeight w:val="151"/>
        </w:trPr>
        <w:tc>
          <w:tcPr>
            <w:tcW w:w="8480" w:type="dxa"/>
            <w:vAlign w:val="bottom"/>
            <w:tcBorders>
              <w:bottom w:val="single" w:sz="8" w:color="CCEEFF"/>
            </w:tcBorders>
            <w:gridSpan w:val="5"/>
          </w:tcPr>
          <w:p>
            <w:pPr>
              <w:spacing w:after="0"/>
              <w:rPr>
                <w:sz w:val="20"/>
                <w:szCs w:val="20"/>
                <w:color w:val="auto"/>
              </w:rPr>
            </w:pPr>
            <w:r>
              <w:rPr>
                <w:rFonts w:ascii="Times New Roman" w:cs="Times New Roman" w:eastAsia="Times New Roman" w:hAnsi="Times New Roman"/>
                <w:sz w:val="11"/>
                <w:szCs w:val="11"/>
                <w:color w:val="auto"/>
              </w:rPr>
              <w:t>Total</w:t>
            </w:r>
          </w:p>
        </w:tc>
        <w:tc>
          <w:tcPr>
            <w:tcW w:w="22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1,831,951</w:t>
            </w: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1,734,253</w:t>
            </w:r>
          </w:p>
        </w:tc>
      </w:tr>
      <w:tr>
        <w:trPr>
          <w:trHeight w:val="106"/>
        </w:trPr>
        <w:tc>
          <w:tcPr>
            <w:tcW w:w="3060" w:type="dxa"/>
            <w:vAlign w:val="bottom"/>
            <w:tcBorders>
              <w:bottom w:val="single" w:sz="8" w:color="CCEEFF"/>
            </w:tcBorders>
            <w:shd w:val="clear" w:color="auto" w:fill="CCEEFF"/>
          </w:tcPr>
          <w:p>
            <w:pPr>
              <w:spacing w:after="0"/>
              <w:rPr>
                <w:sz w:val="9"/>
                <w:szCs w:val="9"/>
                <w:color w:val="auto"/>
              </w:rPr>
            </w:pPr>
          </w:p>
        </w:tc>
        <w:tc>
          <w:tcPr>
            <w:tcW w:w="2360" w:type="dxa"/>
            <w:vAlign w:val="bottom"/>
            <w:tcBorders>
              <w:bottom w:val="single" w:sz="8" w:color="auto"/>
            </w:tcBorders>
            <w:gridSpan w:val="3"/>
            <w:shd w:val="clear" w:color="auto" w:fill="CCEEFF"/>
          </w:tcPr>
          <w:p>
            <w:pPr>
              <w:jc w:val="center"/>
              <w:spacing w:after="0" w:line="99" w:lineRule="exact"/>
              <w:rPr>
                <w:sz w:val="20"/>
                <w:szCs w:val="20"/>
                <w:color w:val="auto"/>
              </w:rPr>
            </w:pPr>
            <w:r>
              <w:rPr>
                <w:rFonts w:ascii="Times New Roman" w:cs="Times New Roman" w:eastAsia="Times New Roman" w:hAnsi="Times New Roman"/>
                <w:sz w:val="11"/>
                <w:szCs w:val="11"/>
                <w:b w:val="1"/>
                <w:bCs w:val="1"/>
                <w:color w:val="auto"/>
                <w:w w:val="98"/>
              </w:rPr>
              <w:t>LIABILITIES AND STOCKHOLDERS’ EQUITY</w:t>
            </w:r>
          </w:p>
        </w:tc>
        <w:tc>
          <w:tcPr>
            <w:tcW w:w="3060" w:type="dxa"/>
            <w:vAlign w:val="bottom"/>
            <w:tcBorders>
              <w:bottom w:val="single" w:sz="8" w:color="CCEEFF"/>
            </w:tcBorders>
            <w:shd w:val="clear" w:color="auto" w:fill="CCEEFF"/>
          </w:tcPr>
          <w:p>
            <w:pPr>
              <w:spacing w:after="0"/>
              <w:rPr>
                <w:sz w:val="9"/>
                <w:szCs w:val="9"/>
                <w:color w:val="auto"/>
              </w:rPr>
            </w:pPr>
          </w:p>
        </w:tc>
        <w:tc>
          <w:tcPr>
            <w:tcW w:w="220" w:type="dxa"/>
            <w:vAlign w:val="bottom"/>
            <w:tcBorders>
              <w:bottom w:val="single" w:sz="8" w:color="CCEEFF"/>
            </w:tcBorders>
            <w:shd w:val="clear" w:color="auto" w:fill="CCEEFF"/>
          </w:tcPr>
          <w:p>
            <w:pPr>
              <w:spacing w:after="0"/>
              <w:rPr>
                <w:sz w:val="9"/>
                <w:szCs w:val="9"/>
                <w:color w:val="auto"/>
              </w:rPr>
            </w:pPr>
          </w:p>
        </w:tc>
        <w:tc>
          <w:tcPr>
            <w:tcW w:w="114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220" w:type="dxa"/>
            <w:vAlign w:val="bottom"/>
            <w:tcBorders>
              <w:bottom w:val="single" w:sz="8" w:color="CCEEFF"/>
            </w:tcBorders>
            <w:shd w:val="clear" w:color="auto" w:fill="CCEEFF"/>
          </w:tcPr>
          <w:p>
            <w:pPr>
              <w:spacing w:after="0"/>
              <w:rPr>
                <w:sz w:val="9"/>
                <w:szCs w:val="9"/>
                <w:color w:val="auto"/>
              </w:rPr>
            </w:pPr>
          </w:p>
        </w:tc>
        <w:tc>
          <w:tcPr>
            <w:tcW w:w="1140" w:type="dxa"/>
            <w:vAlign w:val="bottom"/>
            <w:tcBorders>
              <w:bottom w:val="single" w:sz="8" w:color="CCEEFF"/>
            </w:tcBorders>
            <w:shd w:val="clear" w:color="auto" w:fill="CCEEFF"/>
          </w:tcPr>
          <w:p>
            <w:pPr>
              <w:spacing w:after="0"/>
              <w:rPr>
                <w:sz w:val="9"/>
                <w:szCs w:val="9"/>
                <w:color w:val="auto"/>
              </w:rPr>
            </w:pPr>
          </w:p>
        </w:tc>
      </w:tr>
      <w:tr>
        <w:trPr>
          <w:trHeight w:val="142"/>
        </w:trPr>
        <w:tc>
          <w:tcPr>
            <w:tcW w:w="8480" w:type="dxa"/>
            <w:vAlign w:val="bottom"/>
            <w:gridSpan w:val="5"/>
          </w:tcPr>
          <w:p>
            <w:pPr>
              <w:spacing w:after="0"/>
              <w:rPr>
                <w:sz w:val="20"/>
                <w:szCs w:val="20"/>
                <w:color w:val="auto"/>
              </w:rPr>
            </w:pPr>
            <w:r>
              <w:rPr>
                <w:rFonts w:ascii="Times New Roman" w:cs="Times New Roman" w:eastAsia="Times New Roman" w:hAnsi="Times New Roman"/>
                <w:sz w:val="11"/>
                <w:szCs w:val="11"/>
                <w:color w:val="auto"/>
              </w:rPr>
              <w:t>Current liabilities:</w:t>
            </w: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146"/>
        </w:trPr>
        <w:tc>
          <w:tcPr>
            <w:tcW w:w="8480" w:type="dxa"/>
            <w:vAlign w:val="bottom"/>
            <w:gridSpan w:val="5"/>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Accounts payable</w:t>
            </w:r>
          </w:p>
        </w:tc>
        <w:tc>
          <w:tcPr>
            <w:tcW w:w="22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108,454</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105,028</w:t>
            </w:r>
          </w:p>
        </w:tc>
      </w:tr>
      <w:tr>
        <w:trPr>
          <w:trHeight w:val="142"/>
        </w:trPr>
        <w:tc>
          <w:tcPr>
            <w:tcW w:w="8480" w:type="dxa"/>
            <w:vAlign w:val="bottom"/>
            <w:gridSpan w:val="5"/>
          </w:tcPr>
          <w:p>
            <w:pPr>
              <w:ind w:left="220"/>
              <w:spacing w:after="0"/>
              <w:rPr>
                <w:sz w:val="20"/>
                <w:szCs w:val="20"/>
                <w:color w:val="auto"/>
              </w:rPr>
            </w:pPr>
            <w:r>
              <w:rPr>
                <w:rFonts w:ascii="Times New Roman" w:cs="Times New Roman" w:eastAsia="Times New Roman" w:hAnsi="Times New Roman"/>
                <w:sz w:val="11"/>
                <w:szCs w:val="11"/>
                <w:color w:val="auto"/>
              </w:rPr>
              <w:t>Accrued compensation and benefits</w:t>
            </w:r>
          </w:p>
        </w:tc>
        <w:tc>
          <w:tcPr>
            <w:tcW w:w="22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92,253</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92,657</w:t>
            </w:r>
          </w:p>
        </w:tc>
      </w:tr>
      <w:tr>
        <w:trPr>
          <w:trHeight w:val="146"/>
        </w:trPr>
        <w:tc>
          <w:tcPr>
            <w:tcW w:w="8480" w:type="dxa"/>
            <w:vAlign w:val="bottom"/>
            <w:gridSpan w:val="5"/>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Taxes, other than income taxes</w:t>
            </w: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22,308</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21,537</w:t>
            </w:r>
          </w:p>
        </w:tc>
      </w:tr>
      <w:tr>
        <w:trPr>
          <w:trHeight w:val="142"/>
        </w:trPr>
        <w:tc>
          <w:tcPr>
            <w:tcW w:w="8480" w:type="dxa"/>
            <w:vAlign w:val="bottom"/>
            <w:gridSpan w:val="5"/>
          </w:tcPr>
          <w:p>
            <w:pPr>
              <w:ind w:left="220"/>
              <w:spacing w:after="0"/>
              <w:rPr>
                <w:sz w:val="20"/>
                <w:szCs w:val="20"/>
                <w:color w:val="auto"/>
              </w:rPr>
            </w:pPr>
            <w:r>
              <w:rPr>
                <w:rFonts w:ascii="Times New Roman" w:cs="Times New Roman" w:eastAsia="Times New Roman" w:hAnsi="Times New Roman"/>
                <w:sz w:val="11"/>
                <w:szCs w:val="11"/>
                <w:color w:val="auto"/>
              </w:rPr>
              <w:t>Accrued income taxes</w:t>
            </w:r>
          </w:p>
        </w:tc>
        <w:tc>
          <w:tcPr>
            <w:tcW w:w="22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4,787</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5,547</w:t>
            </w:r>
          </w:p>
        </w:tc>
      </w:tr>
      <w:tr>
        <w:trPr>
          <w:trHeight w:val="146"/>
        </w:trPr>
        <w:tc>
          <w:tcPr>
            <w:tcW w:w="8480" w:type="dxa"/>
            <w:vAlign w:val="bottom"/>
            <w:gridSpan w:val="5"/>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Current operating lease liabilities</w:t>
            </w: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16,382</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15,234</w:t>
            </w:r>
          </w:p>
        </w:tc>
      </w:tr>
      <w:tr>
        <w:trPr>
          <w:trHeight w:val="142"/>
        </w:trPr>
        <w:tc>
          <w:tcPr>
            <w:tcW w:w="8480" w:type="dxa"/>
            <w:vAlign w:val="bottom"/>
            <w:tcBorders>
              <w:bottom w:val="single" w:sz="8" w:color="CCEEFF"/>
            </w:tcBorders>
            <w:gridSpan w:val="5"/>
          </w:tcPr>
          <w:p>
            <w:pPr>
              <w:ind w:left="220"/>
              <w:spacing w:after="0"/>
              <w:rPr>
                <w:sz w:val="20"/>
                <w:szCs w:val="20"/>
                <w:color w:val="auto"/>
              </w:rPr>
            </w:pPr>
            <w:r>
              <w:rPr>
                <w:rFonts w:ascii="Times New Roman" w:cs="Times New Roman" w:eastAsia="Times New Roman" w:hAnsi="Times New Roman"/>
                <w:sz w:val="11"/>
                <w:szCs w:val="11"/>
                <w:color w:val="auto"/>
              </w:rPr>
              <w:t>Other current liabilities</w:t>
            </w:r>
          </w:p>
        </w:tc>
        <w:tc>
          <w:tcPr>
            <w:tcW w:w="2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93,620</w:t>
            </w:r>
          </w:p>
        </w:tc>
        <w:tc>
          <w:tcPr>
            <w:tcW w:w="1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90,329</w:t>
            </w:r>
          </w:p>
        </w:tc>
      </w:tr>
      <w:tr>
        <w:trPr>
          <w:trHeight w:val="135"/>
        </w:trPr>
        <w:tc>
          <w:tcPr>
            <w:tcW w:w="8480" w:type="dxa"/>
            <w:vAlign w:val="bottom"/>
            <w:gridSpan w:val="5"/>
            <w:shd w:val="clear" w:color="auto" w:fill="CCEEFF"/>
          </w:tcPr>
          <w:p>
            <w:pPr>
              <w:ind w:left="360"/>
              <w:spacing w:after="0"/>
              <w:rPr>
                <w:sz w:val="20"/>
                <w:szCs w:val="20"/>
                <w:color w:val="auto"/>
              </w:rPr>
            </w:pPr>
            <w:r>
              <w:rPr>
                <w:rFonts w:ascii="Times New Roman" w:cs="Times New Roman" w:eastAsia="Times New Roman" w:hAnsi="Times New Roman"/>
                <w:sz w:val="11"/>
                <w:szCs w:val="11"/>
                <w:color w:val="auto"/>
              </w:rPr>
              <w:t>Total current liabilities</w:t>
            </w:r>
          </w:p>
        </w:tc>
        <w:tc>
          <w:tcPr>
            <w:tcW w:w="220" w:type="dxa"/>
            <w:vAlign w:val="bottom"/>
            <w:shd w:val="clear" w:color="auto" w:fill="CCEEFF"/>
          </w:tcPr>
          <w:p>
            <w:pPr>
              <w:spacing w:after="0"/>
              <w:rPr>
                <w:sz w:val="11"/>
                <w:szCs w:val="1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337,804</w:t>
            </w: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330,332</w:t>
            </w:r>
          </w:p>
        </w:tc>
      </w:tr>
      <w:tr>
        <w:trPr>
          <w:trHeight w:val="142"/>
        </w:trPr>
        <w:tc>
          <w:tcPr>
            <w:tcW w:w="8480" w:type="dxa"/>
            <w:vAlign w:val="bottom"/>
            <w:gridSpan w:val="5"/>
          </w:tcPr>
          <w:p>
            <w:pPr>
              <w:spacing w:after="0"/>
              <w:rPr>
                <w:sz w:val="20"/>
                <w:szCs w:val="20"/>
                <w:color w:val="auto"/>
              </w:rPr>
            </w:pPr>
            <w:r>
              <w:rPr>
                <w:rFonts w:ascii="Times New Roman" w:cs="Times New Roman" w:eastAsia="Times New Roman" w:hAnsi="Times New Roman"/>
                <w:sz w:val="11"/>
                <w:szCs w:val="11"/>
                <w:color w:val="auto"/>
              </w:rPr>
              <w:t>Long-term debt</w:t>
            </w:r>
          </w:p>
        </w:tc>
        <w:tc>
          <w:tcPr>
            <w:tcW w:w="22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26,857</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99,766</w:t>
            </w:r>
          </w:p>
        </w:tc>
      </w:tr>
      <w:tr>
        <w:trPr>
          <w:trHeight w:val="146"/>
        </w:trPr>
        <w:tc>
          <w:tcPr>
            <w:tcW w:w="84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1"/>
                <w:szCs w:val="11"/>
                <w:color w:val="auto"/>
              </w:rPr>
              <w:t>Long-term operating lease liabilities</w:t>
            </w: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45,270</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43,565</w:t>
            </w:r>
          </w:p>
        </w:tc>
      </w:tr>
      <w:tr>
        <w:trPr>
          <w:trHeight w:val="142"/>
        </w:trPr>
        <w:tc>
          <w:tcPr>
            <w:tcW w:w="8480" w:type="dxa"/>
            <w:vAlign w:val="bottom"/>
            <w:tcBorders>
              <w:bottom w:val="single" w:sz="8" w:color="CCEEFF"/>
            </w:tcBorders>
            <w:gridSpan w:val="5"/>
          </w:tcPr>
          <w:p>
            <w:pPr>
              <w:spacing w:after="0"/>
              <w:rPr>
                <w:sz w:val="20"/>
                <w:szCs w:val="20"/>
                <w:color w:val="auto"/>
              </w:rPr>
            </w:pPr>
            <w:r>
              <w:rPr>
                <w:rFonts w:ascii="Times New Roman" w:cs="Times New Roman" w:eastAsia="Times New Roman" w:hAnsi="Times New Roman"/>
                <w:sz w:val="11"/>
                <w:szCs w:val="11"/>
                <w:color w:val="auto"/>
              </w:rPr>
              <w:t>Other liabilities</w:t>
            </w:r>
          </w:p>
        </w:tc>
        <w:tc>
          <w:tcPr>
            <w:tcW w:w="2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78,035</w:t>
            </w:r>
          </w:p>
        </w:tc>
        <w:tc>
          <w:tcPr>
            <w:tcW w:w="1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68,379</w:t>
            </w:r>
          </w:p>
        </w:tc>
      </w:tr>
      <w:tr>
        <w:trPr>
          <w:trHeight w:val="135"/>
        </w:trPr>
        <w:tc>
          <w:tcPr>
            <w:tcW w:w="8480" w:type="dxa"/>
            <w:vAlign w:val="bottom"/>
            <w:gridSpan w:val="5"/>
            <w:shd w:val="clear" w:color="auto" w:fill="CCEEFF"/>
          </w:tcPr>
          <w:p>
            <w:pPr>
              <w:ind w:left="360"/>
              <w:spacing w:after="0"/>
              <w:rPr>
                <w:sz w:val="20"/>
                <w:szCs w:val="20"/>
                <w:color w:val="auto"/>
              </w:rPr>
            </w:pPr>
            <w:r>
              <w:rPr>
                <w:rFonts w:ascii="Times New Roman" w:cs="Times New Roman" w:eastAsia="Times New Roman" w:hAnsi="Times New Roman"/>
                <w:sz w:val="11"/>
                <w:szCs w:val="11"/>
                <w:color w:val="auto"/>
              </w:rPr>
              <w:t>Total liabilities</w:t>
            </w:r>
          </w:p>
        </w:tc>
        <w:tc>
          <w:tcPr>
            <w:tcW w:w="220" w:type="dxa"/>
            <w:vAlign w:val="bottom"/>
            <w:shd w:val="clear" w:color="auto" w:fill="CCEEFF"/>
          </w:tcPr>
          <w:p>
            <w:pPr>
              <w:spacing w:after="0"/>
              <w:rPr>
                <w:sz w:val="11"/>
                <w:szCs w:val="1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487,966</w:t>
            </w: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542,042</w:t>
            </w:r>
          </w:p>
        </w:tc>
      </w:tr>
      <w:tr>
        <w:trPr>
          <w:trHeight w:val="142"/>
        </w:trPr>
        <w:tc>
          <w:tcPr>
            <w:tcW w:w="8480" w:type="dxa"/>
            <w:vAlign w:val="bottom"/>
            <w:gridSpan w:val="5"/>
          </w:tcPr>
          <w:p>
            <w:pPr>
              <w:spacing w:after="0"/>
              <w:rPr>
                <w:sz w:val="20"/>
                <w:szCs w:val="20"/>
                <w:color w:val="auto"/>
              </w:rPr>
            </w:pPr>
            <w:r>
              <w:rPr>
                <w:rFonts w:ascii="Times New Roman" w:cs="Times New Roman" w:eastAsia="Times New Roman" w:hAnsi="Times New Roman"/>
                <w:sz w:val="11"/>
                <w:szCs w:val="11"/>
                <w:color w:val="auto"/>
              </w:rPr>
              <w:t>Stockholders’ equity:</w:t>
            </w: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146"/>
        </w:trPr>
        <w:tc>
          <w:tcPr>
            <w:tcW w:w="8480" w:type="dxa"/>
            <w:vAlign w:val="bottom"/>
            <w:gridSpan w:val="5"/>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Common stock:</w:t>
            </w: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r>
      <w:tr>
        <w:trPr>
          <w:trHeight w:val="142"/>
        </w:trPr>
        <w:tc>
          <w:tcPr>
            <w:tcW w:w="8480" w:type="dxa"/>
            <w:vAlign w:val="bottom"/>
            <w:gridSpan w:val="5"/>
          </w:tcPr>
          <w:p>
            <w:pPr>
              <w:ind w:left="360"/>
              <w:spacing w:after="0"/>
              <w:rPr>
                <w:sz w:val="20"/>
                <w:szCs w:val="20"/>
                <w:color w:val="auto"/>
              </w:rPr>
            </w:pPr>
            <w:r>
              <w:rPr>
                <w:rFonts w:ascii="Times New Roman" w:cs="Times New Roman" w:eastAsia="Times New Roman" w:hAnsi="Times New Roman"/>
                <w:sz w:val="11"/>
                <w:szCs w:val="11"/>
                <w:color w:val="auto"/>
              </w:rPr>
              <w:t>Class A nonvoting common stock—Issued 51,261,487 shares, and outstanding 43,650,910 and 43,530,012 shares, respectively</w:t>
            </w:r>
          </w:p>
        </w:tc>
        <w:tc>
          <w:tcPr>
            <w:tcW w:w="22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513</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513</w:t>
            </w:r>
          </w:p>
        </w:tc>
      </w:tr>
      <w:tr>
        <w:trPr>
          <w:trHeight w:val="146"/>
        </w:trPr>
        <w:tc>
          <w:tcPr>
            <w:tcW w:w="8480" w:type="dxa"/>
            <w:vAlign w:val="bottom"/>
            <w:gridSpan w:val="5"/>
            <w:shd w:val="clear" w:color="auto" w:fill="CCEEFF"/>
          </w:tcPr>
          <w:p>
            <w:pPr>
              <w:ind w:left="360"/>
              <w:spacing w:after="0"/>
              <w:rPr>
                <w:sz w:val="20"/>
                <w:szCs w:val="20"/>
                <w:color w:val="auto"/>
              </w:rPr>
            </w:pPr>
            <w:r>
              <w:rPr>
                <w:rFonts w:ascii="Times New Roman" w:cs="Times New Roman" w:eastAsia="Times New Roman" w:hAnsi="Times New Roman"/>
                <w:sz w:val="11"/>
                <w:szCs w:val="11"/>
                <w:color w:val="auto"/>
              </w:rPr>
              <w:t>Class B voting common stock—Issued and outstanding, 3,538,628 shares</w:t>
            </w: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w:t>
            </w:r>
          </w:p>
        </w:tc>
      </w:tr>
      <w:tr>
        <w:trPr>
          <w:trHeight w:val="142"/>
        </w:trPr>
        <w:tc>
          <w:tcPr>
            <w:tcW w:w="8480" w:type="dxa"/>
            <w:vAlign w:val="bottom"/>
            <w:gridSpan w:val="5"/>
          </w:tcPr>
          <w:p>
            <w:pPr>
              <w:ind w:left="220"/>
              <w:spacing w:after="0"/>
              <w:rPr>
                <w:sz w:val="20"/>
                <w:szCs w:val="20"/>
                <w:color w:val="auto"/>
              </w:rPr>
            </w:pPr>
            <w:r>
              <w:rPr>
                <w:rFonts w:ascii="Times New Roman" w:cs="Times New Roman" w:eastAsia="Times New Roman" w:hAnsi="Times New Roman"/>
                <w:sz w:val="11"/>
                <w:szCs w:val="11"/>
                <w:color w:val="auto"/>
              </w:rPr>
              <w:t>Additional paid-in capital</w:t>
            </w:r>
          </w:p>
        </w:tc>
        <w:tc>
          <w:tcPr>
            <w:tcW w:w="22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363,578</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359,269</w:t>
            </w:r>
          </w:p>
        </w:tc>
      </w:tr>
      <w:tr>
        <w:trPr>
          <w:trHeight w:val="146"/>
        </w:trPr>
        <w:tc>
          <w:tcPr>
            <w:tcW w:w="8480" w:type="dxa"/>
            <w:vAlign w:val="bottom"/>
            <w:gridSpan w:val="5"/>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Retained earnings</w:t>
            </w: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1,442,868</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1,317,739</w:t>
            </w:r>
          </w:p>
        </w:tc>
      </w:tr>
      <w:tr>
        <w:trPr>
          <w:trHeight w:val="142"/>
        </w:trPr>
        <w:tc>
          <w:tcPr>
            <w:tcW w:w="8480" w:type="dxa"/>
            <w:vAlign w:val="bottom"/>
            <w:gridSpan w:val="5"/>
          </w:tcPr>
          <w:p>
            <w:pPr>
              <w:ind w:left="220"/>
              <w:spacing w:after="0"/>
              <w:rPr>
                <w:sz w:val="20"/>
                <w:szCs w:val="20"/>
                <w:color w:val="auto"/>
              </w:rPr>
            </w:pPr>
            <w:r>
              <w:rPr>
                <w:rFonts w:ascii="Times New Roman" w:cs="Times New Roman" w:eastAsia="Times New Roman" w:hAnsi="Times New Roman"/>
                <w:sz w:val="11"/>
                <w:szCs w:val="11"/>
                <w:color w:val="auto"/>
              </w:rPr>
              <w:t>Treasury stock—7,610,577 and 7,731,475 shares, respectively, of Class A nonvoting common stock, at cost</w:t>
            </w:r>
          </w:p>
        </w:tc>
        <w:tc>
          <w:tcPr>
            <w:tcW w:w="22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(393,992)</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(393,186)</w:t>
            </w:r>
          </w:p>
        </w:tc>
      </w:tr>
      <w:tr>
        <w:trPr>
          <w:trHeight w:val="146"/>
        </w:trPr>
        <w:tc>
          <w:tcPr>
            <w:tcW w:w="8480" w:type="dxa"/>
            <w:vAlign w:val="bottom"/>
            <w:gridSpan w:val="5"/>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Accumulated other comprehensive loss</w:t>
            </w:r>
          </w:p>
        </w:tc>
        <w:tc>
          <w:tcPr>
            <w:tcW w:w="220" w:type="dxa"/>
            <w:vAlign w:val="bottom"/>
            <w:tcBorders>
              <w:bottom w:val="single" w:sz="8" w:color="auto"/>
            </w:tcBorders>
            <w:shd w:val="clear" w:color="auto" w:fill="CCEEFF"/>
          </w:tcPr>
          <w:p>
            <w:pPr>
              <w:spacing w:after="0"/>
              <w:rPr>
                <w:sz w:val="12"/>
                <w:szCs w:val="1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(69,017)</w:t>
            </w:r>
          </w:p>
        </w:tc>
        <w:tc>
          <w:tcPr>
            <w:tcW w:w="10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(92,159)</w:t>
            </w:r>
          </w:p>
        </w:tc>
      </w:tr>
      <w:tr>
        <w:trPr>
          <w:trHeight w:val="131"/>
        </w:trPr>
        <w:tc>
          <w:tcPr>
            <w:tcW w:w="8480" w:type="dxa"/>
            <w:vAlign w:val="bottom"/>
            <w:tcBorders>
              <w:bottom w:val="single" w:sz="8" w:color="CCEEFF"/>
            </w:tcBorders>
            <w:gridSpan w:val="5"/>
          </w:tcPr>
          <w:p>
            <w:pPr>
              <w:ind w:left="360"/>
              <w:spacing w:after="0"/>
              <w:rPr>
                <w:sz w:val="20"/>
                <w:szCs w:val="20"/>
                <w:color w:val="auto"/>
              </w:rPr>
            </w:pPr>
            <w:r>
              <w:rPr>
                <w:rFonts w:ascii="Times New Roman" w:cs="Times New Roman" w:eastAsia="Times New Roman" w:hAnsi="Times New Roman"/>
                <w:sz w:val="11"/>
                <w:szCs w:val="11"/>
                <w:color w:val="auto"/>
              </w:rPr>
              <w:t>Total stockholders’ equity</w:t>
            </w:r>
          </w:p>
        </w:tc>
        <w:tc>
          <w:tcPr>
            <w:tcW w:w="22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1,343,985</w:t>
            </w:r>
          </w:p>
        </w:tc>
        <w:tc>
          <w:tcPr>
            <w:tcW w:w="10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1,192,211</w:t>
            </w:r>
          </w:p>
        </w:tc>
      </w:tr>
      <w:tr>
        <w:trPr>
          <w:trHeight w:val="151"/>
        </w:trPr>
        <w:tc>
          <w:tcPr>
            <w:tcW w:w="8480" w:type="dxa"/>
            <w:vAlign w:val="bottom"/>
            <w:tcBorders>
              <w:bottom w:val="single" w:sz="8" w:color="CCEEFF"/>
            </w:tcBorders>
            <w:gridSpan w:val="5"/>
            <w:shd w:val="clear" w:color="auto" w:fill="CCEEFF"/>
          </w:tcPr>
          <w:p>
            <w:pPr>
              <w:spacing w:after="0"/>
              <w:rPr>
                <w:sz w:val="20"/>
                <w:szCs w:val="20"/>
                <w:color w:val="auto"/>
              </w:rPr>
            </w:pPr>
            <w:r>
              <w:rPr>
                <w:rFonts w:ascii="Times New Roman" w:cs="Times New Roman" w:eastAsia="Times New Roman" w:hAnsi="Times New Roman"/>
                <w:sz w:val="11"/>
                <w:szCs w:val="11"/>
                <w:color w:val="auto"/>
              </w:rPr>
              <w:t>Total</w:t>
            </w:r>
          </w:p>
        </w:tc>
        <w:tc>
          <w:tcPr>
            <w:tcW w:w="220" w:type="dxa"/>
            <w:vAlign w:val="bottom"/>
            <w:tcBorders>
              <w:bottom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1,831,951</w:t>
            </w:r>
          </w:p>
        </w:tc>
        <w:tc>
          <w:tcPr>
            <w:tcW w:w="10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1,734,253</w:t>
            </w:r>
          </w:p>
        </w:tc>
      </w:tr>
    </w:tbl>
    <w:p>
      <w:pPr>
        <w:sectPr>
          <w:pgSz w:w="11900" w:h="16838" w:orient="portrait"/>
          <w:cols w:equalWidth="0" w:num="1">
            <w:col w:w="11300"/>
          </w:cols>
          <w:pgMar w:left="300" w:top="560" w:right="2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1"/>
          <w:szCs w:val="11"/>
          <w:b w:val="1"/>
          <w:bCs w:val="1"/>
          <w:color w:val="auto"/>
        </w:rPr>
        <w:t>BRADY CORPORATION AND SUBSIDIARIES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CONSOLIDATED STATEMENTS OF CASH FLOWS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(Unaudited; Dollars 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8480" w:type="dxa"/>
            <w:vAlign w:val="bottom"/>
          </w:tcPr>
          <w:p>
            <w:pPr>
              <w:spacing w:after="0"/>
              <w:rPr>
                <w:sz w:val="12"/>
                <w:szCs w:val="12"/>
                <w:color w:val="auto"/>
              </w:rPr>
            </w:pPr>
          </w:p>
        </w:tc>
        <w:tc>
          <w:tcPr>
            <w:tcW w:w="2300" w:type="dxa"/>
            <w:vAlign w:val="bottom"/>
            <w:tcBorders>
              <w:bottom w:val="single" w:sz="8" w:color="auto"/>
            </w:tcBorders>
            <w:gridSpan w:val="4"/>
          </w:tcPr>
          <w:p>
            <w:pPr>
              <w:jc w:val="right"/>
              <w:ind w:right="206"/>
              <w:spacing w:after="0"/>
              <w:rPr>
                <w:sz w:val="20"/>
                <w:szCs w:val="20"/>
                <w:color w:val="auto"/>
              </w:rPr>
            </w:pPr>
            <w:r>
              <w:rPr>
                <w:rFonts w:ascii="Times New Roman" w:cs="Times New Roman" w:eastAsia="Times New Roman" w:hAnsi="Times New Roman"/>
                <w:sz w:val="11"/>
                <w:szCs w:val="11"/>
                <w:color w:val="auto"/>
              </w:rPr>
              <w:t>Nine months ended April 30,</w:t>
            </w:r>
          </w:p>
        </w:tc>
        <w:tc>
          <w:tcPr>
            <w:tcW w:w="520" w:type="dxa"/>
            <w:vAlign w:val="bottom"/>
            <w:tcBorders>
              <w:bottom w:val="single" w:sz="8" w:color="auto"/>
            </w:tcBorders>
          </w:tcPr>
          <w:p>
            <w:pPr>
              <w:spacing w:after="0"/>
              <w:rPr>
                <w:sz w:val="12"/>
                <w:szCs w:val="12"/>
                <w:color w:val="auto"/>
              </w:rPr>
            </w:pPr>
          </w:p>
        </w:tc>
      </w:tr>
      <w:tr>
        <w:trPr>
          <w:trHeight w:val="133"/>
        </w:trPr>
        <w:tc>
          <w:tcPr>
            <w:tcW w:w="8480" w:type="dxa"/>
            <w:vAlign w:val="bottom"/>
            <w:tcBorders>
              <w:bottom w:val="single" w:sz="8" w:color="CCEEFF"/>
            </w:tcBorders>
          </w:tcPr>
          <w:p>
            <w:pPr>
              <w:spacing w:after="0"/>
              <w:rPr>
                <w:sz w:val="11"/>
                <w:szCs w:val="11"/>
                <w:color w:val="auto"/>
              </w:rPr>
            </w:pPr>
          </w:p>
        </w:tc>
        <w:tc>
          <w:tcPr>
            <w:tcW w:w="86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2026</w:t>
            </w:r>
          </w:p>
        </w:tc>
        <w:tc>
          <w:tcPr>
            <w:tcW w:w="50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84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2025</w:t>
            </w:r>
          </w:p>
        </w:tc>
        <w:tc>
          <w:tcPr>
            <w:tcW w:w="520" w:type="dxa"/>
            <w:vAlign w:val="bottom"/>
            <w:tcBorders>
              <w:bottom w:val="single" w:sz="8" w:color="auto"/>
            </w:tcBorders>
          </w:tcPr>
          <w:p>
            <w:pPr>
              <w:spacing w:after="0"/>
              <w:rPr>
                <w:sz w:val="11"/>
                <w:szCs w:val="11"/>
                <w:color w:val="auto"/>
              </w:rPr>
            </w:pPr>
          </w:p>
        </w:tc>
      </w:tr>
      <w:tr>
        <w:trPr>
          <w:trHeight w:val="126"/>
        </w:trPr>
        <w:tc>
          <w:tcPr>
            <w:tcW w:w="848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Operating activities:</w:t>
            </w:r>
          </w:p>
        </w:tc>
        <w:tc>
          <w:tcPr>
            <w:tcW w:w="8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r>
      <w:tr>
        <w:trPr>
          <w:trHeight w:val="142"/>
        </w:trPr>
        <w:tc>
          <w:tcPr>
            <w:tcW w:w="848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Net income</w:t>
            </w:r>
          </w:p>
        </w:tc>
        <w:tc>
          <w:tcPr>
            <w:tcW w:w="860" w:type="dxa"/>
            <w:vAlign w:val="bottom"/>
          </w:tcPr>
          <w:p>
            <w:pPr>
              <w:jc w:val="right"/>
              <w:ind w:right="726"/>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159,787</w:t>
            </w:r>
          </w:p>
        </w:tc>
        <w:tc>
          <w:tcPr>
            <w:tcW w:w="100" w:type="dxa"/>
            <w:vAlign w:val="bottom"/>
          </w:tcPr>
          <w:p>
            <w:pPr>
              <w:spacing w:after="0"/>
              <w:rPr>
                <w:sz w:val="12"/>
                <w:szCs w:val="12"/>
                <w:color w:val="auto"/>
              </w:rPr>
            </w:pPr>
          </w:p>
        </w:tc>
        <w:tc>
          <w:tcPr>
            <w:tcW w:w="840" w:type="dxa"/>
            <w:vAlign w:val="bottom"/>
          </w:tcPr>
          <w:p>
            <w:pPr>
              <w:jc w:val="right"/>
              <w:ind w:right="726"/>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139,380</w:t>
            </w:r>
          </w:p>
        </w:tc>
      </w:tr>
      <w:tr>
        <w:trPr>
          <w:trHeight w:val="146"/>
        </w:trPr>
        <w:tc>
          <w:tcPr>
            <w:tcW w:w="8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Adjustments to reconcile net income to net cash provided by operating activities:</w:t>
            </w:r>
          </w:p>
        </w:tc>
        <w:tc>
          <w:tcPr>
            <w:tcW w:w="8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r>
      <w:tr>
        <w:trPr>
          <w:trHeight w:val="142"/>
        </w:trPr>
        <w:tc>
          <w:tcPr>
            <w:tcW w:w="8480" w:type="dxa"/>
            <w:vAlign w:val="bottom"/>
          </w:tcPr>
          <w:p>
            <w:pPr>
              <w:ind w:left="440"/>
              <w:spacing w:after="0"/>
              <w:rPr>
                <w:sz w:val="20"/>
                <w:szCs w:val="20"/>
                <w:color w:val="auto"/>
              </w:rPr>
            </w:pPr>
            <w:r>
              <w:rPr>
                <w:rFonts w:ascii="Times New Roman" w:cs="Times New Roman" w:eastAsia="Times New Roman" w:hAnsi="Times New Roman"/>
                <w:sz w:val="11"/>
                <w:szCs w:val="11"/>
                <w:color w:val="auto"/>
              </w:rPr>
              <w:t>Depreciation and amortization</w:t>
            </w:r>
          </w:p>
        </w:tc>
        <w:tc>
          <w:tcPr>
            <w:tcW w:w="8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33,549</w:t>
            </w: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30,279</w:t>
            </w:r>
          </w:p>
        </w:tc>
      </w:tr>
      <w:tr>
        <w:trPr>
          <w:trHeight w:val="146"/>
        </w:trPr>
        <w:tc>
          <w:tcPr>
            <w:tcW w:w="84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rPr>
              <w:t>Stock-based compensation expense</w:t>
            </w:r>
          </w:p>
        </w:tc>
        <w:tc>
          <w:tcPr>
            <w:tcW w:w="8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11,605</w:t>
            </w: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9,762</w:t>
            </w:r>
          </w:p>
        </w:tc>
      </w:tr>
      <w:tr>
        <w:trPr>
          <w:trHeight w:val="142"/>
        </w:trPr>
        <w:tc>
          <w:tcPr>
            <w:tcW w:w="8480" w:type="dxa"/>
            <w:vAlign w:val="bottom"/>
          </w:tcPr>
          <w:p>
            <w:pPr>
              <w:ind w:left="440"/>
              <w:spacing w:after="0"/>
              <w:rPr>
                <w:sz w:val="20"/>
                <w:szCs w:val="20"/>
                <w:color w:val="auto"/>
              </w:rPr>
            </w:pPr>
            <w:r>
              <w:rPr>
                <w:rFonts w:ascii="Times New Roman" w:cs="Times New Roman" w:eastAsia="Times New Roman" w:hAnsi="Times New Roman"/>
                <w:sz w:val="11"/>
                <w:szCs w:val="11"/>
                <w:color w:val="auto"/>
              </w:rPr>
              <w:t>Deferred income taxes</w:t>
            </w:r>
          </w:p>
        </w:tc>
        <w:tc>
          <w:tcPr>
            <w:tcW w:w="8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9,506</w:t>
            </w: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(6,038)</w:t>
            </w:r>
          </w:p>
        </w:tc>
      </w:tr>
      <w:tr>
        <w:trPr>
          <w:trHeight w:val="146"/>
        </w:trPr>
        <w:tc>
          <w:tcPr>
            <w:tcW w:w="84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rPr>
              <w:t>Other</w:t>
            </w:r>
          </w:p>
        </w:tc>
        <w:tc>
          <w:tcPr>
            <w:tcW w:w="8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(4,857)</w:t>
            </w: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(181)</w:t>
            </w:r>
          </w:p>
        </w:tc>
      </w:tr>
      <w:tr>
        <w:trPr>
          <w:trHeight w:val="142"/>
        </w:trPr>
        <w:tc>
          <w:tcPr>
            <w:tcW w:w="8480" w:type="dxa"/>
            <w:vAlign w:val="bottom"/>
          </w:tcPr>
          <w:p>
            <w:pPr>
              <w:ind w:left="440"/>
              <w:spacing w:after="0"/>
              <w:rPr>
                <w:sz w:val="20"/>
                <w:szCs w:val="20"/>
                <w:color w:val="auto"/>
              </w:rPr>
            </w:pPr>
            <w:r>
              <w:rPr>
                <w:rFonts w:ascii="Times New Roman" w:cs="Times New Roman" w:eastAsia="Times New Roman" w:hAnsi="Times New Roman"/>
                <w:sz w:val="11"/>
                <w:szCs w:val="11"/>
                <w:color w:val="auto"/>
              </w:rPr>
              <w:t>Changes in operating assets and liabilities:</w:t>
            </w:r>
          </w:p>
        </w:tc>
        <w:tc>
          <w:tcPr>
            <w:tcW w:w="8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tcPr>
          <w:p>
            <w:pPr>
              <w:spacing w:after="0"/>
              <w:rPr>
                <w:sz w:val="12"/>
                <w:szCs w:val="12"/>
                <w:color w:val="auto"/>
              </w:rPr>
            </w:pPr>
          </w:p>
        </w:tc>
      </w:tr>
      <w:tr>
        <w:trPr>
          <w:trHeight w:val="146"/>
        </w:trPr>
        <w:tc>
          <w:tcPr>
            <w:tcW w:w="848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1"/>
                <w:szCs w:val="11"/>
                <w:color w:val="auto"/>
              </w:rPr>
              <w:t>Accounts receivable</w:t>
            </w:r>
          </w:p>
        </w:tc>
        <w:tc>
          <w:tcPr>
            <w:tcW w:w="8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(28,102)</w:t>
            </w: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(6,869)</w:t>
            </w:r>
          </w:p>
        </w:tc>
      </w:tr>
      <w:tr>
        <w:trPr>
          <w:trHeight w:val="142"/>
        </w:trPr>
        <w:tc>
          <w:tcPr>
            <w:tcW w:w="8480" w:type="dxa"/>
            <w:vAlign w:val="bottom"/>
          </w:tcPr>
          <w:p>
            <w:pPr>
              <w:ind w:left="740"/>
              <w:spacing w:after="0"/>
              <w:rPr>
                <w:sz w:val="20"/>
                <w:szCs w:val="20"/>
                <w:color w:val="auto"/>
              </w:rPr>
            </w:pPr>
            <w:r>
              <w:rPr>
                <w:rFonts w:ascii="Times New Roman" w:cs="Times New Roman" w:eastAsia="Times New Roman" w:hAnsi="Times New Roman"/>
                <w:sz w:val="11"/>
                <w:szCs w:val="11"/>
                <w:color w:val="auto"/>
              </w:rPr>
              <w:t>Inventories</w:t>
            </w:r>
          </w:p>
        </w:tc>
        <w:tc>
          <w:tcPr>
            <w:tcW w:w="8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(12,970)</w:t>
            </w: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(8,209)</w:t>
            </w:r>
          </w:p>
        </w:tc>
      </w:tr>
      <w:tr>
        <w:trPr>
          <w:trHeight w:val="146"/>
        </w:trPr>
        <w:tc>
          <w:tcPr>
            <w:tcW w:w="848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1"/>
                <w:szCs w:val="11"/>
                <w:color w:val="auto"/>
              </w:rPr>
              <w:t>Prepaid expenses and other assets</w:t>
            </w:r>
          </w:p>
        </w:tc>
        <w:tc>
          <w:tcPr>
            <w:tcW w:w="8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(1,098)</w:t>
            </w: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(3,754)</w:t>
            </w:r>
          </w:p>
        </w:tc>
      </w:tr>
      <w:tr>
        <w:trPr>
          <w:trHeight w:val="142"/>
        </w:trPr>
        <w:tc>
          <w:tcPr>
            <w:tcW w:w="8480" w:type="dxa"/>
            <w:vAlign w:val="bottom"/>
          </w:tcPr>
          <w:p>
            <w:pPr>
              <w:ind w:left="740"/>
              <w:spacing w:after="0"/>
              <w:rPr>
                <w:sz w:val="20"/>
                <w:szCs w:val="20"/>
                <w:color w:val="auto"/>
              </w:rPr>
            </w:pPr>
            <w:r>
              <w:rPr>
                <w:rFonts w:ascii="Times New Roman" w:cs="Times New Roman" w:eastAsia="Times New Roman" w:hAnsi="Times New Roman"/>
                <w:sz w:val="11"/>
                <w:szCs w:val="11"/>
                <w:color w:val="auto"/>
              </w:rPr>
              <w:t>Accounts payable and accrued liabilities</w:t>
            </w:r>
          </w:p>
        </w:tc>
        <w:tc>
          <w:tcPr>
            <w:tcW w:w="8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(1,638)</w:t>
            </w: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(26,415)</w:t>
            </w:r>
          </w:p>
        </w:tc>
      </w:tr>
      <w:tr>
        <w:trPr>
          <w:trHeight w:val="146"/>
        </w:trPr>
        <w:tc>
          <w:tcPr>
            <w:tcW w:w="848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1"/>
                <w:szCs w:val="11"/>
                <w:color w:val="auto"/>
              </w:rPr>
              <w:t>Income taxes</w:t>
            </w:r>
          </w:p>
        </w:tc>
        <w:tc>
          <w:tcPr>
            <w:tcW w:w="86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(883)</w:t>
            </w:r>
          </w:p>
        </w:tc>
        <w:tc>
          <w:tcPr>
            <w:tcW w:w="100" w:type="dxa"/>
            <w:vAlign w:val="bottom"/>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(5,081)</w:t>
            </w:r>
          </w:p>
        </w:tc>
      </w:tr>
      <w:tr>
        <w:trPr>
          <w:trHeight w:val="131"/>
        </w:trPr>
        <w:tc>
          <w:tcPr>
            <w:tcW w:w="8480" w:type="dxa"/>
            <w:vAlign w:val="bottom"/>
          </w:tcPr>
          <w:p>
            <w:pPr>
              <w:ind w:left="1000"/>
              <w:spacing w:after="0" w:line="121" w:lineRule="exact"/>
              <w:rPr>
                <w:sz w:val="20"/>
                <w:szCs w:val="20"/>
                <w:color w:val="auto"/>
              </w:rPr>
            </w:pPr>
            <w:r>
              <w:rPr>
                <w:rFonts w:ascii="Times New Roman" w:cs="Times New Roman" w:eastAsia="Times New Roman" w:hAnsi="Times New Roman"/>
                <w:sz w:val="11"/>
                <w:szCs w:val="11"/>
                <w:color w:val="auto"/>
              </w:rPr>
              <w:t>Net cash provided by operating activities</w:t>
            </w:r>
          </w:p>
        </w:tc>
        <w:tc>
          <w:tcPr>
            <w:tcW w:w="86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164,899</w:t>
            </w: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122,874</w:t>
            </w:r>
          </w:p>
        </w:tc>
      </w:tr>
      <w:tr>
        <w:trPr>
          <w:trHeight w:val="173"/>
        </w:trPr>
        <w:tc>
          <w:tcPr>
            <w:tcW w:w="84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r>
      <w:tr>
        <w:trPr>
          <w:trHeight w:val="142"/>
        </w:trPr>
        <w:tc>
          <w:tcPr>
            <w:tcW w:w="8480" w:type="dxa"/>
            <w:vAlign w:val="bottom"/>
          </w:tcPr>
          <w:p>
            <w:pPr>
              <w:spacing w:after="0"/>
              <w:rPr>
                <w:sz w:val="20"/>
                <w:szCs w:val="20"/>
                <w:color w:val="auto"/>
              </w:rPr>
            </w:pPr>
            <w:r>
              <w:rPr>
                <w:rFonts w:ascii="Times New Roman" w:cs="Times New Roman" w:eastAsia="Times New Roman" w:hAnsi="Times New Roman"/>
                <w:sz w:val="11"/>
                <w:szCs w:val="11"/>
                <w:color w:val="auto"/>
              </w:rPr>
              <w:t>Investing activities:</w:t>
            </w:r>
          </w:p>
        </w:tc>
        <w:tc>
          <w:tcPr>
            <w:tcW w:w="8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tcPr>
          <w:p>
            <w:pPr>
              <w:spacing w:after="0"/>
              <w:rPr>
                <w:sz w:val="12"/>
                <w:szCs w:val="12"/>
                <w:color w:val="auto"/>
              </w:rPr>
            </w:pPr>
          </w:p>
        </w:tc>
      </w:tr>
      <w:tr>
        <w:trPr>
          <w:trHeight w:val="146"/>
        </w:trPr>
        <w:tc>
          <w:tcPr>
            <w:tcW w:w="84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rPr>
              <w:t>Purchases of property, plant and equipment</w:t>
            </w:r>
          </w:p>
        </w:tc>
        <w:tc>
          <w:tcPr>
            <w:tcW w:w="8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(32,994)</w:t>
            </w: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(18,685)</w:t>
            </w:r>
          </w:p>
        </w:tc>
      </w:tr>
      <w:tr>
        <w:trPr>
          <w:trHeight w:val="142"/>
        </w:trPr>
        <w:tc>
          <w:tcPr>
            <w:tcW w:w="8480" w:type="dxa"/>
            <w:vAlign w:val="bottom"/>
          </w:tcPr>
          <w:p>
            <w:pPr>
              <w:ind w:left="440"/>
              <w:spacing w:after="0"/>
              <w:rPr>
                <w:sz w:val="20"/>
                <w:szCs w:val="20"/>
                <w:color w:val="auto"/>
              </w:rPr>
            </w:pPr>
            <w:r>
              <w:rPr>
                <w:rFonts w:ascii="Times New Roman" w:cs="Times New Roman" w:eastAsia="Times New Roman" w:hAnsi="Times New Roman"/>
                <w:sz w:val="11"/>
                <w:szCs w:val="11"/>
                <w:color w:val="auto"/>
              </w:rPr>
              <w:t>Acquisition of businesses, net of cash acquired</w:t>
            </w:r>
          </w:p>
        </w:tc>
        <w:tc>
          <w:tcPr>
            <w:tcW w:w="8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(17,416)</w:t>
            </w: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(147,248)</w:t>
            </w:r>
          </w:p>
        </w:tc>
      </w:tr>
      <w:tr>
        <w:trPr>
          <w:trHeight w:val="146"/>
        </w:trPr>
        <w:tc>
          <w:tcPr>
            <w:tcW w:w="84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rPr>
              <w:t>Other</w:t>
            </w:r>
          </w:p>
        </w:tc>
        <w:tc>
          <w:tcPr>
            <w:tcW w:w="86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6,848</w:t>
            </w:r>
          </w:p>
        </w:tc>
        <w:tc>
          <w:tcPr>
            <w:tcW w:w="100" w:type="dxa"/>
            <w:vAlign w:val="bottom"/>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854</w:t>
            </w:r>
          </w:p>
        </w:tc>
      </w:tr>
      <w:tr>
        <w:trPr>
          <w:trHeight w:val="131"/>
        </w:trPr>
        <w:tc>
          <w:tcPr>
            <w:tcW w:w="8480" w:type="dxa"/>
            <w:vAlign w:val="bottom"/>
          </w:tcPr>
          <w:p>
            <w:pPr>
              <w:ind w:left="1000"/>
              <w:spacing w:after="0" w:line="121" w:lineRule="exact"/>
              <w:rPr>
                <w:sz w:val="20"/>
                <w:szCs w:val="20"/>
                <w:color w:val="auto"/>
              </w:rPr>
            </w:pPr>
            <w:r>
              <w:rPr>
                <w:rFonts w:ascii="Times New Roman" w:cs="Times New Roman" w:eastAsia="Times New Roman" w:hAnsi="Times New Roman"/>
                <w:sz w:val="11"/>
                <w:szCs w:val="11"/>
                <w:color w:val="auto"/>
              </w:rPr>
              <w:t>Net cash used in investing activities</w:t>
            </w:r>
          </w:p>
        </w:tc>
        <w:tc>
          <w:tcPr>
            <w:tcW w:w="86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(43,562)</w:t>
            </w: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(165,079)</w:t>
            </w:r>
          </w:p>
        </w:tc>
      </w:tr>
      <w:tr>
        <w:trPr>
          <w:trHeight w:val="173"/>
        </w:trPr>
        <w:tc>
          <w:tcPr>
            <w:tcW w:w="84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r>
      <w:tr>
        <w:trPr>
          <w:trHeight w:val="142"/>
        </w:trPr>
        <w:tc>
          <w:tcPr>
            <w:tcW w:w="8480" w:type="dxa"/>
            <w:vAlign w:val="bottom"/>
          </w:tcPr>
          <w:p>
            <w:pPr>
              <w:spacing w:after="0"/>
              <w:rPr>
                <w:sz w:val="20"/>
                <w:szCs w:val="20"/>
                <w:color w:val="auto"/>
              </w:rPr>
            </w:pPr>
            <w:r>
              <w:rPr>
                <w:rFonts w:ascii="Times New Roman" w:cs="Times New Roman" w:eastAsia="Times New Roman" w:hAnsi="Times New Roman"/>
                <w:sz w:val="11"/>
                <w:szCs w:val="11"/>
                <w:color w:val="auto"/>
              </w:rPr>
              <w:t>Financing activities:</w:t>
            </w:r>
          </w:p>
        </w:tc>
        <w:tc>
          <w:tcPr>
            <w:tcW w:w="8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tcPr>
          <w:p>
            <w:pPr>
              <w:spacing w:after="0"/>
              <w:rPr>
                <w:sz w:val="12"/>
                <w:szCs w:val="12"/>
                <w:color w:val="auto"/>
              </w:rPr>
            </w:pPr>
          </w:p>
        </w:tc>
      </w:tr>
      <w:tr>
        <w:trPr>
          <w:trHeight w:val="146"/>
        </w:trPr>
        <w:tc>
          <w:tcPr>
            <w:tcW w:w="84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rPr>
              <w:t>Payment of dividends</w:t>
            </w:r>
          </w:p>
        </w:tc>
        <w:tc>
          <w:tcPr>
            <w:tcW w:w="8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(34,658)</w:t>
            </w: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(34,237)</w:t>
            </w:r>
          </w:p>
        </w:tc>
      </w:tr>
      <w:tr>
        <w:trPr>
          <w:trHeight w:val="142"/>
        </w:trPr>
        <w:tc>
          <w:tcPr>
            <w:tcW w:w="8480" w:type="dxa"/>
            <w:vAlign w:val="bottom"/>
          </w:tcPr>
          <w:p>
            <w:pPr>
              <w:ind w:left="440"/>
              <w:spacing w:after="0"/>
              <w:rPr>
                <w:sz w:val="20"/>
                <w:szCs w:val="20"/>
                <w:color w:val="auto"/>
              </w:rPr>
            </w:pPr>
            <w:r>
              <w:rPr>
                <w:rFonts w:ascii="Times New Roman" w:cs="Times New Roman" w:eastAsia="Times New Roman" w:hAnsi="Times New Roman"/>
                <w:sz w:val="11"/>
                <w:szCs w:val="11"/>
                <w:color w:val="auto"/>
              </w:rPr>
              <w:t>Proceeds from exercise of stock options</w:t>
            </w:r>
          </w:p>
        </w:tc>
        <w:tc>
          <w:tcPr>
            <w:tcW w:w="8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9,168</w:t>
            </w: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5,759</w:t>
            </w:r>
          </w:p>
        </w:tc>
      </w:tr>
      <w:tr>
        <w:trPr>
          <w:trHeight w:val="146"/>
        </w:trPr>
        <w:tc>
          <w:tcPr>
            <w:tcW w:w="84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rPr>
              <w:t>Payments for employee taxes withheld from stock-based awards</w:t>
            </w:r>
          </w:p>
        </w:tc>
        <w:tc>
          <w:tcPr>
            <w:tcW w:w="8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(3,406)</w:t>
            </w: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(2,518)</w:t>
            </w:r>
          </w:p>
        </w:tc>
      </w:tr>
      <w:tr>
        <w:trPr>
          <w:trHeight w:val="142"/>
        </w:trPr>
        <w:tc>
          <w:tcPr>
            <w:tcW w:w="8480" w:type="dxa"/>
            <w:vAlign w:val="bottom"/>
          </w:tcPr>
          <w:p>
            <w:pPr>
              <w:ind w:left="440"/>
              <w:spacing w:after="0"/>
              <w:rPr>
                <w:sz w:val="20"/>
                <w:szCs w:val="20"/>
                <w:color w:val="auto"/>
              </w:rPr>
            </w:pPr>
            <w:r>
              <w:rPr>
                <w:rFonts w:ascii="Times New Roman" w:cs="Times New Roman" w:eastAsia="Times New Roman" w:hAnsi="Times New Roman"/>
                <w:sz w:val="11"/>
                <w:szCs w:val="11"/>
                <w:color w:val="auto"/>
              </w:rPr>
              <w:t>Purchase of treasury stock</w:t>
            </w:r>
          </w:p>
        </w:tc>
        <w:tc>
          <w:tcPr>
            <w:tcW w:w="8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(14,130)</w:t>
            </w: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(33,155)</w:t>
            </w:r>
          </w:p>
        </w:tc>
      </w:tr>
      <w:tr>
        <w:trPr>
          <w:trHeight w:val="146"/>
        </w:trPr>
        <w:tc>
          <w:tcPr>
            <w:tcW w:w="84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rPr>
              <w:t>Proceeds from borrowing on credit agreement</w:t>
            </w:r>
          </w:p>
        </w:tc>
        <w:tc>
          <w:tcPr>
            <w:tcW w:w="8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73,500</w:t>
            </w: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206,249</w:t>
            </w:r>
          </w:p>
        </w:tc>
      </w:tr>
      <w:tr>
        <w:trPr>
          <w:trHeight w:val="142"/>
        </w:trPr>
        <w:tc>
          <w:tcPr>
            <w:tcW w:w="8480" w:type="dxa"/>
            <w:vAlign w:val="bottom"/>
          </w:tcPr>
          <w:p>
            <w:pPr>
              <w:ind w:left="440"/>
              <w:spacing w:after="0"/>
              <w:rPr>
                <w:sz w:val="20"/>
                <w:szCs w:val="20"/>
                <w:color w:val="auto"/>
              </w:rPr>
            </w:pPr>
            <w:r>
              <w:rPr>
                <w:rFonts w:ascii="Times New Roman" w:cs="Times New Roman" w:eastAsia="Times New Roman" w:hAnsi="Times New Roman"/>
                <w:sz w:val="11"/>
                <w:szCs w:val="11"/>
                <w:color w:val="auto"/>
              </w:rPr>
              <w:t>Repayment of borrowing on credit agreement</w:t>
            </w:r>
          </w:p>
        </w:tc>
        <w:tc>
          <w:tcPr>
            <w:tcW w:w="8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(146,409)</w:t>
            </w: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(194,365)</w:t>
            </w:r>
          </w:p>
        </w:tc>
      </w:tr>
      <w:tr>
        <w:trPr>
          <w:trHeight w:val="146"/>
        </w:trPr>
        <w:tc>
          <w:tcPr>
            <w:tcW w:w="84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rPr>
              <w:t>Other</w:t>
            </w:r>
          </w:p>
        </w:tc>
        <w:tc>
          <w:tcPr>
            <w:tcW w:w="86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(9,534)</w:t>
            </w:r>
          </w:p>
        </w:tc>
        <w:tc>
          <w:tcPr>
            <w:tcW w:w="100" w:type="dxa"/>
            <w:vAlign w:val="bottom"/>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190</w:t>
            </w:r>
          </w:p>
        </w:tc>
      </w:tr>
      <w:tr>
        <w:trPr>
          <w:trHeight w:val="131"/>
        </w:trPr>
        <w:tc>
          <w:tcPr>
            <w:tcW w:w="8480" w:type="dxa"/>
            <w:vAlign w:val="bottom"/>
          </w:tcPr>
          <w:p>
            <w:pPr>
              <w:ind w:left="1000"/>
              <w:spacing w:after="0" w:line="121" w:lineRule="exact"/>
              <w:rPr>
                <w:sz w:val="20"/>
                <w:szCs w:val="20"/>
                <w:color w:val="auto"/>
              </w:rPr>
            </w:pPr>
            <w:r>
              <w:rPr>
                <w:rFonts w:ascii="Times New Roman" w:cs="Times New Roman" w:eastAsia="Times New Roman" w:hAnsi="Times New Roman"/>
                <w:sz w:val="11"/>
                <w:szCs w:val="11"/>
                <w:color w:val="auto"/>
              </w:rPr>
              <w:t>Net cash used in financing activities</w:t>
            </w:r>
          </w:p>
        </w:tc>
        <w:tc>
          <w:tcPr>
            <w:tcW w:w="86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(125,469)</w:t>
            </w: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(52,077)</w:t>
            </w:r>
          </w:p>
        </w:tc>
      </w:tr>
      <w:tr>
        <w:trPr>
          <w:trHeight w:val="173"/>
        </w:trPr>
        <w:tc>
          <w:tcPr>
            <w:tcW w:w="84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r>
      <w:tr>
        <w:trPr>
          <w:trHeight w:val="142"/>
        </w:trPr>
        <w:tc>
          <w:tcPr>
            <w:tcW w:w="84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1"/>
                <w:szCs w:val="11"/>
                <w:color w:val="auto"/>
              </w:rPr>
              <w:t>Effect of exchange rate changes on cash and cash equivalents</w:t>
            </w:r>
          </w:p>
        </w:tc>
        <w:tc>
          <w:tcPr>
            <w:tcW w:w="8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5,274</w:t>
            </w:r>
          </w:p>
        </w:tc>
        <w:tc>
          <w:tcPr>
            <w:tcW w:w="10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(3,682)</w:t>
            </w:r>
          </w:p>
        </w:tc>
      </w:tr>
      <w:tr>
        <w:trPr>
          <w:trHeight w:val="153"/>
        </w:trPr>
        <w:tc>
          <w:tcPr>
            <w:tcW w:w="84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r>
      <w:tr>
        <w:trPr>
          <w:trHeight w:val="142"/>
        </w:trPr>
        <w:tc>
          <w:tcPr>
            <w:tcW w:w="8480" w:type="dxa"/>
            <w:vAlign w:val="bottom"/>
          </w:tcPr>
          <w:p>
            <w:pPr>
              <w:spacing w:after="0"/>
              <w:rPr>
                <w:sz w:val="20"/>
                <w:szCs w:val="20"/>
                <w:color w:val="auto"/>
              </w:rPr>
            </w:pPr>
            <w:r>
              <w:rPr>
                <w:rFonts w:ascii="Times New Roman" w:cs="Times New Roman" w:eastAsia="Times New Roman" w:hAnsi="Times New Roman"/>
                <w:sz w:val="11"/>
                <w:szCs w:val="11"/>
                <w:color w:val="auto"/>
              </w:rPr>
              <w:t>Net increase (decrease) in cash and cash equivalents</w:t>
            </w:r>
          </w:p>
        </w:tc>
        <w:tc>
          <w:tcPr>
            <w:tcW w:w="8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1,142</w:t>
            </w: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(97,964)</w:t>
            </w:r>
          </w:p>
        </w:tc>
      </w:tr>
      <w:tr>
        <w:trPr>
          <w:trHeight w:val="144"/>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Cash and cash equivalents, beginning of period</w:t>
            </w:r>
          </w:p>
        </w:tc>
        <w:tc>
          <w:tcPr>
            <w:tcW w:w="86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174,349</w:t>
            </w:r>
          </w:p>
        </w:tc>
        <w:tc>
          <w:tcPr>
            <w:tcW w:w="100" w:type="dxa"/>
            <w:vAlign w:val="bottom"/>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250,118</w:t>
            </w:r>
          </w:p>
        </w:tc>
      </w:tr>
      <w:tr>
        <w:trPr>
          <w:trHeight w:val="153"/>
        </w:trPr>
        <w:tc>
          <w:tcPr>
            <w:tcW w:w="84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20" w:type="dxa"/>
            <w:vAlign w:val="bottom"/>
          </w:tcPr>
          <w:p>
            <w:pPr>
              <w:spacing w:after="0"/>
              <w:rPr>
                <w:sz w:val="13"/>
                <w:szCs w:val="13"/>
                <w:color w:val="auto"/>
              </w:rPr>
            </w:pPr>
          </w:p>
        </w:tc>
      </w:tr>
      <w:tr>
        <w:trPr>
          <w:trHeight w:val="160"/>
        </w:trPr>
        <w:tc>
          <w:tcPr>
            <w:tcW w:w="8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Cash and cash equivalents, end of period</w:t>
            </w:r>
          </w:p>
        </w:tc>
        <w:tc>
          <w:tcPr>
            <w:tcW w:w="860" w:type="dxa"/>
            <w:vAlign w:val="bottom"/>
            <w:tcBorders>
              <w:bottom w:val="single" w:sz="8" w:color="auto"/>
            </w:tcBorders>
            <w:shd w:val="clear" w:color="auto" w:fill="CCEEFF"/>
          </w:tcPr>
          <w:p>
            <w:pPr>
              <w:jc w:val="right"/>
              <w:ind w:right="726"/>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175,491</w:t>
            </w:r>
          </w:p>
        </w:tc>
        <w:tc>
          <w:tcPr>
            <w:tcW w:w="10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ind w:right="726"/>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152,154</w:t>
            </w:r>
          </w:p>
        </w:tc>
      </w:tr>
    </w:tbl>
    <w:p>
      <w:pPr>
        <w:sectPr>
          <w:pgSz w:w="11900" w:h="16838" w:orient="portrait"/>
          <w:cols w:equalWidth="0" w:num="1">
            <w:col w:w="11300"/>
          </w:cols>
          <w:pgMar w:left="300" w:top="560" w:right="29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1"/>
          <w:szCs w:val="11"/>
          <w:b w:val="1"/>
          <w:bCs w:val="1"/>
          <w:color w:val="auto"/>
        </w:rPr>
        <w:t>BRADY CORPORATION AND SUBSIDIARIES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SEGMENT INFORMATION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(Unaudited; Dollars in thousands)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5360" w:type="dxa"/>
            <w:vAlign w:val="bottom"/>
          </w:tcPr>
          <w:p>
            <w:pPr>
              <w:spacing w:after="0"/>
              <w:rPr>
                <w:sz w:val="12"/>
                <w:szCs w:val="12"/>
                <w:color w:val="auto"/>
              </w:rPr>
            </w:pPr>
          </w:p>
        </w:tc>
        <w:tc>
          <w:tcPr>
            <w:tcW w:w="2360" w:type="dxa"/>
            <w:vAlign w:val="bottom"/>
            <w:tcBorders>
              <w:bottom w:val="single" w:sz="8" w:color="auto"/>
            </w:tcBorders>
            <w:gridSpan w:val="4"/>
          </w:tcPr>
          <w:p>
            <w:pPr>
              <w:jc w:val="right"/>
              <w:ind w:right="206"/>
              <w:spacing w:after="0"/>
              <w:rPr>
                <w:sz w:val="20"/>
                <w:szCs w:val="20"/>
                <w:color w:val="auto"/>
              </w:rPr>
            </w:pPr>
            <w:r>
              <w:rPr>
                <w:rFonts w:ascii="Times New Roman" w:cs="Times New Roman" w:eastAsia="Times New Roman" w:hAnsi="Times New Roman"/>
                <w:sz w:val="11"/>
                <w:szCs w:val="11"/>
                <w:color w:val="auto"/>
              </w:rPr>
              <w:t>Three months ended April 30,</w:t>
            </w:r>
          </w:p>
        </w:tc>
        <w:tc>
          <w:tcPr>
            <w:tcW w:w="56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7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color w:val="auto"/>
              </w:rPr>
              <w:t>Nine months ended April 30,</w:t>
            </w:r>
          </w:p>
        </w:tc>
        <w:tc>
          <w:tcPr>
            <w:tcW w:w="840" w:type="dxa"/>
            <w:vAlign w:val="bottom"/>
            <w:tcBorders>
              <w:bottom w:val="single" w:sz="8" w:color="auto"/>
            </w:tcBorders>
          </w:tcPr>
          <w:p>
            <w:pPr>
              <w:spacing w:after="0"/>
              <w:rPr>
                <w:sz w:val="12"/>
                <w:szCs w:val="12"/>
                <w:color w:val="auto"/>
              </w:rPr>
            </w:pPr>
          </w:p>
        </w:tc>
      </w:tr>
      <w:tr>
        <w:trPr>
          <w:trHeight w:val="151"/>
        </w:trPr>
        <w:tc>
          <w:tcPr>
            <w:tcW w:w="5360" w:type="dxa"/>
            <w:vAlign w:val="bottom"/>
            <w:tcBorders>
              <w:bottom w:val="single" w:sz="8" w:color="CCEEFF"/>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2026</w:t>
            </w:r>
          </w:p>
        </w:tc>
        <w:tc>
          <w:tcPr>
            <w:tcW w:w="54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2025</w:t>
            </w:r>
          </w:p>
        </w:tc>
        <w:tc>
          <w:tcPr>
            <w:tcW w:w="56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46"/>
              <w:spacing w:after="0"/>
              <w:rPr>
                <w:sz w:val="20"/>
                <w:szCs w:val="20"/>
                <w:color w:val="auto"/>
              </w:rPr>
            </w:pPr>
            <w:r>
              <w:rPr>
                <w:rFonts w:ascii="Times New Roman" w:cs="Times New Roman" w:eastAsia="Times New Roman" w:hAnsi="Times New Roman"/>
                <w:sz w:val="11"/>
                <w:szCs w:val="11"/>
                <w:color w:val="auto"/>
              </w:rPr>
              <w:t>2026</w:t>
            </w:r>
          </w:p>
        </w:tc>
        <w:tc>
          <w:tcPr>
            <w:tcW w:w="100" w:type="dxa"/>
            <w:vAlign w:val="bottom"/>
            <w:tcBorders>
              <w:bottom w:val="single" w:sz="8" w:color="CCEEFF"/>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546"/>
              <w:spacing w:after="0"/>
              <w:rPr>
                <w:sz w:val="20"/>
                <w:szCs w:val="20"/>
                <w:color w:val="auto"/>
              </w:rPr>
            </w:pPr>
            <w:r>
              <w:rPr>
                <w:rFonts w:ascii="Times New Roman" w:cs="Times New Roman" w:eastAsia="Times New Roman" w:hAnsi="Times New Roman"/>
                <w:sz w:val="11"/>
                <w:szCs w:val="11"/>
                <w:color w:val="auto"/>
                <w:w w:val="99"/>
              </w:rPr>
              <w:t>2025</w:t>
            </w:r>
          </w:p>
        </w:tc>
      </w:tr>
      <w:tr>
        <w:trPr>
          <w:trHeight w:val="126"/>
        </w:trPr>
        <w:tc>
          <w:tcPr>
            <w:tcW w:w="536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1"/>
                <w:szCs w:val="11"/>
                <w:b w:val="1"/>
                <w:bCs w:val="1"/>
                <w:color w:val="auto"/>
              </w:rPr>
              <w:t>NET SALES</w:t>
            </w:r>
          </w:p>
        </w:tc>
        <w:tc>
          <w:tcPr>
            <w:tcW w:w="8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r>
      <w:tr>
        <w:trPr>
          <w:trHeight w:val="142"/>
        </w:trPr>
        <w:tc>
          <w:tcPr>
            <w:tcW w:w="536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Americas &amp; Asia</w:t>
            </w:r>
          </w:p>
        </w:tc>
        <w:tc>
          <w:tcPr>
            <w:tcW w:w="860" w:type="dxa"/>
            <w:vAlign w:val="bottom"/>
          </w:tcPr>
          <w:p>
            <w:pPr>
              <w:jc w:val="right"/>
              <w:ind w:right="746"/>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290,055</w:t>
            </w:r>
          </w:p>
        </w:tc>
        <w:tc>
          <w:tcPr>
            <w:tcW w:w="100" w:type="dxa"/>
            <w:vAlign w:val="bottom"/>
          </w:tcPr>
          <w:p>
            <w:pPr>
              <w:spacing w:after="0"/>
              <w:rPr>
                <w:sz w:val="12"/>
                <w:szCs w:val="12"/>
                <w:color w:val="auto"/>
              </w:rPr>
            </w:pPr>
          </w:p>
        </w:tc>
        <w:tc>
          <w:tcPr>
            <w:tcW w:w="860" w:type="dxa"/>
            <w:vAlign w:val="bottom"/>
          </w:tcPr>
          <w:p>
            <w:pPr>
              <w:jc w:val="right"/>
              <w:ind w:right="746"/>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253,652</w:t>
            </w:r>
          </w:p>
        </w:tc>
        <w:tc>
          <w:tcPr>
            <w:tcW w:w="80" w:type="dxa"/>
            <w:vAlign w:val="bottom"/>
          </w:tcPr>
          <w:p>
            <w:pPr>
              <w:spacing w:after="0"/>
              <w:rPr>
                <w:sz w:val="12"/>
                <w:szCs w:val="12"/>
                <w:color w:val="auto"/>
              </w:rPr>
            </w:pPr>
          </w:p>
        </w:tc>
        <w:tc>
          <w:tcPr>
            <w:tcW w:w="340" w:type="dxa"/>
            <w:vAlign w:val="bottom"/>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810,552</w:t>
            </w:r>
          </w:p>
        </w:tc>
        <w:tc>
          <w:tcPr>
            <w:tcW w:w="100" w:type="dxa"/>
            <w:vAlign w:val="bottom"/>
          </w:tcPr>
          <w:p>
            <w:pPr>
              <w:spacing w:after="0"/>
              <w:rPr>
                <w:sz w:val="12"/>
                <w:szCs w:val="12"/>
                <w:color w:val="auto"/>
              </w:rPr>
            </w:pPr>
          </w:p>
        </w:tc>
        <w:tc>
          <w:tcPr>
            <w:tcW w:w="580" w:type="dxa"/>
            <w:vAlign w:val="bottom"/>
          </w:tcPr>
          <w:p>
            <w:pPr>
              <w:jc w:val="right"/>
              <w:ind w:right="466"/>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732,926</w:t>
            </w:r>
          </w:p>
        </w:tc>
      </w:tr>
      <w:tr>
        <w:trPr>
          <w:trHeight w:val="144"/>
        </w:trPr>
        <w:tc>
          <w:tcPr>
            <w:tcW w:w="5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Europe &amp; Australia</w:t>
            </w:r>
          </w:p>
        </w:tc>
        <w:tc>
          <w:tcPr>
            <w:tcW w:w="86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145,182</w:t>
            </w:r>
          </w:p>
        </w:tc>
        <w:tc>
          <w:tcPr>
            <w:tcW w:w="100" w:type="dxa"/>
            <w:vAlign w:val="bottom"/>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128,938</w:t>
            </w:r>
          </w:p>
        </w:tc>
        <w:tc>
          <w:tcPr>
            <w:tcW w:w="80" w:type="dxa"/>
            <w:vAlign w:val="bottom"/>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414,109</w:t>
            </w:r>
          </w:p>
        </w:tc>
        <w:tc>
          <w:tcPr>
            <w:tcW w:w="100" w:type="dxa"/>
            <w:vAlign w:val="bottom"/>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383,404</w:t>
            </w:r>
          </w:p>
        </w:tc>
      </w:tr>
      <w:tr>
        <w:trPr>
          <w:trHeight w:val="151"/>
        </w:trPr>
        <w:tc>
          <w:tcPr>
            <w:tcW w:w="53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1"/>
                <w:szCs w:val="11"/>
                <w:color w:val="auto"/>
              </w:rPr>
              <w:t>Total</w:t>
            </w:r>
          </w:p>
        </w:tc>
        <w:tc>
          <w:tcPr>
            <w:tcW w:w="860" w:type="dxa"/>
            <w:vAlign w:val="bottom"/>
            <w:tcBorders>
              <w:bottom w:val="single" w:sz="8" w:color="auto"/>
            </w:tcBorders>
          </w:tcPr>
          <w:p>
            <w:pPr>
              <w:jc w:val="right"/>
              <w:ind w:right="746"/>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435,237</w:t>
            </w:r>
          </w:p>
        </w:tc>
        <w:tc>
          <w:tcPr>
            <w:tcW w:w="100" w:type="dxa"/>
            <w:vAlign w:val="bottom"/>
            <w:tcBorders>
              <w:bottom w:val="single" w:sz="8" w:color="CCEEFF"/>
            </w:tcBorders>
          </w:tcPr>
          <w:p>
            <w:pPr>
              <w:spacing w:after="0"/>
              <w:rPr>
                <w:sz w:val="13"/>
                <w:szCs w:val="13"/>
                <w:color w:val="auto"/>
              </w:rPr>
            </w:pPr>
          </w:p>
        </w:tc>
        <w:tc>
          <w:tcPr>
            <w:tcW w:w="860" w:type="dxa"/>
            <w:vAlign w:val="bottom"/>
            <w:tcBorders>
              <w:bottom w:val="single" w:sz="8" w:color="auto"/>
            </w:tcBorders>
          </w:tcPr>
          <w:p>
            <w:pPr>
              <w:jc w:val="right"/>
              <w:ind w:right="746"/>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color w:val="auto"/>
              </w:rPr>
              <w:t>382,590</w:t>
            </w:r>
          </w:p>
        </w:tc>
        <w:tc>
          <w:tcPr>
            <w:tcW w:w="8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color w:val="auto"/>
              </w:rPr>
              <w:t>1,224,661</w:t>
            </w:r>
          </w:p>
        </w:tc>
        <w:tc>
          <w:tcPr>
            <w:tcW w:w="100" w:type="dxa"/>
            <w:vAlign w:val="bottom"/>
            <w:tcBorders>
              <w:bottom w:val="single" w:sz="8" w:color="CCEEFF"/>
            </w:tcBorders>
          </w:tcPr>
          <w:p>
            <w:pPr>
              <w:spacing w:after="0"/>
              <w:rPr>
                <w:sz w:val="13"/>
                <w:szCs w:val="13"/>
                <w:color w:val="auto"/>
              </w:rPr>
            </w:pPr>
          </w:p>
        </w:tc>
        <w:tc>
          <w:tcPr>
            <w:tcW w:w="580" w:type="dxa"/>
            <w:vAlign w:val="bottom"/>
            <w:tcBorders>
              <w:bottom w:val="single" w:sz="8" w:color="auto"/>
            </w:tcBorders>
          </w:tcPr>
          <w:p>
            <w:pPr>
              <w:jc w:val="right"/>
              <w:ind w:right="466"/>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color w:val="auto"/>
              </w:rPr>
              <w:t>1,116,330</w:t>
            </w:r>
          </w:p>
        </w:tc>
      </w:tr>
      <w:tr>
        <w:trPr>
          <w:trHeight w:val="153"/>
        </w:trPr>
        <w:tc>
          <w:tcPr>
            <w:tcW w:w="53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536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SALES INFORMATION</w:t>
            </w:r>
          </w:p>
        </w:tc>
        <w:tc>
          <w:tcPr>
            <w:tcW w:w="8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45"/>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b w:val="1"/>
                <w:bCs w:val="1"/>
                <w:i w:val="1"/>
                <w:iCs w:val="1"/>
                <w:color w:val="auto"/>
              </w:rPr>
              <w:t>Americas &amp; Asia</w:t>
            </w:r>
          </w:p>
        </w:tc>
        <w:tc>
          <w:tcPr>
            <w:tcW w:w="8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r>
      <w:tr>
        <w:trPr>
          <w:trHeight w:val="142"/>
        </w:trPr>
        <w:tc>
          <w:tcPr>
            <w:tcW w:w="536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Organic</w:t>
            </w:r>
          </w:p>
        </w:tc>
        <w:tc>
          <w:tcPr>
            <w:tcW w:w="8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10.1 %</w:t>
            </w: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5.4 %</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6.0 %</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5.0 %</w:t>
            </w:r>
          </w:p>
        </w:tc>
      </w:tr>
      <w:tr>
        <w:trPr>
          <w:trHeight w:val="146"/>
        </w:trPr>
        <w:tc>
          <w:tcPr>
            <w:tcW w:w="5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Acquisitions</w:t>
            </w:r>
          </w:p>
        </w:tc>
        <w:tc>
          <w:tcPr>
            <w:tcW w:w="8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3.1 %</w:t>
            </w: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8.6 %</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3.9 %</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7.9 %</w:t>
            </w:r>
          </w:p>
        </w:tc>
      </w:tr>
      <w:tr>
        <w:trPr>
          <w:trHeight w:val="142"/>
        </w:trPr>
        <w:tc>
          <w:tcPr>
            <w:tcW w:w="536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Currency</w:t>
            </w:r>
          </w:p>
        </w:tc>
        <w:tc>
          <w:tcPr>
            <w:tcW w:w="8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1.2 %</w:t>
            </w: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0.7 %</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w:t>
            </w:r>
          </w:p>
        </w:tc>
      </w:tr>
      <w:tr>
        <w:trPr>
          <w:trHeight w:val="144"/>
        </w:trPr>
        <w:tc>
          <w:tcPr>
            <w:tcW w:w="5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Divestiture</w:t>
            </w:r>
          </w:p>
        </w:tc>
        <w:tc>
          <w:tcPr>
            <w:tcW w:w="8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1"/>
                <w:szCs w:val="11"/>
                <w:color w:val="auto"/>
              </w:rPr>
              <w:t>— %</w:t>
            </w:r>
          </w:p>
        </w:tc>
        <w:tc>
          <w:tcPr>
            <w:tcW w:w="9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 %</w:t>
            </w:r>
          </w:p>
        </w:tc>
        <w:tc>
          <w:tcPr>
            <w:tcW w:w="34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1"/>
                <w:szCs w:val="11"/>
                <w:color w:val="auto"/>
              </w:rPr>
              <w:t>— %</w:t>
            </w:r>
          </w:p>
        </w:tc>
        <w:tc>
          <w:tcPr>
            <w:tcW w:w="5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(0.5)%</w:t>
            </w:r>
          </w:p>
        </w:tc>
      </w:tr>
      <w:tr>
        <w:trPr>
          <w:trHeight w:val="151"/>
        </w:trPr>
        <w:tc>
          <w:tcPr>
            <w:tcW w:w="53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1"/>
                <w:szCs w:val="11"/>
                <w:color w:val="auto"/>
              </w:rPr>
              <w:t>Total</w:t>
            </w:r>
          </w:p>
        </w:tc>
        <w:tc>
          <w:tcPr>
            <w:tcW w:w="88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14.4 %</w:t>
            </w:r>
          </w:p>
        </w:tc>
        <w:tc>
          <w:tcPr>
            <w:tcW w:w="100" w:type="dxa"/>
            <w:vAlign w:val="bottom"/>
            <w:tcBorders>
              <w:bottom w:val="single" w:sz="8" w:color="CCEEFF"/>
            </w:tcBorders>
          </w:tcPr>
          <w:p>
            <w:pPr>
              <w:spacing w:after="0"/>
              <w:rPr>
                <w:sz w:val="13"/>
                <w:szCs w:val="13"/>
                <w:color w:val="auto"/>
              </w:rPr>
            </w:pPr>
          </w:p>
        </w:tc>
        <w:tc>
          <w:tcPr>
            <w:tcW w:w="90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12.9 %</w:t>
            </w:r>
          </w:p>
        </w:tc>
        <w:tc>
          <w:tcPr>
            <w:tcW w:w="80" w:type="dxa"/>
            <w:vAlign w:val="bottom"/>
            <w:tcBorders>
              <w:bottom w:val="single" w:sz="8" w:color="CCEEFF"/>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10.6 %</w:t>
            </w:r>
          </w:p>
        </w:tc>
        <w:tc>
          <w:tcPr>
            <w:tcW w:w="100" w:type="dxa"/>
            <w:vAlign w:val="bottom"/>
            <w:tcBorders>
              <w:bottom w:val="single" w:sz="8" w:color="CCEEFF"/>
            </w:tcBorders>
          </w:tcPr>
          <w:p>
            <w:pPr>
              <w:spacing w:after="0"/>
              <w:rPr>
                <w:sz w:val="13"/>
                <w:szCs w:val="13"/>
                <w:color w:val="auto"/>
              </w:rPr>
            </w:pPr>
          </w:p>
        </w:tc>
        <w:tc>
          <w:tcPr>
            <w:tcW w:w="58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11.4 %</w:t>
            </w:r>
          </w:p>
        </w:tc>
      </w:tr>
      <w:tr>
        <w:trPr>
          <w:trHeight w:val="126"/>
        </w:trPr>
        <w:tc>
          <w:tcPr>
            <w:tcW w:w="536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1"/>
                <w:szCs w:val="11"/>
                <w:b w:val="1"/>
                <w:bCs w:val="1"/>
                <w:i w:val="1"/>
                <w:iCs w:val="1"/>
                <w:color w:val="auto"/>
              </w:rPr>
              <w:t>Europe &amp; Australia</w:t>
            </w:r>
          </w:p>
        </w:tc>
        <w:tc>
          <w:tcPr>
            <w:tcW w:w="8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r>
      <w:tr>
        <w:trPr>
          <w:trHeight w:val="142"/>
        </w:trPr>
        <w:tc>
          <w:tcPr>
            <w:tcW w:w="536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Organic</w:t>
            </w:r>
          </w:p>
        </w:tc>
        <w:tc>
          <w:tcPr>
            <w:tcW w:w="8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4.5 %</w:t>
            </w: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(5.4)%</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0.9 %</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w:t>
            </w:r>
          </w:p>
        </w:tc>
      </w:tr>
      <w:tr>
        <w:trPr>
          <w:trHeight w:val="146"/>
        </w:trPr>
        <w:tc>
          <w:tcPr>
            <w:tcW w:w="5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Acquisitions</w:t>
            </w:r>
          </w:p>
        </w:tc>
        <w:tc>
          <w:tcPr>
            <w:tcW w:w="8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1"/>
                <w:szCs w:val="11"/>
                <w:color w:val="auto"/>
              </w:rPr>
              <w:t>— %</w:t>
            </w:r>
          </w:p>
        </w:tc>
        <w:tc>
          <w:tcPr>
            <w:tcW w:w="9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14.2 %</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1"/>
                <w:szCs w:val="11"/>
                <w:color w:val="auto"/>
              </w:rPr>
              <w:t>— %</w:t>
            </w:r>
          </w:p>
        </w:tc>
        <w:tc>
          <w:tcPr>
            <w:tcW w:w="5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14.8 %</w:t>
            </w:r>
          </w:p>
        </w:tc>
      </w:tr>
      <w:tr>
        <w:trPr>
          <w:trHeight w:val="142"/>
        </w:trPr>
        <w:tc>
          <w:tcPr>
            <w:tcW w:w="53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1"/>
                <w:szCs w:val="11"/>
                <w:color w:val="auto"/>
              </w:rPr>
              <w:t>Currency</w:t>
            </w:r>
          </w:p>
        </w:tc>
        <w:tc>
          <w:tcPr>
            <w:tcW w:w="8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8.1 %</w:t>
            </w:r>
          </w:p>
        </w:tc>
        <w:tc>
          <w:tcPr>
            <w:tcW w:w="100" w:type="dxa"/>
            <w:vAlign w:val="bottom"/>
            <w:tcBorders>
              <w:bottom w:val="single" w:sz="8" w:color="CCEEFF"/>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(0.1)%</w:t>
            </w:r>
          </w:p>
        </w:tc>
        <w:tc>
          <w:tcPr>
            <w:tcW w:w="8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7.1 %</w:t>
            </w:r>
          </w:p>
        </w:tc>
        <w:tc>
          <w:tcPr>
            <w:tcW w:w="10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(0.1)%</w:t>
            </w:r>
          </w:p>
        </w:tc>
      </w:tr>
      <w:tr>
        <w:trPr>
          <w:trHeight w:val="155"/>
        </w:trPr>
        <w:tc>
          <w:tcPr>
            <w:tcW w:w="53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Total</w:t>
            </w:r>
          </w:p>
        </w:tc>
        <w:tc>
          <w:tcPr>
            <w:tcW w:w="880" w:type="dxa"/>
            <w:vAlign w:val="bottom"/>
            <w:tcBorders>
              <w:bottom w:val="single" w:sz="8" w:color="auto"/>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12.6 %</w:t>
            </w:r>
          </w:p>
        </w:tc>
        <w:tc>
          <w:tcPr>
            <w:tcW w:w="10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8.7 %</w:t>
            </w:r>
          </w:p>
        </w:tc>
        <w:tc>
          <w:tcPr>
            <w:tcW w:w="8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8.0 %</w:t>
            </w:r>
          </w:p>
        </w:tc>
        <w:tc>
          <w:tcPr>
            <w:tcW w:w="10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12.8 %</w:t>
            </w:r>
          </w:p>
        </w:tc>
      </w:tr>
      <w:tr>
        <w:trPr>
          <w:trHeight w:val="121"/>
        </w:trPr>
        <w:tc>
          <w:tcPr>
            <w:tcW w:w="5360" w:type="dxa"/>
            <w:vAlign w:val="bottom"/>
          </w:tcPr>
          <w:p>
            <w:pPr>
              <w:spacing w:after="0" w:line="121" w:lineRule="exact"/>
              <w:rPr>
                <w:sz w:val="20"/>
                <w:szCs w:val="20"/>
                <w:color w:val="auto"/>
              </w:rPr>
            </w:pPr>
            <w:r>
              <w:rPr>
                <w:rFonts w:ascii="Times New Roman" w:cs="Times New Roman" w:eastAsia="Times New Roman" w:hAnsi="Times New Roman"/>
                <w:sz w:val="11"/>
                <w:szCs w:val="11"/>
                <w:b w:val="1"/>
                <w:bCs w:val="1"/>
                <w:i w:val="1"/>
                <w:iCs w:val="1"/>
                <w:color w:val="auto"/>
              </w:rPr>
              <w:t>Total Company</w:t>
            </w:r>
          </w:p>
        </w:tc>
        <w:tc>
          <w:tcPr>
            <w:tcW w:w="8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40" w:type="dxa"/>
            <w:vAlign w:val="bottom"/>
          </w:tcPr>
          <w:p>
            <w:pPr>
              <w:spacing w:after="0"/>
              <w:rPr>
                <w:sz w:val="10"/>
                <w:szCs w:val="10"/>
                <w:color w:val="auto"/>
              </w:rPr>
            </w:pPr>
          </w:p>
        </w:tc>
      </w:tr>
      <w:tr>
        <w:trPr>
          <w:trHeight w:val="145"/>
        </w:trPr>
        <w:tc>
          <w:tcPr>
            <w:tcW w:w="5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Organic</w:t>
            </w:r>
          </w:p>
        </w:tc>
        <w:tc>
          <w:tcPr>
            <w:tcW w:w="8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8.2 %</w:t>
            </w: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1.6 %</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4.3 %</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2.6 %</w:t>
            </w:r>
          </w:p>
        </w:tc>
      </w:tr>
      <w:tr>
        <w:trPr>
          <w:trHeight w:val="142"/>
        </w:trPr>
        <w:tc>
          <w:tcPr>
            <w:tcW w:w="536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Acquisitions</w:t>
            </w:r>
          </w:p>
        </w:tc>
        <w:tc>
          <w:tcPr>
            <w:tcW w:w="8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2.1 %</w:t>
            </w: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10.5 %</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2.5 %</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10.2 %</w:t>
            </w:r>
          </w:p>
        </w:tc>
      </w:tr>
      <w:tr>
        <w:trPr>
          <w:trHeight w:val="146"/>
        </w:trPr>
        <w:tc>
          <w:tcPr>
            <w:tcW w:w="5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Currency</w:t>
            </w:r>
          </w:p>
        </w:tc>
        <w:tc>
          <w:tcPr>
            <w:tcW w:w="8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3.5 %</w:t>
            </w: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(0.7)%</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2.9 %</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(0.5)%</w:t>
            </w:r>
          </w:p>
        </w:tc>
      </w:tr>
      <w:tr>
        <w:trPr>
          <w:trHeight w:val="142"/>
        </w:trPr>
        <w:tc>
          <w:tcPr>
            <w:tcW w:w="536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Divestiture</w:t>
            </w:r>
          </w:p>
        </w:tc>
        <w:tc>
          <w:tcPr>
            <w:tcW w:w="880" w:type="dxa"/>
            <w:vAlign w:val="bottom"/>
          </w:tcPr>
          <w:p>
            <w:pPr>
              <w:spacing w:after="0"/>
              <w:rPr>
                <w:sz w:val="12"/>
                <w:szCs w:val="12"/>
                <w:color w:val="auto"/>
              </w:rPr>
            </w:pPr>
          </w:p>
        </w:tc>
        <w:tc>
          <w:tcPr>
            <w:tcW w:w="62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auto"/>
              </w:rPr>
              <w:t>— %</w:t>
            </w:r>
          </w:p>
        </w:tc>
        <w:tc>
          <w:tcPr>
            <w:tcW w:w="900" w:type="dxa"/>
            <w:vAlign w:val="bottom"/>
          </w:tcPr>
          <w:p>
            <w:pPr>
              <w:spacing w:after="0"/>
              <w:rPr>
                <w:sz w:val="12"/>
                <w:szCs w:val="12"/>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 %</w:t>
            </w:r>
          </w:p>
        </w:tc>
        <w:tc>
          <w:tcPr>
            <w:tcW w:w="340" w:type="dxa"/>
            <w:vAlign w:val="bottom"/>
          </w:tcPr>
          <w:p>
            <w:pPr>
              <w:spacing w:after="0"/>
              <w:rPr>
                <w:sz w:val="12"/>
                <w:szCs w:val="12"/>
                <w:color w:val="auto"/>
              </w:rPr>
            </w:pPr>
          </w:p>
        </w:tc>
        <w:tc>
          <w:tcPr>
            <w:tcW w:w="1180" w:type="dxa"/>
            <w:vAlign w:val="bottom"/>
            <w:gridSpan w:val="2"/>
          </w:tcPr>
          <w:p>
            <w:pPr>
              <w:ind w:left="840"/>
              <w:spacing w:after="0"/>
              <w:rPr>
                <w:sz w:val="20"/>
                <w:szCs w:val="20"/>
                <w:color w:val="auto"/>
              </w:rPr>
            </w:pPr>
            <w:r>
              <w:rPr>
                <w:rFonts w:ascii="Times New Roman" w:cs="Times New Roman" w:eastAsia="Times New Roman" w:hAnsi="Times New Roman"/>
                <w:sz w:val="11"/>
                <w:szCs w:val="11"/>
                <w:color w:val="auto"/>
              </w:rPr>
              <w:t>— %</w:t>
            </w:r>
          </w:p>
        </w:tc>
        <w:tc>
          <w:tcPr>
            <w:tcW w:w="58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(0.4)%</w:t>
            </w:r>
          </w:p>
        </w:tc>
      </w:tr>
      <w:tr>
        <w:trPr>
          <w:trHeight w:val="151"/>
        </w:trPr>
        <w:tc>
          <w:tcPr>
            <w:tcW w:w="536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Total</w:t>
            </w:r>
          </w:p>
        </w:tc>
        <w:tc>
          <w:tcPr>
            <w:tcW w:w="880" w:type="dxa"/>
            <w:vAlign w:val="bottom"/>
            <w:tcBorders>
              <w:top w:val="single" w:sz="8" w:color="auto"/>
              <w:bottom w:val="single" w:sz="8" w:color="auto"/>
            </w:tcBorders>
            <w:shd w:val="clear" w:color="auto" w:fill="CCEEFF"/>
          </w:tcPr>
          <w:p>
            <w:pPr>
              <w:spacing w:after="0"/>
              <w:rPr>
                <w:sz w:val="13"/>
                <w:szCs w:val="13"/>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13.8 %</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900" w:type="dxa"/>
            <w:vAlign w:val="bottom"/>
            <w:tcBorders>
              <w:top w:val="single" w:sz="8" w:color="auto"/>
              <w:bottom w:val="single" w:sz="8" w:color="auto"/>
            </w:tcBorders>
            <w:shd w:val="clear" w:color="auto" w:fill="CCEEFF"/>
          </w:tcPr>
          <w:p>
            <w:pPr>
              <w:spacing w:after="0"/>
              <w:rPr>
                <w:sz w:val="13"/>
                <w:szCs w:val="13"/>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11.4 %</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340" w:type="dxa"/>
            <w:vAlign w:val="bottom"/>
            <w:tcBorders>
              <w:top w:val="single" w:sz="8" w:color="auto"/>
              <w:bottom w:val="single" w:sz="8" w:color="auto"/>
            </w:tcBorders>
            <w:shd w:val="clear" w:color="auto" w:fill="CCEEFF"/>
          </w:tcPr>
          <w:p>
            <w:pPr>
              <w:spacing w:after="0"/>
              <w:rPr>
                <w:sz w:val="13"/>
                <w:szCs w:val="13"/>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9.7 %</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580" w:type="dxa"/>
            <w:vAlign w:val="bottom"/>
            <w:tcBorders>
              <w:top w:val="single" w:sz="8" w:color="auto"/>
              <w:bottom w:val="single" w:sz="8" w:color="auto"/>
            </w:tcBorders>
            <w:shd w:val="clear" w:color="auto" w:fill="CCEEFF"/>
          </w:tcPr>
          <w:p>
            <w:pPr>
              <w:spacing w:after="0"/>
              <w:rPr>
                <w:sz w:val="13"/>
                <w:szCs w:val="13"/>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11.9 %</w:t>
            </w:r>
          </w:p>
        </w:tc>
      </w:tr>
      <w:tr>
        <w:trPr>
          <w:trHeight w:val="153"/>
        </w:trPr>
        <w:tc>
          <w:tcPr>
            <w:tcW w:w="5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144"/>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SEGMENT PROFIT</w:t>
            </w:r>
          </w:p>
        </w:tc>
        <w:tc>
          <w:tcPr>
            <w:tcW w:w="8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r>
      <w:tr>
        <w:trPr>
          <w:trHeight w:val="142"/>
        </w:trPr>
        <w:tc>
          <w:tcPr>
            <w:tcW w:w="536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Americas &amp; Asia</w:t>
            </w:r>
          </w:p>
        </w:tc>
        <w:tc>
          <w:tcPr>
            <w:tcW w:w="880" w:type="dxa"/>
            <w:vAlign w:val="bottom"/>
          </w:tcPr>
          <w:p>
            <w:pPr>
              <w:jc w:val="right"/>
              <w:ind w:right="766"/>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68,730</w:t>
            </w:r>
          </w:p>
        </w:tc>
        <w:tc>
          <w:tcPr>
            <w:tcW w:w="100" w:type="dxa"/>
            <w:vAlign w:val="bottom"/>
          </w:tcPr>
          <w:p>
            <w:pPr>
              <w:spacing w:after="0"/>
              <w:rPr>
                <w:sz w:val="12"/>
                <w:szCs w:val="12"/>
                <w:color w:val="auto"/>
              </w:rPr>
            </w:pPr>
          </w:p>
        </w:tc>
        <w:tc>
          <w:tcPr>
            <w:tcW w:w="900" w:type="dxa"/>
            <w:vAlign w:val="bottom"/>
          </w:tcPr>
          <w:p>
            <w:pPr>
              <w:jc w:val="right"/>
              <w:ind w:right="786"/>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57,164</w:t>
            </w:r>
          </w:p>
        </w:tc>
        <w:tc>
          <w:tcPr>
            <w:tcW w:w="80" w:type="dxa"/>
            <w:vAlign w:val="bottom"/>
          </w:tcPr>
          <w:p>
            <w:pPr>
              <w:spacing w:after="0"/>
              <w:rPr>
                <w:sz w:val="12"/>
                <w:szCs w:val="12"/>
                <w:color w:val="auto"/>
              </w:rPr>
            </w:pPr>
          </w:p>
        </w:tc>
        <w:tc>
          <w:tcPr>
            <w:tcW w:w="340" w:type="dxa"/>
            <w:vAlign w:val="bottom"/>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182,344</w:t>
            </w:r>
          </w:p>
        </w:tc>
        <w:tc>
          <w:tcPr>
            <w:tcW w:w="100" w:type="dxa"/>
            <w:vAlign w:val="bottom"/>
          </w:tcPr>
          <w:p>
            <w:pPr>
              <w:spacing w:after="0"/>
              <w:rPr>
                <w:sz w:val="12"/>
                <w:szCs w:val="12"/>
                <w:color w:val="auto"/>
              </w:rPr>
            </w:pPr>
          </w:p>
        </w:tc>
        <w:tc>
          <w:tcPr>
            <w:tcW w:w="580" w:type="dxa"/>
            <w:vAlign w:val="bottom"/>
          </w:tcPr>
          <w:p>
            <w:pPr>
              <w:jc w:val="right"/>
              <w:ind w:right="466"/>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158,148</w:t>
            </w:r>
          </w:p>
        </w:tc>
      </w:tr>
      <w:tr>
        <w:trPr>
          <w:trHeight w:val="144"/>
        </w:trPr>
        <w:tc>
          <w:tcPr>
            <w:tcW w:w="5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Europe &amp; Australia</w:t>
            </w:r>
          </w:p>
        </w:tc>
        <w:tc>
          <w:tcPr>
            <w:tcW w:w="88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21,470</w:t>
            </w:r>
          </w:p>
        </w:tc>
        <w:tc>
          <w:tcPr>
            <w:tcW w:w="100" w:type="dxa"/>
            <w:vAlign w:val="bottom"/>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17,478</w:t>
            </w:r>
          </w:p>
        </w:tc>
        <w:tc>
          <w:tcPr>
            <w:tcW w:w="80" w:type="dxa"/>
            <w:vAlign w:val="bottom"/>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55,624</w:t>
            </w:r>
          </w:p>
        </w:tc>
        <w:tc>
          <w:tcPr>
            <w:tcW w:w="100" w:type="dxa"/>
            <w:vAlign w:val="bottom"/>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41,872</w:t>
            </w:r>
          </w:p>
        </w:tc>
      </w:tr>
      <w:tr>
        <w:trPr>
          <w:trHeight w:val="151"/>
        </w:trPr>
        <w:tc>
          <w:tcPr>
            <w:tcW w:w="53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1"/>
                <w:szCs w:val="11"/>
                <w:color w:val="auto"/>
              </w:rPr>
              <w:t>Total segment profit</w:t>
            </w:r>
          </w:p>
        </w:tc>
        <w:tc>
          <w:tcPr>
            <w:tcW w:w="880" w:type="dxa"/>
            <w:vAlign w:val="bottom"/>
            <w:tcBorders>
              <w:bottom w:val="single" w:sz="8" w:color="auto"/>
            </w:tcBorders>
          </w:tcPr>
          <w:p>
            <w:pPr>
              <w:jc w:val="right"/>
              <w:ind w:right="766"/>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90,200</w:t>
            </w:r>
          </w:p>
        </w:tc>
        <w:tc>
          <w:tcPr>
            <w:tcW w:w="100" w:type="dxa"/>
            <w:vAlign w:val="bottom"/>
            <w:tcBorders>
              <w:bottom w:val="single" w:sz="8" w:color="CCEEFF"/>
            </w:tcBorders>
          </w:tcPr>
          <w:p>
            <w:pPr>
              <w:spacing w:after="0"/>
              <w:rPr>
                <w:sz w:val="13"/>
                <w:szCs w:val="13"/>
                <w:color w:val="auto"/>
              </w:rPr>
            </w:pPr>
          </w:p>
        </w:tc>
        <w:tc>
          <w:tcPr>
            <w:tcW w:w="900" w:type="dxa"/>
            <w:vAlign w:val="bottom"/>
            <w:tcBorders>
              <w:bottom w:val="single" w:sz="8" w:color="auto"/>
            </w:tcBorders>
          </w:tcPr>
          <w:p>
            <w:pPr>
              <w:jc w:val="right"/>
              <w:ind w:right="786"/>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color w:val="auto"/>
              </w:rPr>
              <w:t>74,642</w:t>
            </w:r>
          </w:p>
        </w:tc>
        <w:tc>
          <w:tcPr>
            <w:tcW w:w="8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color w:val="auto"/>
              </w:rPr>
              <w:t>237,968</w:t>
            </w:r>
          </w:p>
        </w:tc>
        <w:tc>
          <w:tcPr>
            <w:tcW w:w="100" w:type="dxa"/>
            <w:vAlign w:val="bottom"/>
            <w:tcBorders>
              <w:bottom w:val="single" w:sz="8" w:color="CCEEFF"/>
            </w:tcBorders>
          </w:tcPr>
          <w:p>
            <w:pPr>
              <w:spacing w:after="0"/>
              <w:rPr>
                <w:sz w:val="13"/>
                <w:szCs w:val="13"/>
                <w:color w:val="auto"/>
              </w:rPr>
            </w:pPr>
          </w:p>
        </w:tc>
        <w:tc>
          <w:tcPr>
            <w:tcW w:w="580" w:type="dxa"/>
            <w:vAlign w:val="bottom"/>
            <w:tcBorders>
              <w:bottom w:val="single" w:sz="8" w:color="auto"/>
            </w:tcBorders>
          </w:tcPr>
          <w:p>
            <w:pPr>
              <w:jc w:val="right"/>
              <w:ind w:right="466"/>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color w:val="auto"/>
              </w:rPr>
              <w:t>200,020</w:t>
            </w:r>
          </w:p>
        </w:tc>
      </w:tr>
      <w:tr>
        <w:trPr>
          <w:trHeight w:val="126"/>
        </w:trPr>
        <w:tc>
          <w:tcPr>
            <w:tcW w:w="536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1"/>
                <w:szCs w:val="11"/>
                <w:b w:val="1"/>
                <w:bCs w:val="1"/>
                <w:color w:val="auto"/>
              </w:rPr>
              <w:t>SEGMENT PROFIT AS A PERCENT OF NET SALES</w:t>
            </w:r>
          </w:p>
        </w:tc>
        <w:tc>
          <w:tcPr>
            <w:tcW w:w="8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r>
      <w:tr>
        <w:trPr>
          <w:trHeight w:val="142"/>
        </w:trPr>
        <w:tc>
          <w:tcPr>
            <w:tcW w:w="536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Americas &amp; Asia</w:t>
            </w:r>
          </w:p>
        </w:tc>
        <w:tc>
          <w:tcPr>
            <w:tcW w:w="8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23.7 %</w:t>
            </w: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22.5 %</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22.5 %</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21.6 %</w:t>
            </w:r>
          </w:p>
        </w:tc>
      </w:tr>
      <w:tr>
        <w:trPr>
          <w:trHeight w:val="144"/>
        </w:trPr>
        <w:tc>
          <w:tcPr>
            <w:tcW w:w="5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Europe &amp; Australia</w:t>
            </w:r>
          </w:p>
        </w:tc>
        <w:tc>
          <w:tcPr>
            <w:tcW w:w="88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14.8 %</w:t>
            </w:r>
          </w:p>
        </w:tc>
        <w:tc>
          <w:tcPr>
            <w:tcW w:w="100" w:type="dxa"/>
            <w:vAlign w:val="bottom"/>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13.6 %</w:t>
            </w:r>
          </w:p>
        </w:tc>
        <w:tc>
          <w:tcPr>
            <w:tcW w:w="80" w:type="dxa"/>
            <w:vAlign w:val="bottom"/>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13.4 %</w:t>
            </w:r>
          </w:p>
        </w:tc>
        <w:tc>
          <w:tcPr>
            <w:tcW w:w="100" w:type="dxa"/>
            <w:vAlign w:val="bottom"/>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10.9 %</w:t>
            </w:r>
          </w:p>
        </w:tc>
      </w:tr>
      <w:tr>
        <w:trPr>
          <w:trHeight w:val="135"/>
        </w:trPr>
        <w:tc>
          <w:tcPr>
            <w:tcW w:w="536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Total</w:t>
            </w:r>
          </w:p>
        </w:tc>
        <w:tc>
          <w:tcPr>
            <w:tcW w:w="8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20.7 %</w:t>
            </w:r>
          </w:p>
        </w:tc>
        <w:tc>
          <w:tcPr>
            <w:tcW w:w="100" w:type="dxa"/>
            <w:vAlign w:val="bottom"/>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19.5 %</w:t>
            </w:r>
          </w:p>
        </w:tc>
        <w:tc>
          <w:tcPr>
            <w:tcW w:w="8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19.4 %</w:t>
            </w:r>
          </w:p>
        </w:tc>
        <w:tc>
          <w:tcPr>
            <w:tcW w:w="10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17.9 %</w:t>
            </w:r>
          </w:p>
        </w:tc>
      </w:tr>
      <w:tr>
        <w:trPr>
          <w:trHeight w:val="20"/>
        </w:trPr>
        <w:tc>
          <w:tcPr>
            <w:tcW w:w="5360" w:type="dxa"/>
            <w:vAlign w:val="bottom"/>
          </w:tcPr>
          <w:p>
            <w:pPr>
              <w:spacing w:after="0" w:line="20" w:lineRule="exact"/>
              <w:rPr>
                <w:sz w:val="1"/>
                <w:szCs w:val="1"/>
                <w:color w:val="auto"/>
              </w:rPr>
            </w:pPr>
          </w:p>
        </w:tc>
        <w:tc>
          <w:tcPr>
            <w:tcW w:w="14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469"/>
        </w:trPr>
        <w:tc>
          <w:tcPr>
            <w:tcW w:w="5360" w:type="dxa"/>
            <w:vAlign w:val="bottom"/>
          </w:tcPr>
          <w:p>
            <w:pPr>
              <w:spacing w:after="0"/>
              <w:rPr>
                <w:sz w:val="24"/>
                <w:szCs w:val="24"/>
                <w:color w:val="auto"/>
              </w:rPr>
            </w:pPr>
          </w:p>
        </w:tc>
        <w:tc>
          <w:tcPr>
            <w:tcW w:w="2400" w:type="dxa"/>
            <w:vAlign w:val="bottom"/>
            <w:tcBorders>
              <w:bottom w:val="single" w:sz="8" w:color="auto"/>
            </w:tcBorders>
            <w:gridSpan w:val="4"/>
          </w:tcPr>
          <w:p>
            <w:pPr>
              <w:jc w:val="right"/>
              <w:ind w:right="246"/>
              <w:spacing w:after="0"/>
              <w:rPr>
                <w:sz w:val="20"/>
                <w:szCs w:val="20"/>
                <w:color w:val="auto"/>
              </w:rPr>
            </w:pPr>
            <w:r>
              <w:rPr>
                <w:rFonts w:ascii="Times New Roman" w:cs="Times New Roman" w:eastAsia="Times New Roman" w:hAnsi="Times New Roman"/>
                <w:sz w:val="11"/>
                <w:szCs w:val="11"/>
                <w:color w:val="auto"/>
              </w:rPr>
              <w:t>Three months ended April 30,</w:t>
            </w:r>
          </w:p>
        </w:tc>
        <w:tc>
          <w:tcPr>
            <w:tcW w:w="5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color w:val="auto"/>
              </w:rPr>
              <w:t>Nine months ended April 30,</w:t>
            </w:r>
          </w:p>
        </w:tc>
        <w:tc>
          <w:tcPr>
            <w:tcW w:w="840" w:type="dxa"/>
            <w:vAlign w:val="bottom"/>
            <w:tcBorders>
              <w:bottom w:val="single" w:sz="8" w:color="auto"/>
            </w:tcBorders>
          </w:tcPr>
          <w:p>
            <w:pPr>
              <w:spacing w:after="0"/>
              <w:rPr>
                <w:sz w:val="24"/>
                <w:szCs w:val="24"/>
                <w:color w:val="auto"/>
              </w:rPr>
            </w:pPr>
          </w:p>
        </w:tc>
      </w:tr>
      <w:tr>
        <w:trPr>
          <w:trHeight w:val="151"/>
        </w:trPr>
        <w:tc>
          <w:tcPr>
            <w:tcW w:w="5360" w:type="dxa"/>
            <w:vAlign w:val="bottom"/>
            <w:tcBorders>
              <w:bottom w:val="single" w:sz="8" w:color="CCEEFF"/>
            </w:tcBorders>
          </w:tcPr>
          <w:p>
            <w:pPr>
              <w:spacing w:after="0"/>
              <w:rPr>
                <w:sz w:val="13"/>
                <w:szCs w:val="13"/>
                <w:color w:val="auto"/>
              </w:rPr>
            </w:pPr>
          </w:p>
        </w:tc>
        <w:tc>
          <w:tcPr>
            <w:tcW w:w="88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2026</w:t>
            </w:r>
          </w:p>
        </w:tc>
        <w:tc>
          <w:tcPr>
            <w:tcW w:w="52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90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2025</w:t>
            </w:r>
          </w:p>
        </w:tc>
        <w:tc>
          <w:tcPr>
            <w:tcW w:w="5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46"/>
              <w:spacing w:after="0"/>
              <w:rPr>
                <w:sz w:val="20"/>
                <w:szCs w:val="20"/>
                <w:color w:val="auto"/>
              </w:rPr>
            </w:pPr>
            <w:r>
              <w:rPr>
                <w:rFonts w:ascii="Times New Roman" w:cs="Times New Roman" w:eastAsia="Times New Roman" w:hAnsi="Times New Roman"/>
                <w:sz w:val="11"/>
                <w:szCs w:val="11"/>
                <w:color w:val="auto"/>
              </w:rPr>
              <w:t>2026</w:t>
            </w:r>
          </w:p>
        </w:tc>
        <w:tc>
          <w:tcPr>
            <w:tcW w:w="100" w:type="dxa"/>
            <w:vAlign w:val="bottom"/>
            <w:tcBorders>
              <w:bottom w:val="single" w:sz="8" w:color="CCEEFF"/>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546"/>
              <w:spacing w:after="0"/>
              <w:rPr>
                <w:sz w:val="20"/>
                <w:szCs w:val="20"/>
                <w:color w:val="auto"/>
              </w:rPr>
            </w:pPr>
            <w:r>
              <w:rPr>
                <w:rFonts w:ascii="Times New Roman" w:cs="Times New Roman" w:eastAsia="Times New Roman" w:hAnsi="Times New Roman"/>
                <w:sz w:val="11"/>
                <w:szCs w:val="11"/>
                <w:color w:val="auto"/>
                <w:w w:val="99"/>
              </w:rPr>
              <w:t>2025</w:t>
            </w:r>
          </w:p>
        </w:tc>
      </w:tr>
      <w:tr>
        <w:trPr>
          <w:trHeight w:val="135"/>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Total segment profit</w:t>
            </w:r>
          </w:p>
        </w:tc>
        <w:tc>
          <w:tcPr>
            <w:tcW w:w="880" w:type="dxa"/>
            <w:vAlign w:val="bottom"/>
            <w:shd w:val="clear" w:color="auto" w:fill="CCEEFF"/>
          </w:tcPr>
          <w:p>
            <w:pPr>
              <w:jc w:val="right"/>
              <w:ind w:right="766"/>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90,200</w:t>
            </w: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jc w:val="right"/>
              <w:ind w:right="786"/>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74,642</w:t>
            </w: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237,968</w:t>
            </w: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jc w:val="right"/>
              <w:ind w:right="466"/>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200,020</w:t>
            </w:r>
          </w:p>
        </w:tc>
      </w:tr>
      <w:tr>
        <w:trPr>
          <w:trHeight w:val="142"/>
        </w:trPr>
        <w:tc>
          <w:tcPr>
            <w:tcW w:w="5360" w:type="dxa"/>
            <w:vAlign w:val="bottom"/>
          </w:tcPr>
          <w:p>
            <w:pPr>
              <w:spacing w:after="0"/>
              <w:rPr>
                <w:sz w:val="20"/>
                <w:szCs w:val="20"/>
                <w:color w:val="auto"/>
              </w:rPr>
            </w:pPr>
            <w:r>
              <w:rPr>
                <w:rFonts w:ascii="Times New Roman" w:cs="Times New Roman" w:eastAsia="Times New Roman" w:hAnsi="Times New Roman"/>
                <w:sz w:val="11"/>
                <w:szCs w:val="11"/>
                <w:color w:val="auto"/>
              </w:rPr>
              <w:t>Unallocated amounts:</w:t>
            </w:r>
          </w:p>
        </w:tc>
        <w:tc>
          <w:tcPr>
            <w:tcW w:w="8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46"/>
        </w:trPr>
        <w:tc>
          <w:tcPr>
            <w:tcW w:w="5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Administrative costs</w:t>
            </w:r>
          </w:p>
        </w:tc>
        <w:tc>
          <w:tcPr>
            <w:tcW w:w="88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(16,994)</w:t>
            </w: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(7,452)</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8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(34,600)</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(22,674)</w:t>
            </w:r>
          </w:p>
        </w:tc>
      </w:tr>
      <w:tr>
        <w:trPr>
          <w:trHeight w:val="142"/>
        </w:trPr>
        <w:tc>
          <w:tcPr>
            <w:tcW w:w="536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Investment and other income (expense)</w:t>
            </w:r>
          </w:p>
        </w:tc>
        <w:tc>
          <w:tcPr>
            <w:tcW w:w="880" w:type="dxa"/>
            <w:vAlign w:val="bottom"/>
          </w:tcPr>
          <w:p>
            <w:pPr>
              <w:spacing w:after="0"/>
              <w:rPr>
                <w:sz w:val="12"/>
                <w:szCs w:val="12"/>
                <w:color w:val="auto"/>
              </w:rPr>
            </w:pPr>
          </w:p>
        </w:tc>
        <w:tc>
          <w:tcPr>
            <w:tcW w:w="5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1,431</w:t>
            </w: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(509)</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3,948</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4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2,850</w:t>
            </w:r>
          </w:p>
        </w:tc>
      </w:tr>
      <w:tr>
        <w:trPr>
          <w:trHeight w:val="144"/>
        </w:trPr>
        <w:tc>
          <w:tcPr>
            <w:tcW w:w="5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Interest expense</w:t>
            </w:r>
          </w:p>
        </w:tc>
        <w:tc>
          <w:tcPr>
            <w:tcW w:w="88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(1,269)</w:t>
            </w:r>
          </w:p>
        </w:tc>
        <w:tc>
          <w:tcPr>
            <w:tcW w:w="100" w:type="dxa"/>
            <w:vAlign w:val="bottom"/>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(936)</w:t>
            </w:r>
          </w:p>
        </w:tc>
        <w:tc>
          <w:tcPr>
            <w:tcW w:w="80" w:type="dxa"/>
            <w:vAlign w:val="bottom"/>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(3,467)</w:t>
            </w:r>
          </w:p>
        </w:tc>
        <w:tc>
          <w:tcPr>
            <w:tcW w:w="100" w:type="dxa"/>
            <w:vAlign w:val="bottom"/>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(3,604)</w:t>
            </w:r>
          </w:p>
        </w:tc>
      </w:tr>
      <w:tr>
        <w:trPr>
          <w:trHeight w:val="135"/>
        </w:trPr>
        <w:tc>
          <w:tcPr>
            <w:tcW w:w="5360" w:type="dxa"/>
            <w:vAlign w:val="bottom"/>
          </w:tcPr>
          <w:p>
            <w:pPr>
              <w:spacing w:after="0"/>
              <w:rPr>
                <w:sz w:val="20"/>
                <w:szCs w:val="20"/>
                <w:color w:val="auto"/>
              </w:rPr>
            </w:pPr>
            <w:r>
              <w:rPr>
                <w:rFonts w:ascii="Times New Roman" w:cs="Times New Roman" w:eastAsia="Times New Roman" w:hAnsi="Times New Roman"/>
                <w:sz w:val="11"/>
                <w:szCs w:val="11"/>
                <w:color w:val="auto"/>
              </w:rPr>
              <w:t>Income before income taxes</w:t>
            </w:r>
          </w:p>
        </w:tc>
        <w:tc>
          <w:tcPr>
            <w:tcW w:w="880" w:type="dxa"/>
            <w:vAlign w:val="bottom"/>
            <w:tcBorders>
              <w:bottom w:val="single" w:sz="8" w:color="auto"/>
            </w:tcBorders>
          </w:tcPr>
          <w:p>
            <w:pPr>
              <w:jc w:val="right"/>
              <w:ind w:right="766"/>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73,368</w:t>
            </w:r>
          </w:p>
        </w:tc>
        <w:tc>
          <w:tcPr>
            <w:tcW w:w="100" w:type="dxa"/>
            <w:vAlign w:val="bottom"/>
          </w:tcPr>
          <w:p>
            <w:pPr>
              <w:spacing w:after="0"/>
              <w:rPr>
                <w:sz w:val="11"/>
                <w:szCs w:val="11"/>
                <w:color w:val="auto"/>
              </w:rPr>
            </w:pPr>
          </w:p>
        </w:tc>
        <w:tc>
          <w:tcPr>
            <w:tcW w:w="900" w:type="dxa"/>
            <w:vAlign w:val="bottom"/>
            <w:tcBorders>
              <w:bottom w:val="single" w:sz="8" w:color="auto"/>
            </w:tcBorders>
          </w:tcPr>
          <w:p>
            <w:pPr>
              <w:jc w:val="right"/>
              <w:ind w:right="786"/>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color w:val="auto"/>
              </w:rPr>
              <w:t>65,745</w:t>
            </w:r>
          </w:p>
        </w:tc>
        <w:tc>
          <w:tcPr>
            <w:tcW w:w="80" w:type="dxa"/>
            <w:vAlign w:val="bottom"/>
          </w:tcPr>
          <w:p>
            <w:pPr>
              <w:spacing w:after="0"/>
              <w:rPr>
                <w:sz w:val="11"/>
                <w:szCs w:val="11"/>
                <w:color w:val="auto"/>
              </w:rPr>
            </w:pPr>
          </w:p>
        </w:tc>
        <w:tc>
          <w:tcPr>
            <w:tcW w:w="340" w:type="dxa"/>
            <w:vAlign w:val="bottom"/>
            <w:tcBorders>
              <w:bottom w:val="single" w:sz="8" w:color="auto"/>
            </w:tcBorders>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color w:val="auto"/>
              </w:rPr>
              <w:t>203,849</w:t>
            </w:r>
          </w:p>
        </w:tc>
        <w:tc>
          <w:tcPr>
            <w:tcW w:w="100" w:type="dxa"/>
            <w:vAlign w:val="bottom"/>
          </w:tcPr>
          <w:p>
            <w:pPr>
              <w:spacing w:after="0"/>
              <w:rPr>
                <w:sz w:val="11"/>
                <w:szCs w:val="11"/>
                <w:color w:val="auto"/>
              </w:rPr>
            </w:pPr>
          </w:p>
        </w:tc>
        <w:tc>
          <w:tcPr>
            <w:tcW w:w="580" w:type="dxa"/>
            <w:vAlign w:val="bottom"/>
            <w:tcBorders>
              <w:bottom w:val="single" w:sz="8" w:color="auto"/>
            </w:tcBorders>
          </w:tcPr>
          <w:p>
            <w:pPr>
              <w:jc w:val="right"/>
              <w:ind w:right="466"/>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color w:val="auto"/>
              </w:rPr>
              <w:t>176,592</w:t>
            </w:r>
          </w:p>
        </w:tc>
      </w:tr>
      <w:tr>
        <w:trPr>
          <w:trHeight w:val="20"/>
        </w:trPr>
        <w:tc>
          <w:tcPr>
            <w:tcW w:w="53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300"/>
          </w:cols>
          <w:pgMar w:left="300" w:top="560" w:right="29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2"/>
          <w:szCs w:val="12"/>
          <w:b w:val="1"/>
          <w:bCs w:val="1"/>
          <w:color w:val="auto"/>
        </w:rPr>
        <w:t>GAAP to NON-GAAP MEASURES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(Unaudited; Dollars in Thousands, Except Per Share Amounts)</w:t>
      </w:r>
    </w:p>
    <w:p>
      <w:pPr>
        <w:spacing w:after="0" w:line="103"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In accordance with the U.S. Securities and Exchange Commission’s Regulation G, the following provides definitions of the non-GAAP measures used in the earnings release and the reconciliation to the most closely related GAAP measure.</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Adjusted Income Before Income Taxes:</w:t>
      </w:r>
    </w:p>
    <w:p>
      <w:pPr>
        <w:spacing w:after="0" w:line="2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 xml:space="preserve">Brady is presenting the non-GAAP measure, </w:t>
      </w:r>
      <w:r>
        <w:rPr>
          <w:rFonts w:ascii="Times New Roman" w:cs="Times New Roman" w:eastAsia="Times New Roman" w:hAnsi="Times New Roman"/>
          <w:sz w:val="13"/>
          <w:szCs w:val="13"/>
          <w:color w:val="auto"/>
        </w:rPr>
        <w:t>“</w:t>
      </w:r>
      <w:r>
        <w:rPr>
          <w:rFonts w:ascii="Times New Roman" w:cs="Times New Roman" w:eastAsia="Times New Roman" w:hAnsi="Times New Roman"/>
          <w:sz w:val="12"/>
          <w:szCs w:val="12"/>
          <w:color w:val="auto"/>
        </w:rPr>
        <w:t>Adjusted Income Before Income Taxes.</w:t>
      </w:r>
      <w:r>
        <w:rPr>
          <w:rFonts w:ascii="Times New Roman" w:cs="Times New Roman" w:eastAsia="Times New Roman" w:hAnsi="Times New Roman"/>
          <w:sz w:val="13"/>
          <w:szCs w:val="13"/>
          <w:color w:val="auto"/>
        </w:rPr>
        <w:t>”</w:t>
      </w:r>
      <w:r>
        <w:rPr>
          <w:rFonts w:ascii="Times New Roman" w:cs="Times New Roman" w:eastAsia="Times New Roman" w:hAnsi="Times New Roman"/>
          <w:sz w:val="12"/>
          <w:szCs w:val="12"/>
          <w:color w:val="auto"/>
        </w:rPr>
        <w:t xml:space="preserve"> This is not a calculation based upon GAAP. The amounts included in this non-GAAP measure are derived from amounts included in the Consolidated Financial Statements and supporting footnote disclosures. We do not view these items to be part of our ongoing results. We believe this profit measure provides an important perspective of underlying business trends and results and provides a more comparable measure from year to year. The table below provides a reconciliation of the GAAP measure of Income before income taxes to the non-GAAP measure of Adjusted Income Before Income Taxes: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6020" w:type="dxa"/>
            <w:vAlign w:val="bottom"/>
          </w:tcPr>
          <w:p>
            <w:pPr>
              <w:spacing w:after="0"/>
              <w:rPr>
                <w:sz w:val="12"/>
                <w:szCs w:val="12"/>
                <w:color w:val="auto"/>
              </w:rPr>
            </w:pPr>
          </w:p>
        </w:tc>
        <w:tc>
          <w:tcPr>
            <w:tcW w:w="2160" w:type="dxa"/>
            <w:vAlign w:val="bottom"/>
            <w:tcBorders>
              <w:bottom w:val="single" w:sz="8" w:color="auto"/>
            </w:tcBorders>
            <w:gridSpan w:val="4"/>
          </w:tcPr>
          <w:p>
            <w:pPr>
              <w:jc w:val="right"/>
              <w:ind w:right="166"/>
              <w:spacing w:after="0"/>
              <w:rPr>
                <w:sz w:val="20"/>
                <w:szCs w:val="20"/>
                <w:color w:val="auto"/>
              </w:rPr>
            </w:pPr>
            <w:r>
              <w:rPr>
                <w:rFonts w:ascii="Times New Roman" w:cs="Times New Roman" w:eastAsia="Times New Roman" w:hAnsi="Times New Roman"/>
                <w:sz w:val="11"/>
                <w:szCs w:val="11"/>
                <w:color w:val="auto"/>
              </w:rPr>
              <w:t>Three months ended April 30,</w:t>
            </w:r>
          </w:p>
        </w:tc>
        <w:tc>
          <w:tcPr>
            <w:tcW w:w="44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140" w:type="dxa"/>
            <w:vAlign w:val="bottom"/>
            <w:tcBorders>
              <w:bottom w:val="single" w:sz="8" w:color="auto"/>
            </w:tcBorders>
            <w:gridSpan w:val="4"/>
          </w:tcPr>
          <w:p>
            <w:pPr>
              <w:jc w:val="right"/>
              <w:ind w:right="166"/>
              <w:spacing w:after="0"/>
              <w:rPr>
                <w:sz w:val="20"/>
                <w:szCs w:val="20"/>
                <w:color w:val="auto"/>
              </w:rPr>
            </w:pPr>
            <w:r>
              <w:rPr>
                <w:rFonts w:ascii="Times New Roman" w:cs="Times New Roman" w:eastAsia="Times New Roman" w:hAnsi="Times New Roman"/>
                <w:sz w:val="11"/>
                <w:szCs w:val="11"/>
                <w:color w:val="auto"/>
              </w:rPr>
              <w:t>Nine months ended April 30,</w:t>
            </w:r>
          </w:p>
        </w:tc>
        <w:tc>
          <w:tcPr>
            <w:tcW w:w="460" w:type="dxa"/>
            <w:vAlign w:val="bottom"/>
            <w:tcBorders>
              <w:bottom w:val="single" w:sz="8" w:color="auto"/>
            </w:tcBorders>
          </w:tcPr>
          <w:p>
            <w:pPr>
              <w:spacing w:after="0"/>
              <w:rPr>
                <w:sz w:val="12"/>
                <w:szCs w:val="12"/>
                <w:color w:val="auto"/>
              </w:rPr>
            </w:pPr>
          </w:p>
        </w:tc>
      </w:tr>
      <w:tr>
        <w:trPr>
          <w:trHeight w:val="133"/>
        </w:trPr>
        <w:tc>
          <w:tcPr>
            <w:tcW w:w="6020" w:type="dxa"/>
            <w:vAlign w:val="bottom"/>
            <w:tcBorders>
              <w:bottom w:val="single" w:sz="8" w:color="CCEEFF"/>
            </w:tcBorders>
          </w:tcPr>
          <w:p>
            <w:pPr>
              <w:spacing w:after="0"/>
              <w:rPr>
                <w:sz w:val="11"/>
                <w:szCs w:val="11"/>
                <w:color w:val="auto"/>
              </w:rPr>
            </w:pPr>
          </w:p>
        </w:tc>
        <w:tc>
          <w:tcPr>
            <w:tcW w:w="82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2026</w:t>
            </w:r>
          </w:p>
        </w:tc>
        <w:tc>
          <w:tcPr>
            <w:tcW w:w="44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82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2025</w:t>
            </w:r>
          </w:p>
        </w:tc>
        <w:tc>
          <w:tcPr>
            <w:tcW w:w="44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80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2026</w:t>
            </w:r>
          </w:p>
        </w:tc>
        <w:tc>
          <w:tcPr>
            <w:tcW w:w="46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80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2025</w:t>
            </w:r>
          </w:p>
        </w:tc>
        <w:tc>
          <w:tcPr>
            <w:tcW w:w="460" w:type="dxa"/>
            <w:vAlign w:val="bottom"/>
            <w:tcBorders>
              <w:bottom w:val="single" w:sz="8" w:color="auto"/>
            </w:tcBorders>
          </w:tcPr>
          <w:p>
            <w:pPr>
              <w:spacing w:after="0"/>
              <w:rPr>
                <w:sz w:val="11"/>
                <w:szCs w:val="11"/>
                <w:color w:val="auto"/>
              </w:rPr>
            </w:pPr>
          </w:p>
        </w:tc>
      </w:tr>
      <w:tr>
        <w:trPr>
          <w:trHeight w:val="135"/>
        </w:trPr>
        <w:tc>
          <w:tcPr>
            <w:tcW w:w="602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1"/>
                <w:szCs w:val="11"/>
                <w:b w:val="1"/>
                <w:bCs w:val="1"/>
                <w:color w:val="auto"/>
              </w:rPr>
              <w:t>Income before income taxes (GAAP measure)</w:t>
            </w:r>
          </w:p>
        </w:tc>
        <w:tc>
          <w:tcPr>
            <w:tcW w:w="820" w:type="dxa"/>
            <w:vAlign w:val="bottom"/>
            <w:shd w:val="clear" w:color="auto" w:fill="CCEEFF"/>
          </w:tcPr>
          <w:p>
            <w:pPr>
              <w:jc w:val="right"/>
              <w:ind w:right="706"/>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73,368</w:t>
            </w: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jc w:val="right"/>
              <w:ind w:right="706"/>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65,745</w:t>
            </w: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jc w:val="right"/>
              <w:ind w:right="666"/>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203,849</w:t>
            </w: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jc w:val="right"/>
              <w:ind w:right="666"/>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176,592</w:t>
            </w:r>
          </w:p>
        </w:tc>
      </w:tr>
      <w:tr>
        <w:trPr>
          <w:trHeight w:val="142"/>
        </w:trPr>
        <w:tc>
          <w:tcPr>
            <w:tcW w:w="6020" w:type="dxa"/>
            <w:vAlign w:val="bottom"/>
          </w:tcPr>
          <w:p>
            <w:pPr>
              <w:ind w:left="440"/>
              <w:spacing w:after="0"/>
              <w:rPr>
                <w:sz w:val="20"/>
                <w:szCs w:val="20"/>
                <w:color w:val="auto"/>
              </w:rPr>
            </w:pPr>
            <w:r>
              <w:rPr>
                <w:rFonts w:ascii="Times New Roman" w:cs="Times New Roman" w:eastAsia="Times New Roman" w:hAnsi="Times New Roman"/>
                <w:sz w:val="11"/>
                <w:szCs w:val="11"/>
                <w:color w:val="auto"/>
              </w:rPr>
              <w:t>Amortization expense</w:t>
            </w:r>
          </w:p>
        </w:tc>
        <w:tc>
          <w:tcPr>
            <w:tcW w:w="820" w:type="dxa"/>
            <w:vAlign w:val="bottom"/>
          </w:tcPr>
          <w:p>
            <w:pPr>
              <w:spacing w:after="0"/>
              <w:rPr>
                <w:sz w:val="12"/>
                <w:szCs w:val="12"/>
                <w:color w:val="auto"/>
              </w:rPr>
            </w:pPr>
          </w:p>
        </w:tc>
        <w:tc>
          <w:tcPr>
            <w:tcW w:w="4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5,255</w:t>
            </w: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4,754</w:t>
            </w: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15,768</w:t>
            </w: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14,138</w:t>
            </w:r>
          </w:p>
        </w:tc>
      </w:tr>
      <w:tr>
        <w:trPr>
          <w:trHeight w:val="146"/>
        </w:trPr>
        <w:tc>
          <w:tcPr>
            <w:tcW w:w="60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rPr>
              <w:t>Non-recurring acquisition-related costs and other related expenses</w:t>
            </w: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13,506</w:t>
            </w: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13,506</w:t>
            </w: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5,059</w:t>
            </w:r>
          </w:p>
        </w:tc>
      </w:tr>
      <w:tr>
        <w:trPr>
          <w:trHeight w:val="142"/>
        </w:trPr>
        <w:tc>
          <w:tcPr>
            <w:tcW w:w="6020" w:type="dxa"/>
            <w:vAlign w:val="bottom"/>
          </w:tcPr>
          <w:p>
            <w:pPr>
              <w:ind w:left="440"/>
              <w:spacing w:after="0"/>
              <w:rPr>
                <w:sz w:val="20"/>
                <w:szCs w:val="20"/>
                <w:color w:val="auto"/>
              </w:rPr>
            </w:pPr>
            <w:r>
              <w:rPr>
                <w:rFonts w:ascii="Times New Roman" w:cs="Times New Roman" w:eastAsia="Times New Roman" w:hAnsi="Times New Roman"/>
                <w:sz w:val="11"/>
                <w:szCs w:val="11"/>
                <w:color w:val="auto"/>
              </w:rPr>
              <w:t>Facility closure and other reorganization costs</w:t>
            </w:r>
          </w:p>
        </w:tc>
        <w:tc>
          <w:tcPr>
            <w:tcW w:w="820" w:type="dxa"/>
            <w:vAlign w:val="bottom"/>
          </w:tcPr>
          <w:p>
            <w:pPr>
              <w:spacing w:after="0"/>
              <w:rPr>
                <w:sz w:val="12"/>
                <w:szCs w:val="12"/>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Pr>
          <w:p>
            <w:pPr>
              <w:spacing w:after="0"/>
              <w:rPr>
                <w:sz w:val="12"/>
                <w:szCs w:val="12"/>
                <w:color w:val="auto"/>
              </w:rPr>
            </w:pPr>
          </w:p>
        </w:tc>
        <w:tc>
          <w:tcPr>
            <w:tcW w:w="4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3,930</w:t>
            </w: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9,584</w:t>
            </w:r>
          </w:p>
        </w:tc>
      </w:tr>
      <w:tr>
        <w:trPr>
          <w:trHeight w:val="151"/>
        </w:trPr>
        <w:tc>
          <w:tcPr>
            <w:tcW w:w="6020" w:type="dxa"/>
            <w:vAlign w:val="bottom"/>
            <w:tcBorders>
              <w:top w:val="single" w:sz="8" w:color="CCEEFF"/>
              <w:bottom w:val="single" w:sz="8" w:color="CCEEFF"/>
            </w:tcBorders>
            <w:shd w:val="clear" w:color="auto" w:fill="CCEEFF"/>
          </w:tcPr>
          <w:p>
            <w:pPr>
              <w:spacing w:after="0" w:line="124" w:lineRule="exact"/>
              <w:rPr>
                <w:sz w:val="20"/>
                <w:szCs w:val="20"/>
                <w:color w:val="auto"/>
              </w:rPr>
            </w:pPr>
            <w:r>
              <w:rPr>
                <w:rFonts w:ascii="Times New Roman" w:cs="Times New Roman" w:eastAsia="Times New Roman" w:hAnsi="Times New Roman"/>
                <w:sz w:val="11"/>
                <w:szCs w:val="11"/>
                <w:b w:val="1"/>
                <w:bCs w:val="1"/>
                <w:color w:val="auto"/>
              </w:rPr>
              <w:t>Adjusted Income Before Income Taxes (non-GAAP measure)</w:t>
            </w:r>
          </w:p>
        </w:tc>
        <w:tc>
          <w:tcPr>
            <w:tcW w:w="820" w:type="dxa"/>
            <w:vAlign w:val="bottom"/>
            <w:tcBorders>
              <w:top w:val="single" w:sz="8" w:color="auto"/>
              <w:bottom w:val="single" w:sz="8" w:color="auto"/>
            </w:tcBorders>
            <w:shd w:val="clear" w:color="auto" w:fill="CCEEFF"/>
          </w:tcPr>
          <w:p>
            <w:pPr>
              <w:jc w:val="right"/>
              <w:ind w:right="70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4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92,129</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820" w:type="dxa"/>
            <w:vAlign w:val="bottom"/>
            <w:tcBorders>
              <w:top w:val="single" w:sz="8" w:color="auto"/>
              <w:bottom w:val="single" w:sz="8" w:color="auto"/>
            </w:tcBorders>
            <w:shd w:val="clear" w:color="auto" w:fill="CCEEFF"/>
          </w:tcPr>
          <w:p>
            <w:pPr>
              <w:jc w:val="right"/>
              <w:ind w:right="70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4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74,429</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800" w:type="dxa"/>
            <w:vAlign w:val="bottom"/>
            <w:tcBorders>
              <w:top w:val="single" w:sz="8" w:color="auto"/>
              <w:bottom w:val="single" w:sz="8" w:color="auto"/>
            </w:tcBorders>
            <w:shd w:val="clear" w:color="auto" w:fill="CCEEFF"/>
          </w:tcPr>
          <w:p>
            <w:pPr>
              <w:jc w:val="right"/>
              <w:ind w:right="666"/>
              <w:spacing w:after="0"/>
              <w:rPr>
                <w:sz w:val="20"/>
                <w:szCs w:val="20"/>
                <w:color w:val="auto"/>
              </w:rPr>
            </w:pPr>
            <w:r>
              <w:rPr>
                <w:rFonts w:ascii="Times New Roman" w:cs="Times New Roman" w:eastAsia="Times New Roman" w:hAnsi="Times New Roman"/>
                <w:sz w:val="11"/>
                <w:szCs w:val="11"/>
                <w:b w:val="1"/>
                <w:bCs w:val="1"/>
                <w:color w:val="auto"/>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233,123</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800" w:type="dxa"/>
            <w:vAlign w:val="bottom"/>
            <w:tcBorders>
              <w:top w:val="single" w:sz="8" w:color="auto"/>
              <w:bottom w:val="single" w:sz="8" w:color="auto"/>
            </w:tcBorders>
            <w:shd w:val="clear" w:color="auto" w:fill="CCEEFF"/>
          </w:tcPr>
          <w:p>
            <w:pPr>
              <w:jc w:val="right"/>
              <w:ind w:right="666"/>
              <w:spacing w:after="0"/>
              <w:rPr>
                <w:sz w:val="20"/>
                <w:szCs w:val="20"/>
                <w:color w:val="auto"/>
              </w:rPr>
            </w:pPr>
            <w:r>
              <w:rPr>
                <w:rFonts w:ascii="Times New Roman" w:cs="Times New Roman" w:eastAsia="Times New Roman" w:hAnsi="Times New Roman"/>
                <w:sz w:val="11"/>
                <w:szCs w:val="11"/>
                <w:b w:val="1"/>
                <w:bCs w:val="1"/>
                <w:color w:val="auto"/>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205,373</w:t>
            </w:r>
          </w:p>
        </w:tc>
      </w:tr>
    </w:tbl>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Adjusted Income Tax Expense:</w:t>
      </w:r>
    </w:p>
    <w:p>
      <w:pPr>
        <w:spacing w:after="0" w:line="2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 xml:space="preserve">Brady is presenting the non-GAAP measure, </w:t>
      </w:r>
      <w:r>
        <w:rPr>
          <w:rFonts w:ascii="Times New Roman" w:cs="Times New Roman" w:eastAsia="Times New Roman" w:hAnsi="Times New Roman"/>
          <w:sz w:val="13"/>
          <w:szCs w:val="13"/>
          <w:color w:val="auto"/>
        </w:rPr>
        <w:t>“</w:t>
      </w:r>
      <w:r>
        <w:rPr>
          <w:rFonts w:ascii="Times New Roman" w:cs="Times New Roman" w:eastAsia="Times New Roman" w:hAnsi="Times New Roman"/>
          <w:sz w:val="12"/>
          <w:szCs w:val="12"/>
          <w:color w:val="auto"/>
        </w:rPr>
        <w:t>Adjusted Income Tax Expense.</w:t>
      </w:r>
      <w:r>
        <w:rPr>
          <w:rFonts w:ascii="Times New Roman" w:cs="Times New Roman" w:eastAsia="Times New Roman" w:hAnsi="Times New Roman"/>
          <w:sz w:val="13"/>
          <w:szCs w:val="13"/>
          <w:color w:val="auto"/>
        </w:rPr>
        <w:t>”</w:t>
      </w:r>
      <w:r>
        <w:rPr>
          <w:rFonts w:ascii="Times New Roman" w:cs="Times New Roman" w:eastAsia="Times New Roman" w:hAnsi="Times New Roman"/>
          <w:sz w:val="12"/>
          <w:szCs w:val="12"/>
          <w:color w:val="auto"/>
        </w:rPr>
        <w:t xml:space="preserve"> This is not a calculation based upon GAAP. The amounts included in this non-GAAP measure are derived from amounts included in the Consolidated Financial Statements and supporting footnote disclosures. We do not view these items to be part of our ongoing results. We believe this measure provides an important perspective of underlying business trends and results and provides a more comparable measure from year to year. The table below provides a reconciliation of the GAAP measure of Income tax expense to the non-GAAP measure of Adjusted Income Tax Expense:</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6020" w:type="dxa"/>
            <w:vAlign w:val="bottom"/>
          </w:tcPr>
          <w:p>
            <w:pPr>
              <w:spacing w:after="0"/>
              <w:rPr>
                <w:sz w:val="12"/>
                <w:szCs w:val="12"/>
                <w:color w:val="auto"/>
              </w:rPr>
            </w:pPr>
          </w:p>
        </w:tc>
        <w:tc>
          <w:tcPr>
            <w:tcW w:w="2160" w:type="dxa"/>
            <w:vAlign w:val="bottom"/>
            <w:tcBorders>
              <w:bottom w:val="single" w:sz="8" w:color="auto"/>
            </w:tcBorders>
            <w:gridSpan w:val="4"/>
          </w:tcPr>
          <w:p>
            <w:pPr>
              <w:jc w:val="right"/>
              <w:ind w:right="166"/>
              <w:spacing w:after="0"/>
              <w:rPr>
                <w:sz w:val="20"/>
                <w:szCs w:val="20"/>
                <w:color w:val="auto"/>
              </w:rPr>
            </w:pPr>
            <w:r>
              <w:rPr>
                <w:rFonts w:ascii="Times New Roman" w:cs="Times New Roman" w:eastAsia="Times New Roman" w:hAnsi="Times New Roman"/>
                <w:sz w:val="11"/>
                <w:szCs w:val="11"/>
                <w:color w:val="auto"/>
              </w:rPr>
              <w:t>Three months ended April 30,</w:t>
            </w:r>
          </w:p>
        </w:tc>
        <w:tc>
          <w:tcPr>
            <w:tcW w:w="44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160" w:type="dxa"/>
            <w:vAlign w:val="bottom"/>
            <w:tcBorders>
              <w:bottom w:val="single" w:sz="8" w:color="auto"/>
            </w:tcBorders>
            <w:gridSpan w:val="4"/>
          </w:tcPr>
          <w:p>
            <w:pPr>
              <w:jc w:val="right"/>
              <w:ind w:right="186"/>
              <w:spacing w:after="0"/>
              <w:rPr>
                <w:sz w:val="20"/>
                <w:szCs w:val="20"/>
                <w:color w:val="auto"/>
              </w:rPr>
            </w:pPr>
            <w:r>
              <w:rPr>
                <w:rFonts w:ascii="Times New Roman" w:cs="Times New Roman" w:eastAsia="Times New Roman" w:hAnsi="Times New Roman"/>
                <w:sz w:val="11"/>
                <w:szCs w:val="11"/>
                <w:color w:val="auto"/>
              </w:rPr>
              <w:t>Nine months ended April 30,</w:t>
            </w:r>
          </w:p>
        </w:tc>
        <w:tc>
          <w:tcPr>
            <w:tcW w:w="440" w:type="dxa"/>
            <w:vAlign w:val="bottom"/>
            <w:tcBorders>
              <w:bottom w:val="single" w:sz="8" w:color="auto"/>
            </w:tcBorders>
          </w:tcPr>
          <w:p>
            <w:pPr>
              <w:spacing w:after="0"/>
              <w:rPr>
                <w:sz w:val="12"/>
                <w:szCs w:val="12"/>
                <w:color w:val="auto"/>
              </w:rPr>
            </w:pPr>
          </w:p>
        </w:tc>
      </w:tr>
      <w:tr>
        <w:trPr>
          <w:trHeight w:val="133"/>
        </w:trPr>
        <w:tc>
          <w:tcPr>
            <w:tcW w:w="6020" w:type="dxa"/>
            <w:vAlign w:val="bottom"/>
            <w:tcBorders>
              <w:bottom w:val="single" w:sz="8" w:color="CCEEFF"/>
            </w:tcBorders>
          </w:tcPr>
          <w:p>
            <w:pPr>
              <w:spacing w:after="0"/>
              <w:rPr>
                <w:sz w:val="11"/>
                <w:szCs w:val="11"/>
                <w:color w:val="auto"/>
              </w:rPr>
            </w:pPr>
          </w:p>
        </w:tc>
        <w:tc>
          <w:tcPr>
            <w:tcW w:w="82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2026</w:t>
            </w:r>
          </w:p>
        </w:tc>
        <w:tc>
          <w:tcPr>
            <w:tcW w:w="44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82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2025</w:t>
            </w:r>
          </w:p>
        </w:tc>
        <w:tc>
          <w:tcPr>
            <w:tcW w:w="44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82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2026</w:t>
            </w:r>
          </w:p>
        </w:tc>
        <w:tc>
          <w:tcPr>
            <w:tcW w:w="44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82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2025</w:t>
            </w:r>
          </w:p>
        </w:tc>
        <w:tc>
          <w:tcPr>
            <w:tcW w:w="440" w:type="dxa"/>
            <w:vAlign w:val="bottom"/>
            <w:tcBorders>
              <w:bottom w:val="single" w:sz="8" w:color="auto"/>
            </w:tcBorders>
          </w:tcPr>
          <w:p>
            <w:pPr>
              <w:spacing w:after="0"/>
              <w:rPr>
                <w:sz w:val="11"/>
                <w:szCs w:val="11"/>
                <w:color w:val="auto"/>
              </w:rPr>
            </w:pPr>
          </w:p>
        </w:tc>
      </w:tr>
      <w:tr>
        <w:trPr>
          <w:trHeight w:val="135"/>
        </w:trPr>
        <w:tc>
          <w:tcPr>
            <w:tcW w:w="602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1"/>
                <w:szCs w:val="11"/>
                <w:b w:val="1"/>
                <w:bCs w:val="1"/>
                <w:color w:val="auto"/>
              </w:rPr>
              <w:t>Income tax expense (GAAP measure)</w:t>
            </w:r>
          </w:p>
        </w:tc>
        <w:tc>
          <w:tcPr>
            <w:tcW w:w="820" w:type="dxa"/>
            <w:vAlign w:val="bottom"/>
            <w:shd w:val="clear" w:color="auto" w:fill="CCEEFF"/>
          </w:tcPr>
          <w:p>
            <w:pPr>
              <w:jc w:val="right"/>
              <w:ind w:right="706"/>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15,568</w:t>
            </w: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jc w:val="right"/>
              <w:ind w:right="706"/>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13,482</w:t>
            </w: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jc w:val="right"/>
              <w:ind w:right="686"/>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44,062</w:t>
            </w: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jc w:val="right"/>
              <w:ind w:right="686"/>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37,212</w:t>
            </w:r>
          </w:p>
        </w:tc>
      </w:tr>
      <w:tr>
        <w:trPr>
          <w:trHeight w:val="142"/>
        </w:trPr>
        <w:tc>
          <w:tcPr>
            <w:tcW w:w="6020" w:type="dxa"/>
            <w:vAlign w:val="bottom"/>
          </w:tcPr>
          <w:p>
            <w:pPr>
              <w:ind w:left="440"/>
              <w:spacing w:after="0"/>
              <w:rPr>
                <w:sz w:val="20"/>
                <w:szCs w:val="20"/>
                <w:color w:val="auto"/>
              </w:rPr>
            </w:pPr>
            <w:r>
              <w:rPr>
                <w:rFonts w:ascii="Times New Roman" w:cs="Times New Roman" w:eastAsia="Times New Roman" w:hAnsi="Times New Roman"/>
                <w:sz w:val="11"/>
                <w:szCs w:val="11"/>
                <w:color w:val="auto"/>
              </w:rPr>
              <w:t>Amortization expense</w:t>
            </w:r>
          </w:p>
        </w:tc>
        <w:tc>
          <w:tcPr>
            <w:tcW w:w="820" w:type="dxa"/>
            <w:vAlign w:val="bottom"/>
          </w:tcPr>
          <w:p>
            <w:pPr>
              <w:spacing w:after="0"/>
              <w:rPr>
                <w:sz w:val="12"/>
                <w:szCs w:val="12"/>
                <w:color w:val="auto"/>
              </w:rPr>
            </w:pPr>
          </w:p>
        </w:tc>
        <w:tc>
          <w:tcPr>
            <w:tcW w:w="4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1,267</w:t>
            </w: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1,144</w:t>
            </w: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3,803</w:t>
            </w: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3,402</w:t>
            </w:r>
          </w:p>
        </w:tc>
      </w:tr>
      <w:tr>
        <w:trPr>
          <w:trHeight w:val="146"/>
        </w:trPr>
        <w:tc>
          <w:tcPr>
            <w:tcW w:w="60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rPr>
              <w:t>Non-recurring acquisition-related costs and other related expenses</w:t>
            </w: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3,376</w:t>
            </w: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3,376</w:t>
            </w: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1,265</w:t>
            </w:r>
          </w:p>
        </w:tc>
      </w:tr>
      <w:tr>
        <w:trPr>
          <w:trHeight w:val="142"/>
        </w:trPr>
        <w:tc>
          <w:tcPr>
            <w:tcW w:w="6020" w:type="dxa"/>
            <w:vAlign w:val="bottom"/>
          </w:tcPr>
          <w:p>
            <w:pPr>
              <w:ind w:left="440"/>
              <w:spacing w:after="0"/>
              <w:rPr>
                <w:sz w:val="20"/>
                <w:szCs w:val="20"/>
                <w:color w:val="auto"/>
              </w:rPr>
            </w:pPr>
            <w:r>
              <w:rPr>
                <w:rFonts w:ascii="Times New Roman" w:cs="Times New Roman" w:eastAsia="Times New Roman" w:hAnsi="Times New Roman"/>
                <w:sz w:val="11"/>
                <w:szCs w:val="11"/>
                <w:color w:val="auto"/>
              </w:rPr>
              <w:t>Facility closure and other reorganization costs</w:t>
            </w:r>
          </w:p>
        </w:tc>
        <w:tc>
          <w:tcPr>
            <w:tcW w:w="820" w:type="dxa"/>
            <w:vAlign w:val="bottom"/>
          </w:tcPr>
          <w:p>
            <w:pPr>
              <w:spacing w:after="0"/>
              <w:rPr>
                <w:sz w:val="12"/>
                <w:szCs w:val="12"/>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Pr>
          <w:p>
            <w:pPr>
              <w:spacing w:after="0"/>
              <w:rPr>
                <w:sz w:val="12"/>
                <w:szCs w:val="12"/>
                <w:color w:val="auto"/>
              </w:rPr>
            </w:pPr>
          </w:p>
        </w:tc>
        <w:tc>
          <w:tcPr>
            <w:tcW w:w="4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983</w:t>
            </w: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2,396</w:t>
            </w:r>
          </w:p>
        </w:tc>
      </w:tr>
      <w:tr>
        <w:trPr>
          <w:trHeight w:val="151"/>
        </w:trPr>
        <w:tc>
          <w:tcPr>
            <w:tcW w:w="6020" w:type="dxa"/>
            <w:vAlign w:val="bottom"/>
            <w:tcBorders>
              <w:top w:val="single" w:sz="8" w:color="CCEEFF"/>
              <w:bottom w:val="single" w:sz="8" w:color="CCEEFF"/>
            </w:tcBorders>
            <w:shd w:val="clear" w:color="auto" w:fill="CCEEFF"/>
          </w:tcPr>
          <w:p>
            <w:pPr>
              <w:spacing w:after="0" w:line="124" w:lineRule="exact"/>
              <w:rPr>
                <w:sz w:val="20"/>
                <w:szCs w:val="20"/>
                <w:color w:val="auto"/>
              </w:rPr>
            </w:pPr>
            <w:r>
              <w:rPr>
                <w:rFonts w:ascii="Times New Roman" w:cs="Times New Roman" w:eastAsia="Times New Roman" w:hAnsi="Times New Roman"/>
                <w:sz w:val="11"/>
                <w:szCs w:val="11"/>
                <w:b w:val="1"/>
                <w:bCs w:val="1"/>
                <w:color w:val="auto"/>
              </w:rPr>
              <w:t>Adjusted Income Tax Expense (non-GAAP measure)</w:t>
            </w:r>
          </w:p>
        </w:tc>
        <w:tc>
          <w:tcPr>
            <w:tcW w:w="820" w:type="dxa"/>
            <w:vAlign w:val="bottom"/>
            <w:tcBorders>
              <w:top w:val="single" w:sz="8" w:color="auto"/>
              <w:bottom w:val="single" w:sz="8" w:color="auto"/>
            </w:tcBorders>
            <w:shd w:val="clear" w:color="auto" w:fill="CCEEFF"/>
          </w:tcPr>
          <w:p>
            <w:pPr>
              <w:jc w:val="right"/>
              <w:ind w:right="70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4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20,211</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820" w:type="dxa"/>
            <w:vAlign w:val="bottom"/>
            <w:tcBorders>
              <w:top w:val="single" w:sz="8" w:color="auto"/>
              <w:bottom w:val="single" w:sz="8" w:color="auto"/>
            </w:tcBorders>
            <w:shd w:val="clear" w:color="auto" w:fill="CCEEFF"/>
          </w:tcPr>
          <w:p>
            <w:pPr>
              <w:jc w:val="right"/>
              <w:ind w:right="70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4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15,609</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820" w:type="dxa"/>
            <w:vAlign w:val="bottom"/>
            <w:tcBorders>
              <w:top w:val="single" w:sz="8" w:color="auto"/>
              <w:bottom w:val="single" w:sz="8" w:color="auto"/>
            </w:tcBorders>
            <w:shd w:val="clear" w:color="auto" w:fill="CCEEFF"/>
          </w:tcPr>
          <w:p>
            <w:pPr>
              <w:jc w:val="right"/>
              <w:ind w:right="686"/>
              <w:spacing w:after="0"/>
              <w:rPr>
                <w:sz w:val="20"/>
                <w:szCs w:val="20"/>
                <w:color w:val="auto"/>
              </w:rPr>
            </w:pPr>
            <w:r>
              <w:rPr>
                <w:rFonts w:ascii="Times New Roman" w:cs="Times New Roman" w:eastAsia="Times New Roman" w:hAnsi="Times New Roman"/>
                <w:sz w:val="11"/>
                <w:szCs w:val="11"/>
                <w:b w:val="1"/>
                <w:bCs w:val="1"/>
                <w:color w:val="auto"/>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51,241</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820" w:type="dxa"/>
            <w:vAlign w:val="bottom"/>
            <w:tcBorders>
              <w:top w:val="single" w:sz="8" w:color="auto"/>
              <w:bottom w:val="single" w:sz="8" w:color="auto"/>
            </w:tcBorders>
            <w:shd w:val="clear" w:color="auto" w:fill="CCEEFF"/>
          </w:tcPr>
          <w:p>
            <w:pPr>
              <w:jc w:val="right"/>
              <w:ind w:right="686"/>
              <w:spacing w:after="0"/>
              <w:rPr>
                <w:sz w:val="20"/>
                <w:szCs w:val="20"/>
                <w:color w:val="auto"/>
              </w:rPr>
            </w:pPr>
            <w:r>
              <w:rPr>
                <w:rFonts w:ascii="Times New Roman" w:cs="Times New Roman" w:eastAsia="Times New Roman" w:hAnsi="Times New Roman"/>
                <w:sz w:val="11"/>
                <w:szCs w:val="11"/>
                <w:b w:val="1"/>
                <w:bCs w:val="1"/>
                <w:color w:val="auto"/>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44,275</w:t>
            </w:r>
          </w:p>
        </w:tc>
      </w:tr>
    </w:tbl>
    <w:p>
      <w:pPr>
        <w:sectPr>
          <w:pgSz w:w="11900" w:h="16838" w:orient="portrait"/>
          <w:cols w:equalWidth="0" w:num="1">
            <w:col w:w="11300"/>
          </w:cols>
          <w:pgMar w:left="300" w:top="557" w:right="29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2"/>
          <w:szCs w:val="12"/>
          <w:b w:val="1"/>
          <w:bCs w:val="1"/>
          <w:color w:val="auto"/>
        </w:rPr>
        <w:t>Adjusted Net Income:</w:t>
      </w:r>
    </w:p>
    <w:p>
      <w:pPr>
        <w:spacing w:after="0" w:line="2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 xml:space="preserve">Brady is presenting the non-GAAP measure, </w:t>
      </w:r>
      <w:r>
        <w:rPr>
          <w:rFonts w:ascii="Times New Roman" w:cs="Times New Roman" w:eastAsia="Times New Roman" w:hAnsi="Times New Roman"/>
          <w:sz w:val="13"/>
          <w:szCs w:val="13"/>
          <w:color w:val="auto"/>
        </w:rPr>
        <w:t>“</w:t>
      </w:r>
      <w:r>
        <w:rPr>
          <w:rFonts w:ascii="Times New Roman" w:cs="Times New Roman" w:eastAsia="Times New Roman" w:hAnsi="Times New Roman"/>
          <w:sz w:val="12"/>
          <w:szCs w:val="12"/>
          <w:color w:val="auto"/>
        </w:rPr>
        <w:t>Adjusted Net Income.</w:t>
      </w:r>
      <w:r>
        <w:rPr>
          <w:rFonts w:ascii="Times New Roman" w:cs="Times New Roman" w:eastAsia="Times New Roman" w:hAnsi="Times New Roman"/>
          <w:sz w:val="13"/>
          <w:szCs w:val="13"/>
          <w:color w:val="auto"/>
        </w:rPr>
        <w:t>”</w:t>
      </w:r>
      <w:r>
        <w:rPr>
          <w:rFonts w:ascii="Times New Roman" w:cs="Times New Roman" w:eastAsia="Times New Roman" w:hAnsi="Times New Roman"/>
          <w:sz w:val="12"/>
          <w:szCs w:val="12"/>
          <w:color w:val="auto"/>
        </w:rPr>
        <w:t xml:space="preserve"> This is not a calculation based upon GAAP. The amounts included in this non-GAAP measure are derived from amounts included in the Consolidated Financial Statements and supporting footnote disclosures. We do not view these items to be part of our ongoing results. We believe this measure provides an important perspective of underlying business trends and results and provides a more comparable measure from year to year. The table below provides a reconciliation of the GAAP measure of Net income to the non-GAAP measure of Adjusted Net Income:</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6020" w:type="dxa"/>
            <w:vAlign w:val="bottom"/>
          </w:tcPr>
          <w:p>
            <w:pPr>
              <w:spacing w:after="0"/>
              <w:rPr>
                <w:sz w:val="12"/>
                <w:szCs w:val="12"/>
                <w:color w:val="auto"/>
              </w:rPr>
            </w:pPr>
          </w:p>
        </w:tc>
        <w:tc>
          <w:tcPr>
            <w:tcW w:w="2160" w:type="dxa"/>
            <w:vAlign w:val="bottom"/>
            <w:tcBorders>
              <w:bottom w:val="single" w:sz="8" w:color="auto"/>
            </w:tcBorders>
            <w:gridSpan w:val="4"/>
          </w:tcPr>
          <w:p>
            <w:pPr>
              <w:jc w:val="right"/>
              <w:ind w:right="166"/>
              <w:spacing w:after="0"/>
              <w:rPr>
                <w:sz w:val="20"/>
                <w:szCs w:val="20"/>
                <w:color w:val="auto"/>
              </w:rPr>
            </w:pPr>
            <w:r>
              <w:rPr>
                <w:rFonts w:ascii="Times New Roman" w:cs="Times New Roman" w:eastAsia="Times New Roman" w:hAnsi="Times New Roman"/>
                <w:sz w:val="11"/>
                <w:szCs w:val="11"/>
                <w:color w:val="auto"/>
              </w:rPr>
              <w:t>Three months ended April 30,</w:t>
            </w:r>
          </w:p>
        </w:tc>
        <w:tc>
          <w:tcPr>
            <w:tcW w:w="44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140" w:type="dxa"/>
            <w:vAlign w:val="bottom"/>
            <w:tcBorders>
              <w:bottom w:val="single" w:sz="8" w:color="auto"/>
            </w:tcBorders>
            <w:gridSpan w:val="4"/>
          </w:tcPr>
          <w:p>
            <w:pPr>
              <w:jc w:val="right"/>
              <w:ind w:right="166"/>
              <w:spacing w:after="0"/>
              <w:rPr>
                <w:sz w:val="20"/>
                <w:szCs w:val="20"/>
                <w:color w:val="auto"/>
              </w:rPr>
            </w:pPr>
            <w:r>
              <w:rPr>
                <w:rFonts w:ascii="Times New Roman" w:cs="Times New Roman" w:eastAsia="Times New Roman" w:hAnsi="Times New Roman"/>
                <w:sz w:val="11"/>
                <w:szCs w:val="11"/>
                <w:color w:val="auto"/>
              </w:rPr>
              <w:t>Nine months ended April 30,</w:t>
            </w:r>
          </w:p>
        </w:tc>
        <w:tc>
          <w:tcPr>
            <w:tcW w:w="460" w:type="dxa"/>
            <w:vAlign w:val="bottom"/>
            <w:tcBorders>
              <w:bottom w:val="single" w:sz="8" w:color="auto"/>
            </w:tcBorders>
          </w:tcPr>
          <w:p>
            <w:pPr>
              <w:spacing w:after="0"/>
              <w:rPr>
                <w:sz w:val="12"/>
                <w:szCs w:val="12"/>
                <w:color w:val="auto"/>
              </w:rPr>
            </w:pPr>
          </w:p>
        </w:tc>
      </w:tr>
      <w:tr>
        <w:trPr>
          <w:trHeight w:val="133"/>
        </w:trPr>
        <w:tc>
          <w:tcPr>
            <w:tcW w:w="6020" w:type="dxa"/>
            <w:vAlign w:val="bottom"/>
            <w:tcBorders>
              <w:bottom w:val="single" w:sz="8" w:color="CCEEFF"/>
            </w:tcBorders>
          </w:tcPr>
          <w:p>
            <w:pPr>
              <w:spacing w:after="0"/>
              <w:rPr>
                <w:sz w:val="11"/>
                <w:szCs w:val="11"/>
                <w:color w:val="auto"/>
              </w:rPr>
            </w:pPr>
          </w:p>
        </w:tc>
        <w:tc>
          <w:tcPr>
            <w:tcW w:w="82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2026</w:t>
            </w:r>
          </w:p>
        </w:tc>
        <w:tc>
          <w:tcPr>
            <w:tcW w:w="44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82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2025</w:t>
            </w:r>
          </w:p>
        </w:tc>
        <w:tc>
          <w:tcPr>
            <w:tcW w:w="44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80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2026</w:t>
            </w:r>
          </w:p>
        </w:tc>
        <w:tc>
          <w:tcPr>
            <w:tcW w:w="46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80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2025</w:t>
            </w:r>
          </w:p>
        </w:tc>
        <w:tc>
          <w:tcPr>
            <w:tcW w:w="460" w:type="dxa"/>
            <w:vAlign w:val="bottom"/>
            <w:tcBorders>
              <w:bottom w:val="single" w:sz="8" w:color="auto"/>
            </w:tcBorders>
          </w:tcPr>
          <w:p>
            <w:pPr>
              <w:spacing w:after="0"/>
              <w:rPr>
                <w:sz w:val="11"/>
                <w:szCs w:val="11"/>
                <w:color w:val="auto"/>
              </w:rPr>
            </w:pPr>
          </w:p>
        </w:tc>
      </w:tr>
      <w:tr>
        <w:trPr>
          <w:trHeight w:val="135"/>
        </w:trPr>
        <w:tc>
          <w:tcPr>
            <w:tcW w:w="602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1"/>
                <w:szCs w:val="11"/>
                <w:b w:val="1"/>
                <w:bCs w:val="1"/>
                <w:color w:val="auto"/>
              </w:rPr>
              <w:t>Net income (GAAP measure)</w:t>
            </w:r>
          </w:p>
        </w:tc>
        <w:tc>
          <w:tcPr>
            <w:tcW w:w="820" w:type="dxa"/>
            <w:vAlign w:val="bottom"/>
            <w:shd w:val="clear" w:color="auto" w:fill="CCEEFF"/>
          </w:tcPr>
          <w:p>
            <w:pPr>
              <w:jc w:val="right"/>
              <w:ind w:right="706"/>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57,800</w:t>
            </w: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jc w:val="right"/>
              <w:ind w:right="706"/>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52,263</w:t>
            </w: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jc w:val="right"/>
              <w:ind w:right="666"/>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159,787</w:t>
            </w: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jc w:val="right"/>
              <w:ind w:right="666"/>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139,380</w:t>
            </w:r>
          </w:p>
        </w:tc>
      </w:tr>
      <w:tr>
        <w:trPr>
          <w:trHeight w:val="142"/>
        </w:trPr>
        <w:tc>
          <w:tcPr>
            <w:tcW w:w="6020" w:type="dxa"/>
            <w:vAlign w:val="bottom"/>
          </w:tcPr>
          <w:p>
            <w:pPr>
              <w:ind w:left="440"/>
              <w:spacing w:after="0"/>
              <w:rPr>
                <w:sz w:val="20"/>
                <w:szCs w:val="20"/>
                <w:color w:val="auto"/>
              </w:rPr>
            </w:pPr>
            <w:r>
              <w:rPr>
                <w:rFonts w:ascii="Times New Roman" w:cs="Times New Roman" w:eastAsia="Times New Roman" w:hAnsi="Times New Roman"/>
                <w:sz w:val="11"/>
                <w:szCs w:val="11"/>
                <w:color w:val="auto"/>
              </w:rPr>
              <w:t>Amortization expense</w:t>
            </w:r>
          </w:p>
        </w:tc>
        <w:tc>
          <w:tcPr>
            <w:tcW w:w="820" w:type="dxa"/>
            <w:vAlign w:val="bottom"/>
          </w:tcPr>
          <w:p>
            <w:pPr>
              <w:spacing w:after="0"/>
              <w:rPr>
                <w:sz w:val="12"/>
                <w:szCs w:val="12"/>
                <w:color w:val="auto"/>
              </w:rPr>
            </w:pPr>
          </w:p>
        </w:tc>
        <w:tc>
          <w:tcPr>
            <w:tcW w:w="4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3,988</w:t>
            </w: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3,610</w:t>
            </w: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11,965</w:t>
            </w: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10,736</w:t>
            </w:r>
          </w:p>
        </w:tc>
      </w:tr>
      <w:tr>
        <w:trPr>
          <w:trHeight w:val="146"/>
        </w:trPr>
        <w:tc>
          <w:tcPr>
            <w:tcW w:w="60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rPr>
              <w:t>Non-recurring acquisition-related costs and other related expenses</w:t>
            </w: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10,130</w:t>
            </w: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10,130</w:t>
            </w: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3,794</w:t>
            </w:r>
          </w:p>
        </w:tc>
      </w:tr>
      <w:tr>
        <w:trPr>
          <w:trHeight w:val="142"/>
        </w:trPr>
        <w:tc>
          <w:tcPr>
            <w:tcW w:w="6020" w:type="dxa"/>
            <w:vAlign w:val="bottom"/>
          </w:tcPr>
          <w:p>
            <w:pPr>
              <w:ind w:left="440"/>
              <w:spacing w:after="0"/>
              <w:rPr>
                <w:sz w:val="20"/>
                <w:szCs w:val="20"/>
                <w:color w:val="auto"/>
              </w:rPr>
            </w:pPr>
            <w:r>
              <w:rPr>
                <w:rFonts w:ascii="Times New Roman" w:cs="Times New Roman" w:eastAsia="Times New Roman" w:hAnsi="Times New Roman"/>
                <w:sz w:val="11"/>
                <w:szCs w:val="11"/>
                <w:color w:val="auto"/>
              </w:rPr>
              <w:t>Facility closure and other reorganization costs</w:t>
            </w:r>
          </w:p>
        </w:tc>
        <w:tc>
          <w:tcPr>
            <w:tcW w:w="820" w:type="dxa"/>
            <w:vAlign w:val="bottom"/>
          </w:tcPr>
          <w:p>
            <w:pPr>
              <w:spacing w:after="0"/>
              <w:rPr>
                <w:sz w:val="12"/>
                <w:szCs w:val="12"/>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Pr>
          <w:p>
            <w:pPr>
              <w:spacing w:after="0"/>
              <w:rPr>
                <w:sz w:val="12"/>
                <w:szCs w:val="12"/>
                <w:color w:val="auto"/>
              </w:rPr>
            </w:pPr>
          </w:p>
        </w:tc>
        <w:tc>
          <w:tcPr>
            <w:tcW w:w="4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2,947</w:t>
            </w: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7,188</w:t>
            </w:r>
          </w:p>
        </w:tc>
      </w:tr>
      <w:tr>
        <w:trPr>
          <w:trHeight w:val="151"/>
        </w:trPr>
        <w:tc>
          <w:tcPr>
            <w:tcW w:w="6020" w:type="dxa"/>
            <w:vAlign w:val="bottom"/>
            <w:tcBorders>
              <w:top w:val="single" w:sz="8" w:color="CCEEFF"/>
              <w:bottom w:val="single" w:sz="8" w:color="CCEEFF"/>
            </w:tcBorders>
            <w:shd w:val="clear" w:color="auto" w:fill="CCEEFF"/>
          </w:tcPr>
          <w:p>
            <w:pPr>
              <w:spacing w:after="0" w:line="124" w:lineRule="exact"/>
              <w:rPr>
                <w:sz w:val="20"/>
                <w:szCs w:val="20"/>
                <w:color w:val="auto"/>
              </w:rPr>
            </w:pPr>
            <w:r>
              <w:rPr>
                <w:rFonts w:ascii="Times New Roman" w:cs="Times New Roman" w:eastAsia="Times New Roman" w:hAnsi="Times New Roman"/>
                <w:sz w:val="11"/>
                <w:szCs w:val="11"/>
                <w:b w:val="1"/>
                <w:bCs w:val="1"/>
                <w:color w:val="auto"/>
              </w:rPr>
              <w:t>Adjusted Net Income (non-GAAP measure)</w:t>
            </w:r>
          </w:p>
        </w:tc>
        <w:tc>
          <w:tcPr>
            <w:tcW w:w="820" w:type="dxa"/>
            <w:vAlign w:val="bottom"/>
            <w:tcBorders>
              <w:top w:val="single" w:sz="8" w:color="auto"/>
              <w:bottom w:val="single" w:sz="8" w:color="auto"/>
            </w:tcBorders>
            <w:shd w:val="clear" w:color="auto" w:fill="CCEEFF"/>
          </w:tcPr>
          <w:p>
            <w:pPr>
              <w:jc w:val="right"/>
              <w:ind w:right="70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4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71,918</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820" w:type="dxa"/>
            <w:vAlign w:val="bottom"/>
            <w:tcBorders>
              <w:top w:val="single" w:sz="8" w:color="auto"/>
              <w:bottom w:val="single" w:sz="8" w:color="auto"/>
            </w:tcBorders>
            <w:shd w:val="clear" w:color="auto" w:fill="CCEEFF"/>
          </w:tcPr>
          <w:p>
            <w:pPr>
              <w:jc w:val="right"/>
              <w:ind w:right="70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4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58,820</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800" w:type="dxa"/>
            <w:vAlign w:val="bottom"/>
            <w:tcBorders>
              <w:top w:val="single" w:sz="8" w:color="auto"/>
              <w:bottom w:val="single" w:sz="8" w:color="auto"/>
            </w:tcBorders>
            <w:shd w:val="clear" w:color="auto" w:fill="CCEEFF"/>
          </w:tcPr>
          <w:p>
            <w:pPr>
              <w:jc w:val="right"/>
              <w:ind w:right="666"/>
              <w:spacing w:after="0"/>
              <w:rPr>
                <w:sz w:val="20"/>
                <w:szCs w:val="20"/>
                <w:color w:val="auto"/>
              </w:rPr>
            </w:pPr>
            <w:r>
              <w:rPr>
                <w:rFonts w:ascii="Times New Roman" w:cs="Times New Roman" w:eastAsia="Times New Roman" w:hAnsi="Times New Roman"/>
                <w:sz w:val="11"/>
                <w:szCs w:val="11"/>
                <w:b w:val="1"/>
                <w:bCs w:val="1"/>
                <w:color w:val="auto"/>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181,882</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800" w:type="dxa"/>
            <w:vAlign w:val="bottom"/>
            <w:tcBorders>
              <w:top w:val="single" w:sz="8" w:color="auto"/>
              <w:bottom w:val="single" w:sz="8" w:color="auto"/>
            </w:tcBorders>
            <w:shd w:val="clear" w:color="auto" w:fill="CCEEFF"/>
          </w:tcPr>
          <w:p>
            <w:pPr>
              <w:jc w:val="right"/>
              <w:ind w:right="666"/>
              <w:spacing w:after="0"/>
              <w:rPr>
                <w:sz w:val="20"/>
                <w:szCs w:val="20"/>
                <w:color w:val="auto"/>
              </w:rPr>
            </w:pPr>
            <w:r>
              <w:rPr>
                <w:rFonts w:ascii="Times New Roman" w:cs="Times New Roman" w:eastAsia="Times New Roman" w:hAnsi="Times New Roman"/>
                <w:sz w:val="11"/>
                <w:szCs w:val="11"/>
                <w:b w:val="1"/>
                <w:bCs w:val="1"/>
                <w:color w:val="auto"/>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161,098</w:t>
            </w:r>
          </w:p>
        </w:tc>
      </w:tr>
    </w:tbl>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Adjusted Diluted EPS:</w:t>
      </w:r>
    </w:p>
    <w:p>
      <w:pPr>
        <w:spacing w:after="0" w:line="2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 xml:space="preserve">Brady is presenting the non-GAAP measure, </w:t>
      </w:r>
      <w:r>
        <w:rPr>
          <w:rFonts w:ascii="Times New Roman" w:cs="Times New Roman" w:eastAsia="Times New Roman" w:hAnsi="Times New Roman"/>
          <w:sz w:val="13"/>
          <w:szCs w:val="13"/>
          <w:color w:val="auto"/>
        </w:rPr>
        <w:t>“</w:t>
      </w:r>
      <w:r>
        <w:rPr>
          <w:rFonts w:ascii="Times New Roman" w:cs="Times New Roman" w:eastAsia="Times New Roman" w:hAnsi="Times New Roman"/>
          <w:sz w:val="12"/>
          <w:szCs w:val="12"/>
          <w:color w:val="auto"/>
        </w:rPr>
        <w:t>Adjusted Diluted EPS.</w:t>
      </w:r>
      <w:r>
        <w:rPr>
          <w:rFonts w:ascii="Times New Roman" w:cs="Times New Roman" w:eastAsia="Times New Roman" w:hAnsi="Times New Roman"/>
          <w:sz w:val="13"/>
          <w:szCs w:val="13"/>
          <w:color w:val="auto"/>
        </w:rPr>
        <w:t>”</w:t>
      </w:r>
      <w:r>
        <w:rPr>
          <w:rFonts w:ascii="Times New Roman" w:cs="Times New Roman" w:eastAsia="Times New Roman" w:hAnsi="Times New Roman"/>
          <w:sz w:val="12"/>
          <w:szCs w:val="12"/>
          <w:color w:val="auto"/>
        </w:rPr>
        <w:t xml:space="preserve"> This is not a calculation based upon GAAP. The amounts included in this non-GAAP measure are derived from amounts included in the Consolidated Financial Statements. We do not view these items to be part of our ongoing results. We believe this measure provides an important perspective of underlying business trends and results and provides a more comparable measure from year to year. The table below provides a reconciliation of the GAAP measure of Net income per Class A Nonvoting Common Share to the non-GAAP measure of Adjusted Diluted EPS (Note that certain amounts will not foot due to rounding):</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6020" w:type="dxa"/>
            <w:vAlign w:val="bottom"/>
          </w:tcPr>
          <w:p>
            <w:pPr>
              <w:spacing w:after="0"/>
              <w:rPr>
                <w:sz w:val="12"/>
                <w:szCs w:val="12"/>
                <w:color w:val="auto"/>
              </w:rPr>
            </w:pPr>
          </w:p>
        </w:tc>
        <w:tc>
          <w:tcPr>
            <w:tcW w:w="2220" w:type="dxa"/>
            <w:vAlign w:val="bottom"/>
            <w:tcBorders>
              <w:bottom w:val="single" w:sz="8" w:color="auto"/>
            </w:tcBorders>
            <w:gridSpan w:val="4"/>
          </w:tcPr>
          <w:p>
            <w:pPr>
              <w:jc w:val="right"/>
              <w:ind w:right="226"/>
              <w:spacing w:after="0"/>
              <w:rPr>
                <w:sz w:val="20"/>
                <w:szCs w:val="20"/>
                <w:color w:val="auto"/>
              </w:rPr>
            </w:pPr>
            <w:r>
              <w:rPr>
                <w:rFonts w:ascii="Times New Roman" w:cs="Times New Roman" w:eastAsia="Times New Roman" w:hAnsi="Times New Roman"/>
                <w:sz w:val="11"/>
                <w:szCs w:val="11"/>
                <w:color w:val="auto"/>
              </w:rPr>
              <w:t>Three months ended April 30,</w:t>
            </w:r>
          </w:p>
        </w:tc>
        <w:tc>
          <w:tcPr>
            <w:tcW w:w="38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2220" w:type="dxa"/>
            <w:vAlign w:val="bottom"/>
            <w:tcBorders>
              <w:bottom w:val="single" w:sz="8" w:color="auto"/>
            </w:tcBorders>
            <w:gridSpan w:val="4"/>
          </w:tcPr>
          <w:p>
            <w:pPr>
              <w:jc w:val="right"/>
              <w:ind w:right="226"/>
              <w:spacing w:after="0"/>
              <w:rPr>
                <w:sz w:val="20"/>
                <w:szCs w:val="20"/>
                <w:color w:val="auto"/>
              </w:rPr>
            </w:pPr>
            <w:r>
              <w:rPr>
                <w:rFonts w:ascii="Times New Roman" w:cs="Times New Roman" w:eastAsia="Times New Roman" w:hAnsi="Times New Roman"/>
                <w:sz w:val="11"/>
                <w:szCs w:val="11"/>
                <w:color w:val="auto"/>
              </w:rPr>
              <w:t>Nine months ended April 30,</w:t>
            </w:r>
          </w:p>
        </w:tc>
        <w:tc>
          <w:tcPr>
            <w:tcW w:w="380" w:type="dxa"/>
            <w:vAlign w:val="bottom"/>
            <w:tcBorders>
              <w:bottom w:val="single" w:sz="8" w:color="auto"/>
            </w:tcBorders>
          </w:tcPr>
          <w:p>
            <w:pPr>
              <w:spacing w:after="0"/>
              <w:rPr>
                <w:sz w:val="12"/>
                <w:szCs w:val="12"/>
                <w:color w:val="auto"/>
              </w:rPr>
            </w:pPr>
          </w:p>
        </w:tc>
      </w:tr>
      <w:tr>
        <w:trPr>
          <w:trHeight w:val="133"/>
        </w:trPr>
        <w:tc>
          <w:tcPr>
            <w:tcW w:w="6020" w:type="dxa"/>
            <w:vAlign w:val="bottom"/>
            <w:tcBorders>
              <w:bottom w:val="single" w:sz="8" w:color="CCEEFF"/>
            </w:tcBorders>
          </w:tcPr>
          <w:p>
            <w:pPr>
              <w:spacing w:after="0"/>
              <w:rPr>
                <w:sz w:val="11"/>
                <w:szCs w:val="11"/>
                <w:color w:val="auto"/>
              </w:rPr>
            </w:pPr>
          </w:p>
        </w:tc>
        <w:tc>
          <w:tcPr>
            <w:tcW w:w="88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color w:val="auto"/>
              </w:rPr>
              <w:t>2026</w:t>
            </w:r>
          </w:p>
        </w:tc>
        <w:tc>
          <w:tcPr>
            <w:tcW w:w="38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88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color w:val="auto"/>
              </w:rPr>
              <w:t>2025</w:t>
            </w:r>
          </w:p>
        </w:tc>
        <w:tc>
          <w:tcPr>
            <w:tcW w:w="380" w:type="dxa"/>
            <w:vAlign w:val="bottom"/>
            <w:tcBorders>
              <w:bottom w:val="single" w:sz="8" w:color="auto"/>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88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color w:val="auto"/>
              </w:rPr>
              <w:t>2026</w:t>
            </w:r>
          </w:p>
        </w:tc>
        <w:tc>
          <w:tcPr>
            <w:tcW w:w="38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88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color w:val="auto"/>
              </w:rPr>
              <w:t>2025</w:t>
            </w:r>
          </w:p>
        </w:tc>
        <w:tc>
          <w:tcPr>
            <w:tcW w:w="380" w:type="dxa"/>
            <w:vAlign w:val="bottom"/>
            <w:tcBorders>
              <w:bottom w:val="single" w:sz="8" w:color="auto"/>
            </w:tcBorders>
          </w:tcPr>
          <w:p>
            <w:pPr>
              <w:spacing w:after="0"/>
              <w:rPr>
                <w:sz w:val="11"/>
                <w:szCs w:val="11"/>
                <w:color w:val="auto"/>
              </w:rPr>
            </w:pPr>
          </w:p>
        </w:tc>
      </w:tr>
      <w:tr>
        <w:trPr>
          <w:trHeight w:val="135"/>
        </w:trPr>
        <w:tc>
          <w:tcPr>
            <w:tcW w:w="602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1"/>
                <w:szCs w:val="11"/>
                <w:b w:val="1"/>
                <w:bCs w:val="1"/>
                <w:color w:val="auto"/>
              </w:rPr>
              <w:t>Net income per Class A Nonvoting Common Share (GAAP measure)</w:t>
            </w:r>
          </w:p>
        </w:tc>
        <w:tc>
          <w:tcPr>
            <w:tcW w:w="880" w:type="dxa"/>
            <w:vAlign w:val="bottom"/>
            <w:shd w:val="clear" w:color="auto" w:fill="CCEEFF"/>
          </w:tcPr>
          <w:p>
            <w:pPr>
              <w:jc w:val="right"/>
              <w:ind w:right="766"/>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1.21</w:t>
            </w: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jc w:val="right"/>
              <w:ind w:right="766"/>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1.09</w:t>
            </w:r>
          </w:p>
        </w:tc>
        <w:tc>
          <w:tcPr>
            <w:tcW w:w="60" w:type="dxa"/>
            <w:vAlign w:val="bottom"/>
            <w:shd w:val="clear" w:color="auto" w:fill="CCEEFF"/>
          </w:tcPr>
          <w:p>
            <w:pPr>
              <w:spacing w:after="0"/>
              <w:rPr>
                <w:sz w:val="11"/>
                <w:szCs w:val="11"/>
                <w:color w:val="auto"/>
              </w:rPr>
            </w:pPr>
          </w:p>
        </w:tc>
        <w:tc>
          <w:tcPr>
            <w:tcW w:w="880" w:type="dxa"/>
            <w:vAlign w:val="bottom"/>
            <w:shd w:val="clear" w:color="auto" w:fill="CCEEFF"/>
          </w:tcPr>
          <w:p>
            <w:pPr>
              <w:jc w:val="right"/>
              <w:ind w:right="746"/>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3.35</w:t>
            </w: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jc w:val="right"/>
              <w:ind w:right="746"/>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2.89</w:t>
            </w:r>
          </w:p>
        </w:tc>
      </w:tr>
      <w:tr>
        <w:trPr>
          <w:trHeight w:val="142"/>
        </w:trPr>
        <w:tc>
          <w:tcPr>
            <w:tcW w:w="6020" w:type="dxa"/>
            <w:vAlign w:val="bottom"/>
          </w:tcPr>
          <w:p>
            <w:pPr>
              <w:ind w:left="440"/>
              <w:spacing w:after="0"/>
              <w:rPr>
                <w:sz w:val="20"/>
                <w:szCs w:val="20"/>
                <w:color w:val="auto"/>
              </w:rPr>
            </w:pPr>
            <w:r>
              <w:rPr>
                <w:rFonts w:ascii="Times New Roman" w:cs="Times New Roman" w:eastAsia="Times New Roman" w:hAnsi="Times New Roman"/>
                <w:sz w:val="11"/>
                <w:szCs w:val="11"/>
                <w:color w:val="auto"/>
              </w:rPr>
              <w:t>Amortization expense</w:t>
            </w:r>
          </w:p>
        </w:tc>
        <w:tc>
          <w:tcPr>
            <w:tcW w:w="880" w:type="dxa"/>
            <w:vAlign w:val="bottom"/>
          </w:tcPr>
          <w:p>
            <w:pPr>
              <w:spacing w:after="0"/>
              <w:rPr>
                <w:sz w:val="12"/>
                <w:szCs w:val="12"/>
                <w:color w:val="auto"/>
              </w:rPr>
            </w:pPr>
          </w:p>
        </w:tc>
        <w:tc>
          <w:tcPr>
            <w:tcW w:w="3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0.08</w:t>
            </w: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0.08</w:t>
            </w: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0.25</w:t>
            </w: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0.22</w:t>
            </w:r>
          </w:p>
        </w:tc>
      </w:tr>
      <w:tr>
        <w:trPr>
          <w:trHeight w:val="146"/>
        </w:trPr>
        <w:tc>
          <w:tcPr>
            <w:tcW w:w="60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rPr>
              <w:t>Non-recurring acquisition-related costs and other related expenses</w:t>
            </w:r>
          </w:p>
        </w:tc>
        <w:tc>
          <w:tcPr>
            <w:tcW w:w="880" w:type="dxa"/>
            <w:vAlign w:val="bottom"/>
            <w:shd w:val="clear" w:color="auto" w:fill="CCEEFF"/>
          </w:tcPr>
          <w:p>
            <w:pPr>
              <w:spacing w:after="0"/>
              <w:rPr>
                <w:sz w:val="12"/>
                <w:szCs w:val="12"/>
                <w:color w:val="auto"/>
              </w:rPr>
            </w:pPr>
          </w:p>
        </w:tc>
        <w:tc>
          <w:tcPr>
            <w:tcW w:w="38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0.21</w:t>
            </w: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0.21</w:t>
            </w: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0.08</w:t>
            </w:r>
          </w:p>
        </w:tc>
      </w:tr>
      <w:tr>
        <w:trPr>
          <w:trHeight w:val="142"/>
        </w:trPr>
        <w:tc>
          <w:tcPr>
            <w:tcW w:w="6020" w:type="dxa"/>
            <w:vAlign w:val="bottom"/>
          </w:tcPr>
          <w:p>
            <w:pPr>
              <w:ind w:left="440"/>
              <w:spacing w:after="0"/>
              <w:rPr>
                <w:sz w:val="20"/>
                <w:szCs w:val="20"/>
                <w:color w:val="auto"/>
              </w:rPr>
            </w:pPr>
            <w:r>
              <w:rPr>
                <w:rFonts w:ascii="Times New Roman" w:cs="Times New Roman" w:eastAsia="Times New Roman" w:hAnsi="Times New Roman"/>
                <w:sz w:val="11"/>
                <w:szCs w:val="11"/>
                <w:color w:val="auto"/>
              </w:rPr>
              <w:t>Facility closure and other reorganization costs</w:t>
            </w:r>
          </w:p>
        </w:tc>
        <w:tc>
          <w:tcPr>
            <w:tcW w:w="880" w:type="dxa"/>
            <w:vAlign w:val="bottom"/>
          </w:tcPr>
          <w:p>
            <w:pPr>
              <w:spacing w:after="0"/>
              <w:rPr>
                <w:sz w:val="12"/>
                <w:szCs w:val="12"/>
                <w:color w:val="auto"/>
              </w:rPr>
            </w:pP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Pr>
          <w:p>
            <w:pPr>
              <w:spacing w:after="0"/>
              <w:rPr>
                <w:sz w:val="12"/>
                <w:szCs w:val="12"/>
                <w:color w:val="auto"/>
              </w:rPr>
            </w:pPr>
          </w:p>
        </w:tc>
        <w:tc>
          <w:tcPr>
            <w:tcW w:w="3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0.06</w:t>
            </w: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0.15</w:t>
            </w:r>
          </w:p>
        </w:tc>
      </w:tr>
      <w:tr>
        <w:trPr>
          <w:trHeight w:val="151"/>
        </w:trPr>
        <w:tc>
          <w:tcPr>
            <w:tcW w:w="6020" w:type="dxa"/>
            <w:vAlign w:val="bottom"/>
            <w:tcBorders>
              <w:top w:val="single" w:sz="8" w:color="CCEEFF"/>
              <w:bottom w:val="single" w:sz="8" w:color="CCEEFF"/>
            </w:tcBorders>
            <w:shd w:val="clear" w:color="auto" w:fill="CCEEFF"/>
          </w:tcPr>
          <w:p>
            <w:pPr>
              <w:spacing w:after="0" w:line="124" w:lineRule="exact"/>
              <w:rPr>
                <w:sz w:val="20"/>
                <w:szCs w:val="20"/>
                <w:color w:val="auto"/>
              </w:rPr>
            </w:pPr>
            <w:r>
              <w:rPr>
                <w:rFonts w:ascii="Times New Roman" w:cs="Times New Roman" w:eastAsia="Times New Roman" w:hAnsi="Times New Roman"/>
                <w:sz w:val="11"/>
                <w:szCs w:val="11"/>
                <w:b w:val="1"/>
                <w:bCs w:val="1"/>
                <w:color w:val="auto"/>
              </w:rPr>
              <w:t>Adjusted Diluted EPS (non-GAAP measure)</w:t>
            </w:r>
          </w:p>
        </w:tc>
        <w:tc>
          <w:tcPr>
            <w:tcW w:w="880" w:type="dxa"/>
            <w:vAlign w:val="bottom"/>
            <w:tcBorders>
              <w:top w:val="single" w:sz="8" w:color="auto"/>
              <w:bottom w:val="single" w:sz="8" w:color="auto"/>
            </w:tcBorders>
            <w:shd w:val="clear" w:color="auto" w:fill="CCEEFF"/>
          </w:tcPr>
          <w:p>
            <w:pPr>
              <w:jc w:val="right"/>
              <w:ind w:right="76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38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1.50</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880" w:type="dxa"/>
            <w:vAlign w:val="bottom"/>
            <w:tcBorders>
              <w:top w:val="single" w:sz="8" w:color="auto"/>
              <w:bottom w:val="single" w:sz="8" w:color="auto"/>
            </w:tcBorders>
            <w:shd w:val="clear" w:color="auto" w:fill="CCEEFF"/>
          </w:tcPr>
          <w:p>
            <w:pPr>
              <w:jc w:val="right"/>
              <w:ind w:right="76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38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1.22</w:t>
            </w: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880" w:type="dxa"/>
            <w:vAlign w:val="bottom"/>
            <w:tcBorders>
              <w:top w:val="single" w:sz="8" w:color="auto"/>
              <w:bottom w:val="single" w:sz="8" w:color="auto"/>
            </w:tcBorders>
            <w:shd w:val="clear" w:color="auto" w:fill="CCEEFF"/>
          </w:tcPr>
          <w:p>
            <w:pPr>
              <w:jc w:val="right"/>
              <w:ind w:right="746"/>
              <w:spacing w:after="0"/>
              <w:rPr>
                <w:sz w:val="20"/>
                <w:szCs w:val="20"/>
                <w:color w:val="auto"/>
              </w:rPr>
            </w:pPr>
            <w:r>
              <w:rPr>
                <w:rFonts w:ascii="Times New Roman" w:cs="Times New Roman" w:eastAsia="Times New Roman" w:hAnsi="Times New Roman"/>
                <w:sz w:val="11"/>
                <w:szCs w:val="11"/>
                <w:b w:val="1"/>
                <w:bCs w:val="1"/>
                <w:color w:val="auto"/>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3.81</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880" w:type="dxa"/>
            <w:vAlign w:val="bottom"/>
            <w:tcBorders>
              <w:top w:val="single" w:sz="8" w:color="auto"/>
              <w:bottom w:val="single" w:sz="8" w:color="auto"/>
            </w:tcBorders>
            <w:shd w:val="clear" w:color="auto" w:fill="CCEEFF"/>
          </w:tcPr>
          <w:p>
            <w:pPr>
              <w:jc w:val="right"/>
              <w:ind w:right="746"/>
              <w:spacing w:after="0"/>
              <w:rPr>
                <w:sz w:val="20"/>
                <w:szCs w:val="20"/>
                <w:color w:val="auto"/>
              </w:rPr>
            </w:pPr>
            <w:r>
              <w:rPr>
                <w:rFonts w:ascii="Times New Roman" w:cs="Times New Roman" w:eastAsia="Times New Roman" w:hAnsi="Times New Roman"/>
                <w:sz w:val="11"/>
                <w:szCs w:val="11"/>
                <w:b w:val="1"/>
                <w:bCs w:val="1"/>
                <w:color w:val="auto"/>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3.34</w:t>
            </w:r>
          </w:p>
        </w:tc>
      </w:tr>
    </w:tbl>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Adjusted Diluted EPS Guidance:</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8460" w:type="dxa"/>
            <w:vAlign w:val="bottom"/>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color w:val="auto"/>
              </w:rPr>
              <w:t>Fiscal 2026 Expectations</w:t>
            </w:r>
          </w:p>
        </w:tc>
        <w:tc>
          <w:tcPr>
            <w:tcW w:w="820" w:type="dxa"/>
            <w:vAlign w:val="bottom"/>
            <w:tcBorders>
              <w:bottom w:val="single" w:sz="8" w:color="auto"/>
            </w:tcBorders>
          </w:tcPr>
          <w:p>
            <w:pPr>
              <w:spacing w:after="0"/>
              <w:rPr>
                <w:sz w:val="12"/>
                <w:szCs w:val="12"/>
                <w:color w:val="auto"/>
              </w:rPr>
            </w:pPr>
          </w:p>
        </w:tc>
      </w:tr>
      <w:tr>
        <w:trPr>
          <w:trHeight w:val="133"/>
        </w:trPr>
        <w:tc>
          <w:tcPr>
            <w:tcW w:w="8460" w:type="dxa"/>
            <w:vAlign w:val="bottom"/>
            <w:tcBorders>
              <w:bottom w:val="single" w:sz="8" w:color="CCEEFF"/>
            </w:tcBorders>
          </w:tcPr>
          <w:p>
            <w:pPr>
              <w:spacing w:after="0"/>
              <w:rPr>
                <w:sz w:val="11"/>
                <w:szCs w:val="1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Low</w:t>
            </w:r>
          </w:p>
        </w:tc>
        <w:tc>
          <w:tcPr>
            <w:tcW w:w="54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ind w:right="526"/>
              <w:spacing w:after="0"/>
              <w:rPr>
                <w:sz w:val="20"/>
                <w:szCs w:val="20"/>
                <w:color w:val="auto"/>
              </w:rPr>
            </w:pPr>
            <w:r>
              <w:rPr>
                <w:rFonts w:ascii="Times New Roman" w:cs="Times New Roman" w:eastAsia="Times New Roman" w:hAnsi="Times New Roman"/>
                <w:sz w:val="11"/>
                <w:szCs w:val="11"/>
                <w:color w:val="auto"/>
                <w:w w:val="99"/>
              </w:rPr>
              <w:t>High</w:t>
            </w:r>
          </w:p>
        </w:tc>
      </w:tr>
      <w:tr>
        <w:trPr>
          <w:trHeight w:val="135"/>
        </w:trPr>
        <w:tc>
          <w:tcPr>
            <w:tcW w:w="846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1"/>
                <w:szCs w:val="11"/>
                <w:b w:val="1"/>
                <w:bCs w:val="1"/>
                <w:color w:val="auto"/>
              </w:rPr>
              <w:t>Earnings per Class A Nonvoting Common Share (GAAP measure)</w:t>
            </w:r>
          </w:p>
        </w:tc>
        <w:tc>
          <w:tcPr>
            <w:tcW w:w="820" w:type="dxa"/>
            <w:vAlign w:val="bottom"/>
            <w:shd w:val="clear" w:color="auto" w:fill="CCEEFF"/>
          </w:tcPr>
          <w:p>
            <w:pPr>
              <w:jc w:val="right"/>
              <w:ind w:right="686"/>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4.66</w:t>
            </w: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jc w:val="right"/>
              <w:ind w:right="42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4.76</w:t>
            </w:r>
          </w:p>
        </w:tc>
      </w:tr>
      <w:tr>
        <w:trPr>
          <w:trHeight w:val="142"/>
        </w:trPr>
        <w:tc>
          <w:tcPr>
            <w:tcW w:w="8460" w:type="dxa"/>
            <w:vAlign w:val="bottom"/>
          </w:tcPr>
          <w:p>
            <w:pPr>
              <w:ind w:left="440"/>
              <w:spacing w:after="0"/>
              <w:rPr>
                <w:sz w:val="20"/>
                <w:szCs w:val="20"/>
                <w:color w:val="auto"/>
              </w:rPr>
            </w:pPr>
            <w:r>
              <w:rPr>
                <w:rFonts w:ascii="Times New Roman" w:cs="Times New Roman" w:eastAsia="Times New Roman" w:hAnsi="Times New Roman"/>
                <w:sz w:val="11"/>
                <w:szCs w:val="11"/>
                <w:color w:val="auto"/>
              </w:rPr>
              <w:t>Amortization expense</w:t>
            </w:r>
          </w:p>
        </w:tc>
        <w:tc>
          <w:tcPr>
            <w:tcW w:w="8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0.33</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0.33</w:t>
            </w:r>
          </w:p>
        </w:tc>
      </w:tr>
      <w:tr>
        <w:trPr>
          <w:trHeight w:val="146"/>
        </w:trPr>
        <w:tc>
          <w:tcPr>
            <w:tcW w:w="84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rPr>
              <w:t>Non-recurring acquisition-related costs and other related expenses</w:t>
            </w:r>
          </w:p>
        </w:tc>
        <w:tc>
          <w:tcPr>
            <w:tcW w:w="82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0.21</w:t>
            </w:r>
          </w:p>
        </w:tc>
        <w:tc>
          <w:tcPr>
            <w:tcW w:w="100" w:type="dxa"/>
            <w:vAlign w:val="bottom"/>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0.21</w:t>
            </w:r>
          </w:p>
        </w:tc>
      </w:tr>
      <w:tr>
        <w:trPr>
          <w:trHeight w:val="132"/>
        </w:trPr>
        <w:tc>
          <w:tcPr>
            <w:tcW w:w="8460" w:type="dxa"/>
            <w:vAlign w:val="bottom"/>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Adjusted Diluted EPS (non-GAAP measure)</w:t>
            </w:r>
          </w:p>
        </w:tc>
        <w:tc>
          <w:tcPr>
            <w:tcW w:w="820" w:type="dxa"/>
            <w:vAlign w:val="bottom"/>
            <w:tcBorders>
              <w:bottom w:val="single" w:sz="8" w:color="auto"/>
            </w:tcBorders>
          </w:tcPr>
          <w:p>
            <w:pPr>
              <w:jc w:val="right"/>
              <w:ind w:right="686"/>
              <w:spacing w:after="0"/>
              <w:rPr>
                <w:sz w:val="20"/>
                <w:szCs w:val="20"/>
                <w:color w:val="auto"/>
              </w:rPr>
            </w:pPr>
            <w:r>
              <w:rPr>
                <w:rFonts w:ascii="Times New Roman" w:cs="Times New Roman" w:eastAsia="Times New Roman" w:hAnsi="Times New Roman"/>
                <w:sz w:val="11"/>
                <w:szCs w:val="11"/>
                <w:b w:val="1"/>
                <w:bCs w:val="1"/>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5.20</w:t>
            </w:r>
          </w:p>
        </w:tc>
        <w:tc>
          <w:tcPr>
            <w:tcW w:w="100" w:type="dxa"/>
            <w:vAlign w:val="bottom"/>
          </w:tcPr>
          <w:p>
            <w:pPr>
              <w:spacing w:after="0"/>
              <w:rPr>
                <w:sz w:val="11"/>
                <w:szCs w:val="11"/>
                <w:color w:val="auto"/>
              </w:rPr>
            </w:pPr>
          </w:p>
        </w:tc>
        <w:tc>
          <w:tcPr>
            <w:tcW w:w="540" w:type="dxa"/>
            <w:vAlign w:val="bottom"/>
            <w:tcBorders>
              <w:bottom w:val="single" w:sz="8" w:color="auto"/>
            </w:tcBorders>
          </w:tcPr>
          <w:p>
            <w:pPr>
              <w:jc w:val="right"/>
              <w:ind w:right="42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5.30</w:t>
            </w:r>
          </w:p>
        </w:tc>
      </w:tr>
      <w:tr>
        <w:trPr>
          <w:trHeight w:val="20"/>
        </w:trPr>
        <w:tc>
          <w:tcPr>
            <w:tcW w:w="84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300"/>
          </w:cols>
          <w:pgMar w:left="300" w:top="665" w:right="299" w:bottom="1440"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45015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72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0415" cy="45072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72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0415" cy="45072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72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0415" cy="45072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2026-05-18T06:05:22Z</dcterms:created>
  <dcterms:modified xsi:type="dcterms:W3CDTF">2026-05-18T06:05:22Z</dcterms:modified>
</cp:coreProperties>
</file>