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850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85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3"/>
                </w:rPr>
                <w:t>Millar Stephen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BRC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President Asia Pacific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8"/>
              </w:rPr>
              <w:t>6555 W. GOOD HOPE RD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40" w:type="dxa"/>
            <w:vAlign w:val="bottom"/>
            <w:gridSpan w:val="17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3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6,000</w:t>
            </w:r>
          </w:p>
        </w:tc>
        <w:tc>
          <w:tcPr>
            <w:tcW w:w="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17.325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6,000</w:t>
            </w:r>
          </w:p>
        </w:tc>
        <w:tc>
          <w:tcPr>
            <w:tcW w:w="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 Option Exercise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17.325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03/28/2013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7"/>
              </w:rPr>
              <w:t>11/20/2006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7"/>
              </w:rPr>
              <w:t>11/20/2013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94"/>
              </w:rPr>
              <w:t>Class A Common Stock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04/01/2013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4th day of March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Stephen Millar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Stephen Millar</w:t>
      </w:r>
    </w:p>
    <w:p>
      <w:pPr>
        <w:ind w:left="8"/>
        <w:spacing w:after="0"/>
        <w:tabs>
          <w:tab w:leader="none" w:pos="74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President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Brady Asia Pacific &amp; V.P. Brady Corporation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76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2019-12-16T04:33:11Z</dcterms:created>
  <dcterms:modified xsi:type="dcterms:W3CDTF">2019-12-16T04:33:11Z</dcterms:modified>
</cp:coreProperties>
</file>