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7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5375910</wp:posOffset>
            </wp:positionH>
            <wp:positionV relativeFrom="paragraph">
              <wp:posOffset>-613410</wp:posOffset>
            </wp:positionV>
            <wp:extent cx="57785" cy="626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4037330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-1814830</wp:posOffset>
            </wp:positionH>
            <wp:positionV relativeFrom="paragraph">
              <wp:posOffset>13335</wp:posOffset>
            </wp:positionV>
            <wp:extent cx="7327265" cy="412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2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20"/>
            <w:col w:w="868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ALLENDER PATRICK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 w:line="101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2733 MARIE ANTOINETTE STREET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02/01/2012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HENDERSON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08952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5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995.4488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15,070.5703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995.4488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32.89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 w:right="140" w:hanging="1"/>
        <w:spacing w:after="0"/>
        <w:tabs>
          <w:tab w:leader="none" w:pos="16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 of Brady's Class A Common Stock upon the reporting persons cessation of service as a director.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77.6788 shares acquired pursuant to a deferred compensation dividend on February 2, 2012.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4200" w:hanging="1"/>
        <w:spacing w:after="0" w:line="32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2019-12-16T04:32:19Z</dcterms:created>
  <dcterms:modified xsi:type="dcterms:W3CDTF">2019-12-16T04:32:19Z</dcterms:modified>
</cp:coreProperties>
</file>