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55880</wp:posOffset>
            </wp:positionV>
            <wp:extent cx="159448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70485</wp:posOffset>
            </wp:positionV>
            <wp:extent cx="159448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September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70485</wp:posOffset>
            </wp:positionV>
            <wp:extent cx="159448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BRADY CORPORATION</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37465</wp:posOffset>
            </wp:positionV>
            <wp:extent cx="159448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86" w:lineRule="exact"/>
        <w:rPr>
          <w:sz w:val="24"/>
          <w:szCs w:val="24"/>
          <w:color w:val="auto"/>
        </w:rPr>
      </w:pPr>
    </w:p>
    <w:tbl>
      <w:tblPr>
        <w:tblLayout w:type="fixed"/>
        <w:tblInd w:w="1520" w:type="dxa"/>
        <w:tblCellMar>
          <w:top w:w="0" w:type="dxa"/>
          <w:left w:w="0" w:type="dxa"/>
          <w:bottom w:w="0" w:type="dxa"/>
          <w:right w:w="0" w:type="dxa"/>
        </w:tblCellMar>
      </w:tblPr>
      <w:tr>
        <w:trPr>
          <w:trHeight w:val="159"/>
        </w:trPr>
        <w:tc>
          <w:tcPr>
            <w:tcW w:w="2860" w:type="dxa"/>
            <w:vAlign w:val="bottom"/>
          </w:tcPr>
          <w:p>
            <w:pPr>
              <w:spacing w:after="0"/>
              <w:rPr>
                <w:sz w:val="13"/>
                <w:szCs w:val="13"/>
                <w:color w:val="auto"/>
              </w:rPr>
            </w:pPr>
          </w:p>
        </w:tc>
        <w:tc>
          <w:tcPr>
            <w:tcW w:w="4900" w:type="dxa"/>
            <w:vAlign w:val="bottom"/>
            <w:gridSpan w:val="2"/>
          </w:tcPr>
          <w:p>
            <w:pPr>
              <w:jc w:val="center"/>
              <w:ind w:right="2312"/>
              <w:spacing w:after="0"/>
              <w:rPr>
                <w:sz w:val="20"/>
                <w:szCs w:val="20"/>
                <w:color w:val="auto"/>
              </w:rPr>
            </w:pPr>
            <w:r>
              <w:rPr>
                <w:rFonts w:ascii="Times New Roman" w:cs="Times New Roman" w:eastAsia="Times New Roman" w:hAnsi="Times New Roman"/>
                <w:sz w:val="12"/>
                <w:szCs w:val="12"/>
                <w:b w:val="1"/>
                <w:bCs w:val="1"/>
                <w:color w:val="auto"/>
                <w:w w:val="99"/>
              </w:rPr>
              <w:t>Commission File Number 1-14959</w:t>
            </w:r>
          </w:p>
        </w:tc>
      </w:tr>
      <w:tr>
        <w:trPr>
          <w:trHeight w:val="299"/>
        </w:trPr>
        <w:tc>
          <w:tcPr>
            <w:tcW w:w="2860" w:type="dxa"/>
            <w:vAlign w:val="bottom"/>
          </w:tcPr>
          <w:p>
            <w:pPr>
              <w:jc w:val="center"/>
              <w:ind w:right="326"/>
              <w:spacing w:after="0"/>
              <w:rPr>
                <w:sz w:val="20"/>
                <w:szCs w:val="20"/>
                <w:color w:val="auto"/>
              </w:rPr>
            </w:pPr>
            <w:r>
              <w:rPr>
                <w:rFonts w:ascii="Times New Roman" w:cs="Times New Roman" w:eastAsia="Times New Roman" w:hAnsi="Times New Roman"/>
                <w:sz w:val="12"/>
                <w:szCs w:val="12"/>
                <w:b w:val="1"/>
                <w:bCs w:val="1"/>
                <w:color w:val="auto"/>
                <w:w w:val="98"/>
              </w:rPr>
              <w:t>Wisconsin</w:t>
            </w:r>
          </w:p>
        </w:tc>
        <w:tc>
          <w:tcPr>
            <w:tcW w:w="4900" w:type="dxa"/>
            <w:vAlign w:val="bottom"/>
            <w:gridSpan w:val="2"/>
          </w:tcPr>
          <w:p>
            <w:pPr>
              <w:jc w:val="right"/>
              <w:ind w:right="372"/>
              <w:spacing w:after="0"/>
              <w:rPr>
                <w:sz w:val="20"/>
                <w:szCs w:val="20"/>
                <w:color w:val="auto"/>
              </w:rPr>
            </w:pPr>
            <w:r>
              <w:rPr>
                <w:rFonts w:ascii="Times New Roman" w:cs="Times New Roman" w:eastAsia="Times New Roman" w:hAnsi="Times New Roman"/>
                <w:sz w:val="12"/>
                <w:szCs w:val="12"/>
                <w:b w:val="1"/>
                <w:bCs w:val="1"/>
                <w:color w:val="auto"/>
              </w:rPr>
              <w:t>39-0178960</w:t>
            </w:r>
          </w:p>
        </w:tc>
      </w:tr>
      <w:tr>
        <w:trPr>
          <w:trHeight w:val="125"/>
        </w:trPr>
        <w:tc>
          <w:tcPr>
            <w:tcW w:w="2860" w:type="dxa"/>
            <w:vAlign w:val="bottom"/>
          </w:tcPr>
          <w:p>
            <w:pPr>
              <w:jc w:val="center"/>
              <w:ind w:right="326"/>
              <w:spacing w:after="0"/>
              <w:rPr>
                <w:sz w:val="20"/>
                <w:szCs w:val="20"/>
                <w:color w:val="auto"/>
              </w:rPr>
            </w:pPr>
            <w:r>
              <w:rPr>
                <w:rFonts w:ascii="Times New Roman" w:cs="Times New Roman" w:eastAsia="Times New Roman" w:hAnsi="Times New Roman"/>
                <w:sz w:val="10"/>
                <w:szCs w:val="10"/>
                <w:b w:val="1"/>
                <w:bCs w:val="1"/>
                <w:color w:val="auto"/>
                <w:w w:val="96"/>
              </w:rPr>
              <w:t>(State or other jurisdiction of incorporation or organization)</w:t>
            </w:r>
          </w:p>
        </w:tc>
        <w:tc>
          <w:tcPr>
            <w:tcW w:w="2520" w:type="dxa"/>
            <w:vAlign w:val="bottom"/>
          </w:tcPr>
          <w:p>
            <w:pPr>
              <w:spacing w:after="0"/>
              <w:rPr>
                <w:sz w:val="10"/>
                <w:szCs w:val="10"/>
                <w:color w:val="auto"/>
              </w:rPr>
            </w:pPr>
          </w:p>
        </w:tc>
        <w:tc>
          <w:tcPr>
            <w:tcW w:w="2380" w:type="dxa"/>
            <w:vAlign w:val="bottom"/>
          </w:tcPr>
          <w:p>
            <w:pPr>
              <w:jc w:val="center"/>
              <w:ind w:left="932"/>
              <w:spacing w:after="0"/>
              <w:rPr>
                <w:sz w:val="20"/>
                <w:szCs w:val="20"/>
                <w:color w:val="auto"/>
              </w:rPr>
            </w:pPr>
            <w:r>
              <w:rPr>
                <w:rFonts w:ascii="Times New Roman" w:cs="Times New Roman" w:eastAsia="Times New Roman" w:hAnsi="Times New Roman"/>
                <w:sz w:val="10"/>
                <w:szCs w:val="10"/>
                <w:b w:val="1"/>
                <w:bCs w:val="1"/>
                <w:color w:val="auto"/>
                <w:w w:val="96"/>
              </w:rPr>
              <w:t>(IRS Employer Identification No.)</w:t>
            </w:r>
          </w:p>
        </w:tc>
      </w:tr>
      <w:tr>
        <w:trPr>
          <w:trHeight w:val="281"/>
        </w:trPr>
        <w:tc>
          <w:tcPr>
            <w:tcW w:w="2860" w:type="dxa"/>
            <w:vAlign w:val="bottom"/>
          </w:tcPr>
          <w:p>
            <w:pPr>
              <w:spacing w:after="0"/>
              <w:rPr>
                <w:sz w:val="24"/>
                <w:szCs w:val="24"/>
                <w:color w:val="auto"/>
              </w:rPr>
            </w:pPr>
          </w:p>
        </w:tc>
        <w:tc>
          <w:tcPr>
            <w:tcW w:w="4900" w:type="dxa"/>
            <w:vAlign w:val="bottom"/>
            <w:gridSpan w:val="2"/>
          </w:tcPr>
          <w:p>
            <w:pPr>
              <w:jc w:val="center"/>
              <w:ind w:right="2332"/>
              <w:spacing w:after="0"/>
              <w:rPr>
                <w:sz w:val="20"/>
                <w:szCs w:val="20"/>
                <w:color w:val="auto"/>
              </w:rPr>
            </w:pPr>
            <w:r>
              <w:rPr>
                <w:rFonts w:ascii="Times New Roman" w:cs="Times New Roman" w:eastAsia="Times New Roman" w:hAnsi="Times New Roman"/>
                <w:sz w:val="12"/>
                <w:szCs w:val="12"/>
                <w:b w:val="1"/>
                <w:bCs w:val="1"/>
                <w:color w:val="auto"/>
                <w:w w:val="99"/>
              </w:rPr>
              <w:t>6555 West Good Hope Road</w:t>
            </w:r>
          </w:p>
        </w:tc>
      </w:tr>
      <w:tr>
        <w:trPr>
          <w:trHeight w:val="142"/>
        </w:trPr>
        <w:tc>
          <w:tcPr>
            <w:tcW w:w="2860" w:type="dxa"/>
            <w:vAlign w:val="bottom"/>
          </w:tcPr>
          <w:p>
            <w:pPr>
              <w:spacing w:after="0"/>
              <w:rPr>
                <w:sz w:val="12"/>
                <w:szCs w:val="12"/>
                <w:color w:val="auto"/>
              </w:rPr>
            </w:pPr>
          </w:p>
        </w:tc>
        <w:tc>
          <w:tcPr>
            <w:tcW w:w="4900" w:type="dxa"/>
            <w:vAlign w:val="bottom"/>
            <w:gridSpan w:val="2"/>
          </w:tcPr>
          <w:p>
            <w:pPr>
              <w:jc w:val="center"/>
              <w:ind w:right="2332"/>
              <w:spacing w:after="0"/>
              <w:rPr>
                <w:sz w:val="20"/>
                <w:szCs w:val="20"/>
                <w:color w:val="auto"/>
              </w:rPr>
            </w:pPr>
            <w:r>
              <w:rPr>
                <w:rFonts w:ascii="Times New Roman" w:cs="Times New Roman" w:eastAsia="Times New Roman" w:hAnsi="Times New Roman"/>
                <w:sz w:val="12"/>
                <w:szCs w:val="12"/>
                <w:b w:val="1"/>
                <w:bCs w:val="1"/>
                <w:color w:val="auto"/>
                <w:w w:val="99"/>
              </w:rPr>
              <w:t>Milwaukee, Wisconsin 53223</w:t>
            </w:r>
          </w:p>
        </w:tc>
      </w:tr>
      <w:tr>
        <w:trPr>
          <w:trHeight w:val="125"/>
        </w:trPr>
        <w:tc>
          <w:tcPr>
            <w:tcW w:w="2860" w:type="dxa"/>
            <w:vAlign w:val="bottom"/>
          </w:tcPr>
          <w:p>
            <w:pPr>
              <w:spacing w:after="0"/>
              <w:rPr>
                <w:sz w:val="10"/>
                <w:szCs w:val="10"/>
                <w:color w:val="auto"/>
              </w:rPr>
            </w:pPr>
          </w:p>
        </w:tc>
        <w:tc>
          <w:tcPr>
            <w:tcW w:w="4900" w:type="dxa"/>
            <w:vAlign w:val="bottom"/>
            <w:gridSpan w:val="2"/>
          </w:tcPr>
          <w:p>
            <w:pPr>
              <w:jc w:val="center"/>
              <w:ind w:right="2312"/>
              <w:spacing w:after="0"/>
              <w:rPr>
                <w:sz w:val="20"/>
                <w:szCs w:val="20"/>
                <w:color w:val="auto"/>
              </w:rPr>
            </w:pPr>
            <w:r>
              <w:rPr>
                <w:rFonts w:ascii="Times New Roman" w:cs="Times New Roman" w:eastAsia="Times New Roman" w:hAnsi="Times New Roman"/>
                <w:sz w:val="10"/>
                <w:szCs w:val="10"/>
                <w:b w:val="1"/>
                <w:bCs w:val="1"/>
                <w:color w:val="auto"/>
                <w:w w:val="95"/>
              </w:rPr>
              <w:t>(Address of Principal Executive Offices and Zip Code)</w:t>
            </w:r>
          </w:p>
        </w:tc>
      </w:tr>
      <w:tr>
        <w:trPr>
          <w:trHeight w:val="199"/>
        </w:trPr>
        <w:tc>
          <w:tcPr>
            <w:tcW w:w="2860" w:type="dxa"/>
            <w:vAlign w:val="bottom"/>
          </w:tcPr>
          <w:p>
            <w:pPr>
              <w:spacing w:after="0"/>
              <w:rPr>
                <w:sz w:val="17"/>
                <w:szCs w:val="17"/>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(414) 358-6600</w:t>
            </w:r>
          </w:p>
        </w:tc>
        <w:tc>
          <w:tcPr>
            <w:tcW w:w="2380" w:type="dxa"/>
            <w:vAlign w:val="bottom"/>
          </w:tcPr>
          <w:p>
            <w:pPr>
              <w:spacing w:after="0"/>
              <w:rPr>
                <w:sz w:val="17"/>
                <w:szCs w:val="17"/>
                <w:color w:val="auto"/>
              </w:rPr>
            </w:pPr>
          </w:p>
        </w:tc>
      </w:tr>
      <w:tr>
        <w:trPr>
          <w:trHeight w:val="125"/>
        </w:trPr>
        <w:tc>
          <w:tcPr>
            <w:tcW w:w="2860" w:type="dxa"/>
            <w:vAlign w:val="bottom"/>
          </w:tcPr>
          <w:p>
            <w:pPr>
              <w:spacing w:after="0"/>
              <w:rPr>
                <w:sz w:val="10"/>
                <w:szCs w:val="10"/>
                <w:color w:val="auto"/>
              </w:rPr>
            </w:pPr>
          </w:p>
        </w:tc>
        <w:tc>
          <w:tcPr>
            <w:tcW w:w="4900" w:type="dxa"/>
            <w:vAlign w:val="bottom"/>
            <w:gridSpan w:val="2"/>
          </w:tcPr>
          <w:p>
            <w:pPr>
              <w:jc w:val="center"/>
              <w:ind w:right="2332"/>
              <w:spacing w:after="0"/>
              <w:rPr>
                <w:sz w:val="20"/>
                <w:szCs w:val="20"/>
                <w:color w:val="auto"/>
              </w:rPr>
            </w:pPr>
            <w:r>
              <w:rPr>
                <w:rFonts w:ascii="Times New Roman" w:cs="Times New Roman" w:eastAsia="Times New Roman" w:hAnsi="Times New Roman"/>
                <w:sz w:val="10"/>
                <w:szCs w:val="10"/>
                <w:b w:val="1"/>
                <w:bCs w:val="1"/>
                <w:color w:val="auto"/>
                <w:w w:val="94"/>
              </w:rPr>
              <w:t>(Registrant’s Telephone Number)</w:t>
            </w:r>
          </w:p>
        </w:tc>
      </w:tr>
      <w:tr>
        <w:trPr>
          <w:trHeight w:val="62"/>
        </w:trPr>
        <w:tc>
          <w:tcPr>
            <w:tcW w:w="2860" w:type="dxa"/>
            <w:vAlign w:val="bottom"/>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2380" w:type="dxa"/>
            <w:vAlign w:val="bottom"/>
          </w:tcPr>
          <w:p>
            <w:pPr>
              <w:spacing w:after="0"/>
              <w:rPr>
                <w:sz w:val="5"/>
                <w:szCs w:val="5"/>
                <w:color w:val="auto"/>
              </w:rPr>
            </w:pPr>
          </w:p>
        </w:tc>
      </w:tr>
    </w:tbl>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32" w:lineRule="exact"/>
        <w:rPr>
          <w:sz w:val="24"/>
          <w:szCs w:val="2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14"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05"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14"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14"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6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3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42"/>
        </w:trPr>
        <w:tc>
          <w:tcPr>
            <w:tcW w:w="6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BRC</w:t>
            </w: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r>
    </w:tbl>
    <w:p>
      <w:pPr>
        <w:spacing w:after="0" w:line="142" w:lineRule="exact"/>
        <w:rPr>
          <w:sz w:val="24"/>
          <w:szCs w:val="24"/>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1"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4"/>
          <w:szCs w:val="14"/>
          <w:color w:val="auto"/>
        </w:rPr>
        <w:t>☐</w:t>
      </w:r>
    </w:p>
    <w:p>
      <w:pPr>
        <w:spacing w:after="0" w:line="103" w:lineRule="exact"/>
        <w:rPr>
          <w:sz w:val="24"/>
          <w:szCs w:val="24"/>
          <w:color w:val="auto"/>
        </w:rPr>
      </w:pPr>
    </w:p>
    <w:p>
      <w:pPr>
        <w:jc w:val="both"/>
        <w:ind w:right="20"/>
        <w:spacing w:after="0" w:line="178"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340360</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8" w:right="29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2"/>
          <w:szCs w:val="12"/>
          <w:color w:val="auto"/>
        </w:rPr>
        <w:t>Item 2.02</w:t>
      </w:r>
      <w:r>
        <w:rPr>
          <w:sz w:val="20"/>
          <w:szCs w:val="20"/>
          <w:color w:val="auto"/>
        </w:rPr>
        <w:tab/>
      </w:r>
      <w:r>
        <w:rPr>
          <w:rFonts w:ascii="Times New Roman" w:cs="Times New Roman" w:eastAsia="Times New Roman" w:hAnsi="Times New Roman"/>
          <w:sz w:val="11"/>
          <w:szCs w:val="11"/>
          <w:color w:val="auto"/>
        </w:rPr>
        <w:t>RESULTS OF OPERATIONS AND FINANCIAL CONDITION</w:t>
      </w:r>
    </w:p>
    <w:p>
      <w:pPr>
        <w:spacing w:after="0" w:line="231"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On September 4, 2025, Brady Corporation (the “Company”) issued a press release announcing its fiscal 2025 fourth quarter financial results. A copy of the press release is being furnished to the Securities and Exchange Commission as Exhibit 99.1 attached hereto and is incorporated herein by reference.</w:t>
      </w:r>
    </w:p>
    <w:p>
      <w:pPr>
        <w:spacing w:after="0" w:line="26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2"/>
          <w:szCs w:val="12"/>
          <w:color w:val="auto"/>
        </w:rPr>
        <w:t>Item 7.01</w:t>
      </w:r>
      <w:r>
        <w:rPr>
          <w:sz w:val="20"/>
          <w:szCs w:val="20"/>
          <w:color w:val="auto"/>
        </w:rPr>
        <w:tab/>
      </w:r>
      <w:r>
        <w:rPr>
          <w:rFonts w:ascii="Times New Roman" w:cs="Times New Roman" w:eastAsia="Times New Roman" w:hAnsi="Times New Roman"/>
          <w:sz w:val="11"/>
          <w:szCs w:val="11"/>
          <w:color w:val="auto"/>
        </w:rPr>
        <w:t>REGULATION FD DISCLOSURE</w:t>
      </w:r>
    </w:p>
    <w:p>
      <w:pPr>
        <w:spacing w:after="0" w:line="222"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On September 4, 2025, the Company hosted a conference call related to its fiscal 2025 fourth quarter financial results. A copy of the slides referenced in the conference call, which is also posted on the Company's website, is being furnished to the Securities and Exchange Commission as Exhibit 99.3 attached hereto and is incorporated herein by reference.</w:t>
      </w:r>
    </w:p>
    <w:p>
      <w:pPr>
        <w:spacing w:after="0" w:line="26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2"/>
          <w:szCs w:val="12"/>
          <w:color w:val="auto"/>
        </w:rPr>
        <w:t>Item 8.01</w:t>
      </w:r>
      <w:r>
        <w:rPr>
          <w:sz w:val="20"/>
          <w:szCs w:val="20"/>
          <w:color w:val="auto"/>
        </w:rPr>
        <w:tab/>
      </w:r>
      <w:r>
        <w:rPr>
          <w:rFonts w:ascii="Times New Roman" w:cs="Times New Roman" w:eastAsia="Times New Roman" w:hAnsi="Times New Roman"/>
          <w:sz w:val="12"/>
          <w:szCs w:val="12"/>
          <w:color w:val="auto"/>
        </w:rPr>
        <w:t>OTHER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Increase in Annual Dividend</w:t>
      </w:r>
    </w:p>
    <w:p>
      <w:pPr>
        <w:spacing w:after="0" w:line="116"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On September 3, 2025, the Company's Board of Directors approved an increase in the annual cash dividend on its Class A Common Stock from $0.96 to $0.98 per share. A quarterly dividend in the amount of $0.245 per share will be paid on October 31, 2025 to shareholders of record as of the close of business on October 10, 2025. A copy of the press release regarding the dividend is attached hereto as Exhibit 99.2 and is incorporated herein by reference.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Item 9.01</w:t>
            </w:r>
          </w:p>
        </w:tc>
        <w:tc>
          <w:tcPr>
            <w:tcW w:w="10080" w:type="dxa"/>
            <w:vAlign w:val="bottom"/>
            <w:gridSpan w:val="5"/>
          </w:tcPr>
          <w:p>
            <w:pPr>
              <w:ind w:left="80"/>
              <w:spacing w:after="0"/>
              <w:rPr>
                <w:sz w:val="20"/>
                <w:szCs w:val="20"/>
                <w:color w:val="auto"/>
              </w:rPr>
            </w:pPr>
            <w:r>
              <w:rPr>
                <w:rFonts w:ascii="Times New Roman" w:cs="Times New Roman" w:eastAsia="Times New Roman" w:hAnsi="Times New Roman"/>
                <w:sz w:val="12"/>
                <w:szCs w:val="12"/>
                <w:color w:val="auto"/>
              </w:rPr>
              <w:t>FINANCIAL STATEMENTS AND EXHIBITS</w:t>
            </w:r>
          </w:p>
        </w:tc>
      </w:tr>
      <w:tr>
        <w:trPr>
          <w:trHeight w:val="369"/>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(d) Exhibits</w:t>
            </w:r>
          </w:p>
        </w:tc>
        <w:tc>
          <w:tcPr>
            <w:tcW w:w="1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61"/>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EXHIBIT NUMBER</w:t>
            </w:r>
          </w:p>
        </w:tc>
        <w:tc>
          <w:tcPr>
            <w:tcW w:w="160" w:type="dxa"/>
            <w:vAlign w:val="bottom"/>
          </w:tcPr>
          <w:p>
            <w:pPr>
              <w:spacing w:after="0"/>
              <w:rPr>
                <w:sz w:val="22"/>
                <w:szCs w:val="22"/>
                <w:color w:val="auto"/>
              </w:rPr>
            </w:pPr>
          </w:p>
        </w:tc>
        <w:tc>
          <w:tcPr>
            <w:tcW w:w="99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2"/>
                <w:szCs w:val="12"/>
                <w:color w:val="auto"/>
              </w:rPr>
              <w:t>DESCRIPTION</w:t>
            </w:r>
          </w:p>
        </w:tc>
      </w:tr>
      <w:tr>
        <w:trPr>
          <w:trHeight w:val="178"/>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160" w:type="dxa"/>
            <w:vAlign w:val="bottom"/>
          </w:tcPr>
          <w:p>
            <w:pPr>
              <w:spacing w:after="0"/>
              <w:rPr>
                <w:sz w:val="15"/>
                <w:szCs w:val="15"/>
                <w:color w:val="auto"/>
              </w:rPr>
            </w:pPr>
          </w:p>
        </w:tc>
        <w:tc>
          <w:tcPr>
            <w:tcW w:w="992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0000FF"/>
              </w:rPr>
              <w:t>Press Release of Brady Corporation, dated September 4, 2025, relating to fourth quarter fiscal 2025 financial results.</w:t>
            </w:r>
          </w:p>
        </w:tc>
      </w:tr>
      <w:tr>
        <w:trPr>
          <w:trHeight w:val="259"/>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160" w:type="dxa"/>
            <w:vAlign w:val="bottom"/>
          </w:tcPr>
          <w:p>
            <w:pPr>
              <w:spacing w:after="0"/>
              <w:rPr>
                <w:sz w:val="22"/>
                <w:szCs w:val="22"/>
                <w:color w:val="auto"/>
              </w:rPr>
            </w:pPr>
          </w:p>
        </w:tc>
        <w:tc>
          <w:tcPr>
            <w:tcW w:w="5600" w:type="dxa"/>
            <w:vAlign w:val="bottom"/>
            <w:tcBorders>
              <w:top w:val="single" w:sz="8" w:color="0000FF"/>
            </w:tcBorders>
            <w:gridSpan w:val="2"/>
          </w:tcPr>
          <w:p>
            <w:pPr>
              <w:ind w:left="20"/>
              <w:spacing w:after="0"/>
              <w:rPr>
                <w:sz w:val="20"/>
                <w:szCs w:val="20"/>
                <w:color w:val="auto"/>
              </w:rPr>
            </w:pPr>
            <w:r>
              <w:rPr>
                <w:rFonts w:ascii="Times New Roman" w:cs="Times New Roman" w:eastAsia="Times New Roman" w:hAnsi="Times New Roman"/>
                <w:sz w:val="12"/>
                <w:szCs w:val="12"/>
                <w:color w:val="0000FF"/>
              </w:rPr>
              <w:t>Press Release of Brady Corporation, dated September 3, 2025, relating to increase in annual dividend.</w:t>
            </w:r>
          </w:p>
        </w:tc>
        <w:tc>
          <w:tcPr>
            <w:tcW w:w="4320" w:type="dxa"/>
            <w:vAlign w:val="bottom"/>
            <w:gridSpan w:val="2"/>
          </w:tcPr>
          <w:p>
            <w:pPr>
              <w:spacing w:after="0"/>
              <w:rPr>
                <w:sz w:val="22"/>
                <w:szCs w:val="22"/>
                <w:color w:val="auto"/>
              </w:rPr>
            </w:pPr>
          </w:p>
        </w:tc>
      </w:tr>
      <w:tr>
        <w:trPr>
          <w:trHeight w:val="20"/>
        </w:trPr>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0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59"/>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99.3</w:t>
            </w:r>
          </w:p>
        </w:tc>
        <w:tc>
          <w:tcPr>
            <w:tcW w:w="160" w:type="dxa"/>
            <w:vAlign w:val="bottom"/>
          </w:tcPr>
          <w:p>
            <w:pPr>
              <w:spacing w:after="0"/>
              <w:rPr>
                <w:sz w:val="22"/>
                <w:szCs w:val="22"/>
                <w:color w:val="auto"/>
              </w:rPr>
            </w:pPr>
          </w:p>
        </w:tc>
        <w:tc>
          <w:tcPr>
            <w:tcW w:w="992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0000FF"/>
              </w:rPr>
              <w:t>Informational slides provided by Brady Corporation, dated September 4, 2025, relating to fourth quarter fiscal 2025 financial results.</w:t>
            </w:r>
          </w:p>
        </w:tc>
      </w:tr>
      <w:tr>
        <w:trPr>
          <w:trHeight w:val="268"/>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60" w:type="dxa"/>
            <w:vAlign w:val="bottom"/>
          </w:tcPr>
          <w:p>
            <w:pPr>
              <w:spacing w:after="0"/>
              <w:rPr>
                <w:sz w:val="23"/>
                <w:szCs w:val="23"/>
                <w:color w:val="auto"/>
              </w:rPr>
            </w:pPr>
          </w:p>
        </w:tc>
        <w:tc>
          <w:tcPr>
            <w:tcW w:w="6380" w:type="dxa"/>
            <w:vAlign w:val="bottom"/>
            <w:tcBorders>
              <w:top w:val="single" w:sz="8" w:color="0000FF"/>
            </w:tcBorders>
            <w:gridSpan w:val="3"/>
          </w:tcPr>
          <w:p>
            <w:pPr>
              <w:ind w:left="20"/>
              <w:spacing w:after="0"/>
              <w:rPr>
                <w:sz w:val="20"/>
                <w:szCs w:val="20"/>
                <w:color w:val="auto"/>
              </w:rPr>
            </w:pPr>
            <w:r>
              <w:rPr>
                <w:rFonts w:ascii="Times New Roman" w:cs="Times New Roman" w:eastAsia="Times New Roman" w:hAnsi="Times New Roman"/>
                <w:sz w:val="12"/>
                <w:szCs w:val="12"/>
                <w:color w:val="auto"/>
              </w:rPr>
              <w:t>Cover Page Interactive Data File (embedded within Inline XBRL document).</w:t>
            </w:r>
          </w:p>
        </w:tc>
        <w:tc>
          <w:tcPr>
            <w:tcW w:w="3540" w:type="dxa"/>
            <w:vAlign w:val="bottom"/>
          </w:tcPr>
          <w:p>
            <w:pPr>
              <w:spacing w:after="0"/>
              <w:rPr>
                <w:sz w:val="23"/>
                <w:szCs w:val="23"/>
                <w:color w:val="auto"/>
              </w:rPr>
            </w:pPr>
          </w:p>
        </w:tc>
      </w:tr>
    </w:tbl>
    <w:p>
      <w:pPr>
        <w:spacing w:after="0" w:line="32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2"/>
          <w:szCs w:val="12"/>
          <w:color w:val="auto"/>
        </w:rPr>
        <w:t>SIGNATURE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95"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color w:val="auto"/>
        </w:rPr>
        <w:t>BRADY CORPORATION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September 4, 2025</w:t>
      </w:r>
    </w:p>
    <w:p>
      <w:pPr>
        <w:spacing w:after="0" w:line="1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4749800</wp:posOffset>
            </wp:positionH>
            <wp:positionV relativeFrom="paragraph">
              <wp:posOffset>9525</wp:posOffset>
            </wp:positionV>
            <wp:extent cx="242316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3160" cy="5715"/>
                    </a:xfrm>
                    <a:prstGeom prst="rect">
                      <a:avLst/>
                    </a:prstGeom>
                    <a:noFill/>
                  </pic:spPr>
                </pic:pic>
              </a:graphicData>
            </a:graphic>
          </wp:anchor>
        </w:drawing>
      </w:r>
    </w:p>
    <w:p>
      <w:pPr>
        <w:spacing w:after="0" w:line="2"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color w:val="auto"/>
        </w:rPr>
        <w:t>Ann E. Thornton</w:t>
      </w:r>
    </w:p>
    <w:p>
      <w:pPr>
        <w:spacing w:after="0" w:line="1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color w:val="auto"/>
        </w:rPr>
        <w:t>Chief Financial Officer, Chief Accounting Officer and Treasurer</w:t>
      </w:r>
    </w:p>
    <w:p>
      <w:pPr>
        <w:sectPr>
          <w:pgSz w:w="11900" w:h="16838" w:orient="portrait"/>
          <w:cols w:equalWidth="0" w:num="1">
            <w:col w:w="11300"/>
          </w:cols>
          <w:pgMar w:left="300" w:top="777" w:right="29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EXHIBIT 99.1</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For More Information: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Investor contact: Ann Thornton 414-438-6887</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Media contact: Kate Venne 414-358-5176</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Brady Corporation Reports Record Adjusted EPS in its Fiscal 2025 Fourth Quarter and Announces its Fiscal 2026 EPS Guidance</w:t>
      </w:r>
    </w:p>
    <w:p>
      <w:pPr>
        <w:spacing w:after="0" w:line="204"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color w:val="auto"/>
        </w:rPr>
        <w:t>Sales for the quarter increased 15.7 percent. Organic sales increased 2.4 percent, acquisitions increased sales 11.3 percent and foreign currency translation increased sales 2.0 percent.</w:t>
      </w:r>
    </w:p>
    <w:p>
      <w:pPr>
        <w:spacing w:after="0" w:line="55" w:lineRule="exact"/>
        <w:rPr>
          <w:rFonts w:ascii="Arial" w:cs="Arial" w:eastAsia="Arial" w:hAnsi="Arial"/>
          <w:sz w:val="14"/>
          <w:szCs w:val="14"/>
          <w:color w:val="auto"/>
        </w:rPr>
      </w:pPr>
    </w:p>
    <w:p>
      <w:pPr>
        <w:ind w:left="420" w:hanging="212"/>
        <w:spacing w:after="0" w:line="310" w:lineRule="auto"/>
        <w:tabs>
          <w:tab w:leader="none" w:pos="416"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color w:val="auto"/>
        </w:rPr>
        <w:t>Diluted EPS was $1.04 in the fourth quarter of fiscal 2025 compared to $1.15 in the same quarter of the prior year. Adjusted Diluted EPS* increased 5.9 percent to a record high of $1.26 in the fourth quarter of fiscal 2025 compared to $1.19 in the same quarter of the prior year.</w:t>
      </w:r>
    </w:p>
    <w:p>
      <w:pPr>
        <w:spacing w:after="0" w:line="12"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color w:val="auto"/>
        </w:rPr>
        <w:t>Returned $96.4 million to shareholders in fiscal 2025 in the form of dividends and share repurchases.</w:t>
      </w:r>
    </w:p>
    <w:p>
      <w:pPr>
        <w:spacing w:after="0" w:line="55"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color w:val="auto"/>
        </w:rPr>
        <w:t>Announced diluted EPS guidance for the year ending July 31, 2026 at a range of $4.55 to $4.85 on a GAAP basis, and a range of $4.85 to $5.15 on an adjusted basis.</w:t>
      </w:r>
    </w:p>
    <w:p>
      <w:pPr>
        <w:spacing w:after="0" w:line="208" w:lineRule="exact"/>
        <w:rPr>
          <w:sz w:val="20"/>
          <w:szCs w:val="20"/>
          <w:color w:val="auto"/>
        </w:rPr>
      </w:pPr>
    </w:p>
    <w:p>
      <w:pPr>
        <w:ind w:right="300"/>
        <w:spacing w:after="0" w:line="353" w:lineRule="auto"/>
        <w:rPr>
          <w:sz w:val="20"/>
          <w:szCs w:val="20"/>
          <w:color w:val="auto"/>
        </w:rPr>
      </w:pPr>
      <w:r>
        <w:rPr>
          <w:rFonts w:ascii="Times New Roman" w:cs="Times New Roman" w:eastAsia="Times New Roman" w:hAnsi="Times New Roman"/>
          <w:sz w:val="13"/>
          <w:szCs w:val="13"/>
          <w:color w:val="auto"/>
        </w:rPr>
        <w:t>MILWAUKEE (September 4, 2025) -- Brady Corporation (NYSE: BRC) (“Brady” or “Company”), a world leader in identification solutions, today reported its financial results for its fiscal 2025 fourth quarter ended July 31, 2025.</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Quarter Ended July 31, 2025 Financial Results:</w:t>
      </w:r>
    </w:p>
    <w:p>
      <w:pPr>
        <w:spacing w:after="0" w:line="51" w:lineRule="exact"/>
        <w:rPr>
          <w:sz w:val="20"/>
          <w:szCs w:val="20"/>
          <w:color w:val="auto"/>
        </w:rPr>
      </w:pPr>
    </w:p>
    <w:p>
      <w:pPr>
        <w:jc w:val="both"/>
        <w:ind w:firstLine="432"/>
        <w:spacing w:after="0" w:line="317" w:lineRule="auto"/>
        <w:rPr>
          <w:sz w:val="20"/>
          <w:szCs w:val="20"/>
          <w:color w:val="auto"/>
        </w:rPr>
      </w:pPr>
      <w:r>
        <w:rPr>
          <w:rFonts w:ascii="Times New Roman" w:cs="Times New Roman" w:eastAsia="Times New Roman" w:hAnsi="Times New Roman"/>
          <w:sz w:val="13"/>
          <w:szCs w:val="13"/>
          <w:color w:val="auto"/>
        </w:rPr>
        <w:t>Sales for the quarter ended July 31, 2025 increased 15.7 percent, which consisted of organic sales growth of 2.4 percent, growth of 11.3 percent from acquisitions and an increase of 2.0 percent from foreign currency translation. Sales for the quarter ended July 31, 2025 were $397.3 million compared to $343.4 million in the same quarter last year. By region, sales increased 14.1 percent in the Americas &amp; Asia and sales increased 18.8 percent in Europe &amp; Australia, which consisted of organic sales growth of 4.3 percent in the Americas &amp; Asia and an organic sales decline of 1.3 percent in Europe &amp; Australia.</w:t>
      </w:r>
    </w:p>
    <w:p>
      <w:pPr>
        <w:spacing w:after="0" w:line="2" w:lineRule="exact"/>
        <w:rPr>
          <w:sz w:val="20"/>
          <w:szCs w:val="20"/>
          <w:color w:val="auto"/>
        </w:rPr>
      </w:pPr>
    </w:p>
    <w:p>
      <w:pPr>
        <w:jc w:val="both"/>
        <w:ind w:right="20" w:firstLine="432"/>
        <w:spacing w:after="0" w:line="317" w:lineRule="auto"/>
        <w:rPr>
          <w:sz w:val="20"/>
          <w:szCs w:val="20"/>
          <w:color w:val="auto"/>
        </w:rPr>
      </w:pPr>
      <w:r>
        <w:rPr>
          <w:rFonts w:ascii="Times New Roman" w:cs="Times New Roman" w:eastAsia="Times New Roman" w:hAnsi="Times New Roman"/>
          <w:sz w:val="13"/>
          <w:szCs w:val="13"/>
          <w:color w:val="auto"/>
        </w:rPr>
        <w:t>Income before income taxes was $60.5 million in the quarter ended July 31, 2025, compared to $68.2 million in the same quarter last year. Adjusted Income Before Income Taxes* in the quarter ended July 31, 2025, which was adjusted for amortization expense and facility closure and other reorganization costs of $13.7 million, was $74.2 million, an increase of 5.1 percent compared to the same quarter last year.</w:t>
      </w:r>
    </w:p>
    <w:p>
      <w:pPr>
        <w:spacing w:after="0" w:line="1" w:lineRule="exact"/>
        <w:rPr>
          <w:sz w:val="20"/>
          <w:szCs w:val="20"/>
          <w:color w:val="auto"/>
        </w:rPr>
      </w:pPr>
    </w:p>
    <w:p>
      <w:pPr>
        <w:jc w:val="both"/>
        <w:ind w:firstLine="432"/>
        <w:spacing w:after="0" w:line="335" w:lineRule="auto"/>
        <w:rPr>
          <w:sz w:val="20"/>
          <w:szCs w:val="20"/>
          <w:color w:val="auto"/>
        </w:rPr>
      </w:pPr>
      <w:r>
        <w:rPr>
          <w:rFonts w:ascii="Times New Roman" w:cs="Times New Roman" w:eastAsia="Times New Roman" w:hAnsi="Times New Roman"/>
          <w:sz w:val="13"/>
          <w:szCs w:val="13"/>
          <w:color w:val="auto"/>
        </w:rPr>
        <w:t>Net income for the quarter ended July 31, 2025 was $49.9 million compared to $55.5 million in the same quarter last year. Adjusted Net Income* in the quarter ended July 31, 2025 was $60.2 million compared to $57.3 million in the same quarter last year. Earnings per diluted Class A Nonvoting Common Share was $1.04 compared to $1.15 in the same quarter last year. Adjusted Diluted EPS* in the quarter ended July 31, 2025 was $1.26 compared to $1.19 in the same quarter last year.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Year Ended July 31, 2025 Financial Results:</w:t>
      </w:r>
    </w:p>
    <w:p>
      <w:pPr>
        <w:spacing w:after="0" w:line="51" w:lineRule="exact"/>
        <w:rPr>
          <w:sz w:val="20"/>
          <w:szCs w:val="20"/>
          <w:color w:val="auto"/>
        </w:rPr>
      </w:pPr>
    </w:p>
    <w:p>
      <w:pPr>
        <w:jc w:val="both"/>
        <w:ind w:firstLine="432"/>
        <w:spacing w:after="0" w:line="353" w:lineRule="auto"/>
        <w:rPr>
          <w:sz w:val="20"/>
          <w:szCs w:val="20"/>
          <w:color w:val="auto"/>
        </w:rPr>
      </w:pPr>
      <w:r>
        <w:rPr>
          <w:rFonts w:ascii="Times New Roman" w:cs="Times New Roman" w:eastAsia="Times New Roman" w:hAnsi="Times New Roman"/>
          <w:sz w:val="13"/>
          <w:szCs w:val="13"/>
          <w:color w:val="auto"/>
        </w:rPr>
        <w:t>Sales for the year ended July 31, 2025 increased 12.8 percent, which consisted of organic sales growth of 2.6 percent, growth of 10.5 percent from acquisitions and a decline of 0.3 percent from divestitures. Sales for the year ended July 31, 2025 were $1.51 billion compared to $1.34 billion in the prior year. By region, sales increased</w:t>
      </w:r>
    </w:p>
    <w:p>
      <w:pPr>
        <w:sectPr>
          <w:pgSz w:w="11900" w:h="16838" w:orient="portrait"/>
          <w:cols w:equalWidth="0" w:num="1">
            <w:col w:w="11300"/>
          </w:cols>
          <w:pgMar w:left="300" w:top="636" w:right="299" w:bottom="1440" w:gutter="0" w:footer="0" w:header="0"/>
        </w:sectPr>
      </w:pPr>
    </w:p>
    <w:bookmarkStart w:id="3" w:name="page4"/>
    <w:bookmarkEnd w:id="3"/>
    <w:p>
      <w:pPr>
        <w:jc w:val="both"/>
        <w:ind w:right="20"/>
        <w:spacing w:after="0" w:line="317" w:lineRule="auto"/>
        <w:rPr>
          <w:sz w:val="20"/>
          <w:szCs w:val="20"/>
          <w:color w:val="auto"/>
        </w:rPr>
      </w:pPr>
      <w:r>
        <w:rPr>
          <w:rFonts w:ascii="Times New Roman" w:cs="Times New Roman" w:eastAsia="Times New Roman" w:hAnsi="Times New Roman"/>
          <w:sz w:val="13"/>
          <w:szCs w:val="13"/>
          <w:color w:val="auto"/>
        </w:rPr>
        <w:t>12.1 percent in the Americas &amp; Asia and increased 14.3 percent in Europe &amp; Australia, which consisted of organic sales growth of 4.8 percent in the Americas &amp; Asia and an organic sales decline of 1.8 percent in Europe &amp; Australia.</w:t>
      </w:r>
    </w:p>
    <w:p>
      <w:pPr>
        <w:spacing w:after="0" w:line="1" w:lineRule="exact"/>
        <w:rPr>
          <w:sz w:val="20"/>
          <w:szCs w:val="20"/>
          <w:color w:val="auto"/>
        </w:rPr>
      </w:pPr>
    </w:p>
    <w:p>
      <w:pPr>
        <w:jc w:val="both"/>
        <w:ind w:firstLine="432"/>
        <w:spacing w:after="0" w:line="317" w:lineRule="auto"/>
        <w:rPr>
          <w:sz w:val="20"/>
          <w:szCs w:val="20"/>
          <w:color w:val="auto"/>
        </w:rPr>
      </w:pPr>
      <w:r>
        <w:rPr>
          <w:rFonts w:ascii="Times New Roman" w:cs="Times New Roman" w:eastAsia="Times New Roman" w:hAnsi="Times New Roman"/>
          <w:sz w:val="13"/>
          <w:szCs w:val="13"/>
          <w:color w:val="auto"/>
        </w:rPr>
        <w:t>Income before income taxes was $237.1 million for the year ended July 31, 2025, compared to $247.8 million for the year ended July 31, 2024. Adjusted Income Before Income Taxes* for the year ended July 31, 2025, which was adjusted for amortization expense, facility closure and other reorganization costs and acquisition-related charges of $42.4 million, was $279.5 million, an increase of 8.7 percent.</w:t>
      </w:r>
    </w:p>
    <w:p>
      <w:pPr>
        <w:spacing w:after="0" w:line="1" w:lineRule="exact"/>
        <w:rPr>
          <w:sz w:val="20"/>
          <w:szCs w:val="20"/>
          <w:color w:val="auto"/>
        </w:rPr>
      </w:pPr>
    </w:p>
    <w:p>
      <w:pPr>
        <w:jc w:val="both"/>
        <w:ind w:firstLine="432"/>
        <w:spacing w:after="0" w:line="335" w:lineRule="auto"/>
        <w:rPr>
          <w:sz w:val="20"/>
          <w:szCs w:val="20"/>
          <w:color w:val="auto"/>
        </w:rPr>
      </w:pPr>
      <w:r>
        <w:rPr>
          <w:rFonts w:ascii="Times New Roman" w:cs="Times New Roman" w:eastAsia="Times New Roman" w:hAnsi="Times New Roman"/>
          <w:sz w:val="13"/>
          <w:szCs w:val="13"/>
          <w:color w:val="auto"/>
        </w:rPr>
        <w:t>Net income for the year ended July 31, 2025 was $189.3 million compared to $197.2 million in the prior year. Earnings per diluted Class A Nonvoting Common Share were $3.94 for the year ended July 31, 2025 compared to $4.07 in the prior year. Adjusted Net Income* for the year ended July 31, 2025 was $221.3 million compared to $204.5 million in the prior year, and Adjusted Diluted EPS* for the year ended July 31, 2025 increased to a record-high $4.60 per share compared to $4.22 in the prior year.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Commentary:</w:t>
      </w:r>
    </w:p>
    <w:p>
      <w:pPr>
        <w:spacing w:after="0" w:line="51" w:lineRule="exact"/>
        <w:rPr>
          <w:sz w:val="20"/>
          <w:szCs w:val="20"/>
          <w:color w:val="auto"/>
        </w:rPr>
      </w:pPr>
    </w:p>
    <w:p>
      <w:pPr>
        <w:jc w:val="both"/>
        <w:ind w:firstLine="432"/>
        <w:spacing w:after="0" w:line="317" w:lineRule="auto"/>
        <w:rPr>
          <w:sz w:val="20"/>
          <w:szCs w:val="20"/>
          <w:color w:val="auto"/>
        </w:rPr>
      </w:pPr>
      <w:r>
        <w:rPr>
          <w:rFonts w:ascii="Times New Roman" w:cs="Times New Roman" w:eastAsia="Times New Roman" w:hAnsi="Times New Roman"/>
          <w:sz w:val="13"/>
          <w:szCs w:val="13"/>
          <w:color w:val="auto"/>
        </w:rPr>
        <w:t>“Our investments in new products once again led to strong results in the Americas &amp; Asia region, with 4.3 percent organic sales growth in the fourth quarter and 4.8 percent organic sales growth in fiscal 2025. The result was a new all-time company record quarter and record year of adjusted earnings per share,” said Brady’s President and Chief Executive Officer, Russell R. Shaller. “From an M&amp;A standpoint, we added to our product portfolio this year with the acquisition of Gravotech at the beginning of fiscal 2025, and the acquisition of Mecco, which we closed on August 4, 2025. Both of these companies add direct part marking and laser engraving capabilities to our portfolio of specialty identification products, expanding our ability to provide customers with a wide variety of end-to-end identification solutions to improve visibility and efficiency throughout the manufacturing process.”</w:t>
      </w:r>
    </w:p>
    <w:p>
      <w:pPr>
        <w:spacing w:after="0" w:line="3" w:lineRule="exact"/>
        <w:rPr>
          <w:sz w:val="20"/>
          <w:szCs w:val="20"/>
          <w:color w:val="auto"/>
        </w:rPr>
      </w:pPr>
    </w:p>
    <w:p>
      <w:pPr>
        <w:jc w:val="both"/>
        <w:ind w:firstLine="432"/>
        <w:spacing w:after="0" w:line="335" w:lineRule="auto"/>
        <w:rPr>
          <w:sz w:val="20"/>
          <w:szCs w:val="20"/>
          <w:color w:val="auto"/>
        </w:rPr>
      </w:pPr>
      <w:r>
        <w:rPr>
          <w:rFonts w:ascii="Times New Roman" w:cs="Times New Roman" w:eastAsia="Times New Roman" w:hAnsi="Times New Roman"/>
          <w:sz w:val="13"/>
          <w:szCs w:val="13"/>
          <w:color w:val="auto"/>
        </w:rPr>
        <w:t>“Our balance sheet is strong and we closed the fiscal year in a net cash position, which provides us with the flexibility to fund our anticipated organic and inorganic opportunities, and to return funds to our shareholders through dividends and share buybacks,” said Brady’s Chief Financial Officer, Ann Thornton. “In fiscal 2025, we returned $96.4 million to shareholders through dividends and share buybacks while also investing a record-high in research and development. Through these investments, we believe we are well-positioned to continue to deliver improved long-term value to our shareholders.”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Fiscal 2026 Guidance:</w:t>
      </w:r>
    </w:p>
    <w:p>
      <w:pPr>
        <w:spacing w:after="0" w:line="51" w:lineRule="exact"/>
        <w:rPr>
          <w:sz w:val="20"/>
          <w:szCs w:val="20"/>
          <w:color w:val="auto"/>
        </w:rPr>
      </w:pPr>
    </w:p>
    <w:p>
      <w:pPr>
        <w:jc w:val="both"/>
        <w:ind w:right="20" w:firstLine="432"/>
        <w:spacing w:after="0" w:line="317" w:lineRule="auto"/>
        <w:rPr>
          <w:sz w:val="20"/>
          <w:szCs w:val="20"/>
          <w:color w:val="auto"/>
        </w:rPr>
      </w:pPr>
      <w:r>
        <w:rPr>
          <w:rFonts w:ascii="Times New Roman" w:cs="Times New Roman" w:eastAsia="Times New Roman" w:hAnsi="Times New Roman"/>
          <w:sz w:val="13"/>
          <w:szCs w:val="13"/>
          <w:color w:val="auto"/>
        </w:rPr>
        <w:t>The Company expects GAAP earnings per diluted Class A Nonvoting Common Share to range from $4.55 to $4.85 for the year ending July 31, 2026, which represents an increase of 15.5 percent to 23.1 percent compared to GAAP earnings per diluted Class A Nonvoting Common Share of $3.94 for the year ended July 31, 2025.</w:t>
      </w:r>
    </w:p>
    <w:p>
      <w:pPr>
        <w:spacing w:after="0" w:line="1" w:lineRule="exact"/>
        <w:rPr>
          <w:sz w:val="20"/>
          <w:szCs w:val="20"/>
          <w:color w:val="auto"/>
        </w:rPr>
      </w:pPr>
    </w:p>
    <w:p>
      <w:pPr>
        <w:jc w:val="both"/>
        <w:ind w:right="20" w:firstLine="432"/>
        <w:spacing w:after="0" w:line="317" w:lineRule="auto"/>
        <w:rPr>
          <w:sz w:val="20"/>
          <w:szCs w:val="20"/>
          <w:color w:val="auto"/>
        </w:rPr>
      </w:pPr>
      <w:r>
        <w:rPr>
          <w:rFonts w:ascii="Times New Roman" w:cs="Times New Roman" w:eastAsia="Times New Roman" w:hAnsi="Times New Roman"/>
          <w:sz w:val="13"/>
          <w:szCs w:val="13"/>
          <w:color w:val="auto"/>
        </w:rPr>
        <w:t>The Company expects Adjusted Diluted EPS* to range from $4.85 to $5.15 for the year ending July 31, 2026, which represents an increase of 5.4 percent to 12.0 percent compared to Adjusted Diluted EPS* of $4.60 for the year ended July 31, 2025. Adjusted Diluted EPS* guidance excludes amortization expense estimated at $0.30 per share for the year ending July 31, 2026.</w:t>
      </w:r>
    </w:p>
    <w:p>
      <w:pPr>
        <w:spacing w:after="0" w:line="1" w:lineRule="exact"/>
        <w:rPr>
          <w:sz w:val="20"/>
          <w:szCs w:val="20"/>
          <w:color w:val="auto"/>
        </w:rPr>
      </w:pPr>
    </w:p>
    <w:p>
      <w:pPr>
        <w:jc w:val="both"/>
        <w:ind w:firstLine="432"/>
        <w:spacing w:after="0" w:line="353" w:lineRule="auto"/>
        <w:rPr>
          <w:sz w:val="20"/>
          <w:szCs w:val="20"/>
          <w:color w:val="auto"/>
        </w:rPr>
      </w:pPr>
      <w:r>
        <w:rPr>
          <w:rFonts w:ascii="Times New Roman" w:cs="Times New Roman" w:eastAsia="Times New Roman" w:hAnsi="Times New Roman"/>
          <w:sz w:val="13"/>
          <w:szCs w:val="13"/>
          <w:color w:val="auto"/>
        </w:rPr>
        <w:t>The assumptions included in fiscal 2026 guidance include a full-year income tax rate of approximately 21 percent, depreciation and amortization expense of approximately $42 million, and capital expenditures of approximately $40 million. Fiscal 2026 guidance is based upon foreign currency exchange rates as of July 31, 2025 and assumes economic growth.</w:t>
      </w:r>
    </w:p>
    <w:p>
      <w:pPr>
        <w:sectPr>
          <w:pgSz w:w="11900" w:h="16838" w:orient="portrait"/>
          <w:cols w:equalWidth="0" w:num="1">
            <w:col w:w="11300"/>
          </w:cols>
          <w:pgMar w:left="300" w:top="665" w:right="299" w:bottom="1440" w:gutter="0" w:footer="0" w:header="0"/>
        </w:sectPr>
      </w:pPr>
    </w:p>
    <w:bookmarkStart w:id="4" w:name="page5"/>
    <w:bookmarkEnd w:id="4"/>
    <w:p>
      <w:pPr>
        <w:ind w:left="420"/>
        <w:spacing w:after="0"/>
        <w:rPr>
          <w:sz w:val="20"/>
          <w:szCs w:val="20"/>
          <w:color w:val="auto"/>
        </w:rPr>
      </w:pPr>
      <w:r>
        <w:rPr>
          <w:rFonts w:ascii="Times New Roman" w:cs="Times New Roman" w:eastAsia="Times New Roman" w:hAnsi="Times New Roman"/>
          <w:sz w:val="13"/>
          <w:szCs w:val="13"/>
          <w:color w:val="auto"/>
        </w:rPr>
        <w:t xml:space="preserve">A webcast regarding Brady’s fiscal 2025 fourth quarter financial results will be available at </w:t>
      </w:r>
      <w:r>
        <w:rPr>
          <w:rFonts w:ascii="Times New Roman" w:cs="Times New Roman" w:eastAsia="Times New Roman" w:hAnsi="Times New Roman"/>
          <w:sz w:val="13"/>
          <w:szCs w:val="13"/>
          <w:u w:val="single" w:color="auto"/>
          <w:color w:val="0000FF"/>
        </w:rPr>
        <w:t>www.bradycorp.com/investors</w:t>
      </w:r>
      <w:r>
        <w:rPr>
          <w:rFonts w:ascii="Times New Roman" w:cs="Times New Roman" w:eastAsia="Times New Roman" w:hAnsi="Times New Roman"/>
          <w:sz w:val="13"/>
          <w:szCs w:val="13"/>
          <w:color w:val="auto"/>
        </w:rPr>
        <w:t xml:space="preserve"> beginning at 9:30 a.m. central time today.</w:t>
      </w:r>
    </w:p>
    <w:p>
      <w:pPr>
        <w:spacing w:after="0" w:line="211" w:lineRule="exact"/>
        <w:rPr>
          <w:sz w:val="20"/>
          <w:szCs w:val="20"/>
          <w:color w:val="auto"/>
        </w:rPr>
      </w:pPr>
    </w:p>
    <w:p>
      <w:pPr>
        <w:jc w:val="both"/>
        <w:ind w:firstLine="432"/>
        <w:spacing w:after="0" w:line="326" w:lineRule="auto"/>
        <w:rPr>
          <w:sz w:val="20"/>
          <w:szCs w:val="20"/>
          <w:color w:val="auto"/>
        </w:rPr>
      </w:pPr>
      <w:r>
        <w:rPr>
          <w:rFonts w:ascii="Times New Roman" w:cs="Times New Roman" w:eastAsia="Times New Roman" w:hAnsi="Times New Roman"/>
          <w:sz w:val="13"/>
          <w:szCs w:val="13"/>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2025, employed approximately 6,400 people in its worldwide businesses. Brady’s fiscal 2025 sales were approximately $1.51 billion. Brady stock trades on the New York Stock Exchange under the symbol BRC. More information is available on the Internet at </w:t>
      </w:r>
      <w:r>
        <w:rPr>
          <w:rFonts w:ascii="Times New Roman" w:cs="Times New Roman" w:eastAsia="Times New Roman" w:hAnsi="Times New Roman"/>
          <w:sz w:val="13"/>
          <w:szCs w:val="13"/>
          <w:u w:val="single" w:color="auto"/>
          <w:color w:val="0000FF"/>
        </w:rPr>
        <w:t>www.bradyid.com</w:t>
      </w:r>
      <w:r>
        <w:rPr>
          <w:rFonts w:ascii="Times New Roman" w:cs="Times New Roman" w:eastAsia="Times New Roman" w:hAnsi="Times New Roman"/>
          <w:sz w:val="13"/>
          <w:szCs w:val="13"/>
          <w:color w:val="auto"/>
        </w:rPr>
        <w:t>.</w:t>
      </w:r>
    </w:p>
    <w:p>
      <w:pPr>
        <w:spacing w:after="0" w:line="137" w:lineRule="exact"/>
        <w:rPr>
          <w:sz w:val="20"/>
          <w:szCs w:val="20"/>
          <w:color w:val="auto"/>
        </w:rPr>
      </w:pPr>
    </w:p>
    <w:p>
      <w:pPr>
        <w:ind w:firstLine="424"/>
        <w:spacing w:after="0" w:line="353" w:lineRule="auto"/>
        <w:tabs>
          <w:tab w:leader="none" w:pos="534"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Income Before Income Taxes, Adjusted Net Income, and Adjusted Diluted EPS are non-GAAP measures. See appendix for more information on these measures, including reconciliations to the most directly comparable GAAP measures.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p>
    <w:p>
      <w:pPr>
        <w:spacing w:after="0" w:line="2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3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2"/>
          <w:szCs w:val="12"/>
          <w:color w:val="auto"/>
        </w:rPr>
        <w:t>The use of words such as “may,” “will,” “expect,” “intend,” “estimate,” “anticipate,” “believe,” “should,” “project,”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increased cost of materials, labor, material shortages and supply chain disruptions, including as a result of tariffs or other impacts of the global trade environment; decreased demand for our products; our ability to compete effectively or to successfully execute our strategy; our ability to develop technologically advanced products that meet customer demands; Brady’s ability to identify, integrate and grow acquired companies, and to manage contingent liabilities from divested businesses; difficulties in protecting our websites, networks, and systems against security breaches; extensive regulations by U.S. and non-U.S. governmental and self-regulatory entities; risks associated with the loss of key employees; litigation, including product liability claims; global climate change and environmental regulations; foreign currency fluctuations; changes in tax legislation and tax rates; potential write-offs of goodwill and other intangible assets; differing interests of voting and non-voting shareholders and changes in the regulatory and business environment around dual-class voting structures; 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300"/>
          </w:cols>
          <w:pgMar w:left="300" w:top="665"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STATEMENTS OF INCOME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 except per share data)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6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246"/>
              <w:spacing w:after="0"/>
              <w:rPr>
                <w:sz w:val="20"/>
                <w:szCs w:val="20"/>
                <w:color w:val="auto"/>
              </w:rPr>
            </w:pPr>
            <w:r>
              <w:rPr>
                <w:rFonts w:ascii="Times New Roman" w:cs="Times New Roman" w:eastAsia="Times New Roman" w:hAnsi="Times New Roman"/>
                <w:sz w:val="11"/>
                <w:szCs w:val="11"/>
                <w:color w:val="auto"/>
              </w:rPr>
              <w:t>Three months ended July 31,</w:t>
            </w: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Year ended July 31,</w:t>
            </w:r>
          </w:p>
        </w:tc>
        <w:tc>
          <w:tcPr>
            <w:tcW w:w="860" w:type="dxa"/>
            <w:vAlign w:val="bottom"/>
            <w:tcBorders>
              <w:bottom w:val="single" w:sz="8" w:color="auto"/>
            </w:tcBorders>
          </w:tcPr>
          <w:p>
            <w:pPr>
              <w:spacing w:after="0"/>
              <w:rPr>
                <w:sz w:val="12"/>
                <w:szCs w:val="12"/>
                <w:color w:val="auto"/>
              </w:rPr>
            </w:pPr>
          </w:p>
        </w:tc>
      </w:tr>
      <w:tr>
        <w:trPr>
          <w:trHeight w:val="133"/>
        </w:trPr>
        <w:tc>
          <w:tcPr>
            <w:tcW w:w="556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2025</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2024</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2025</w:t>
            </w: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2024</w:t>
            </w:r>
          </w:p>
        </w:tc>
      </w:tr>
      <w:tr>
        <w:trPr>
          <w:trHeight w:val="135"/>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sales</w:t>
            </w: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397,275</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343,402</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1,513,605</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1,341,393</w:t>
            </w:r>
          </w:p>
        </w:tc>
      </w:tr>
      <w:tr>
        <w:trPr>
          <w:trHeight w:val="142"/>
        </w:trPr>
        <w:tc>
          <w:tcPr>
            <w:tcW w:w="5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Cost of goods sold</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197,044</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166,347</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752,783</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653,509</w:t>
            </w:r>
          </w:p>
        </w:tc>
      </w:tr>
      <w:tr>
        <w:trPr>
          <w:trHeight w:val="135"/>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Gross margin</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200,231</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177,055</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760,822</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687,884</w:t>
            </w:r>
          </w:p>
        </w:tc>
      </w:tr>
      <w:tr>
        <w:trPr>
          <w:trHeight w:val="142"/>
        </w:trPr>
        <w:tc>
          <w:tcPr>
            <w:tcW w:w="5560" w:type="dxa"/>
            <w:vAlign w:val="bottom"/>
          </w:tcPr>
          <w:p>
            <w:pPr>
              <w:spacing w:after="0"/>
              <w:rPr>
                <w:sz w:val="20"/>
                <w:szCs w:val="20"/>
                <w:color w:val="auto"/>
              </w:rPr>
            </w:pPr>
            <w:r>
              <w:rPr>
                <w:rFonts w:ascii="Times New Roman" w:cs="Times New Roman" w:eastAsia="Times New Roman" w:hAnsi="Times New Roman"/>
                <w:sz w:val="11"/>
                <w:szCs w:val="11"/>
                <w:color w:val="auto"/>
              </w:rPr>
              <w:t>Operating expenses: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6"/>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Research and development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23,054</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17,533</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79,889</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67,748</w:t>
            </w:r>
          </w:p>
        </w:tc>
      </w:tr>
      <w:tr>
        <w:trPr>
          <w:trHeight w:val="142"/>
        </w:trPr>
        <w:tc>
          <w:tcPr>
            <w:tcW w:w="5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117,885</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93,307</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444,295</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376,722</w:t>
            </w:r>
          </w:p>
        </w:tc>
      </w:tr>
      <w:tr>
        <w:trPr>
          <w:trHeight w:val="135"/>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operating expenses</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140,939</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110,840</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524,184</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444,470</w:t>
            </w:r>
          </w:p>
        </w:tc>
      </w:tr>
      <w:tr>
        <w:trPr>
          <w:trHeight w:val="144"/>
        </w:trPr>
        <w:tc>
          <w:tcPr>
            <w:tcW w:w="5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income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59,292</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66,215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236,638</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243,414</w:t>
            </w:r>
          </w:p>
        </w:tc>
      </w:tr>
      <w:tr>
        <w:trPr>
          <w:trHeight w:val="144"/>
        </w:trPr>
        <w:tc>
          <w:tcPr>
            <w:tcW w:w="5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income (expense):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2"/>
        </w:trPr>
        <w:tc>
          <w:tcPr>
            <w:tcW w:w="55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Investment and other income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2,356</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5,206</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7,553</w:t>
            </w:r>
          </w:p>
        </w:tc>
      </w:tr>
      <w:tr>
        <w:trPr>
          <w:trHeight w:val="144"/>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Interest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(1,143)</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(842)</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(4,747)</w:t>
            </w:r>
          </w:p>
        </w:tc>
        <w:tc>
          <w:tcPr>
            <w:tcW w:w="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(3,126)</w:t>
            </w:r>
          </w:p>
        </w:tc>
      </w:tr>
      <w:tr>
        <w:trPr>
          <w:trHeight w:val="126"/>
        </w:trPr>
        <w:tc>
          <w:tcPr>
            <w:tcW w:w="5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44"/>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60,505</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68,208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237,097</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247,841</w:t>
            </w:r>
          </w:p>
        </w:tc>
      </w:tr>
      <w:tr>
        <w:trPr>
          <w:trHeight w:val="144"/>
        </w:trPr>
        <w:tc>
          <w:tcPr>
            <w:tcW w:w="5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2"/>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tax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10,629</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12,752</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47,841</w:t>
            </w:r>
          </w:p>
        </w:tc>
        <w:tc>
          <w:tcPr>
            <w:tcW w:w="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50,626</w:t>
            </w:r>
          </w:p>
        </w:tc>
      </w:tr>
      <w:tr>
        <w:trPr>
          <w:trHeight w:val="126"/>
        </w:trPr>
        <w:tc>
          <w:tcPr>
            <w:tcW w:w="5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60"/>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w:t>
            </w:r>
          </w:p>
        </w:tc>
        <w:tc>
          <w:tcPr>
            <w:tcW w:w="880" w:type="dxa"/>
            <w:vAlign w:val="bottom"/>
            <w:tcBorders>
              <w:bottom w:val="single" w:sz="8" w:color="auto"/>
            </w:tcBorders>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49,876</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55,456</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189,256</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197,215</w:t>
            </w:r>
          </w:p>
        </w:tc>
      </w:tr>
      <w:tr>
        <w:trPr>
          <w:trHeight w:val="126"/>
        </w:trPr>
        <w:tc>
          <w:tcPr>
            <w:tcW w:w="5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44"/>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per Class A Nonvoting Common Share: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2"/>
        </w:trPr>
        <w:tc>
          <w:tcPr>
            <w:tcW w:w="55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100" w:type="dxa"/>
            <w:vAlign w:val="bottom"/>
          </w:tcPr>
          <w:p>
            <w:pPr>
              <w:spacing w:after="0"/>
              <w:rPr>
                <w:sz w:val="12"/>
                <w:szCs w:val="12"/>
                <w:color w:val="auto"/>
              </w:rPr>
            </w:pP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80" w:type="dxa"/>
            <w:vAlign w:val="bottom"/>
          </w:tcPr>
          <w:p>
            <w:pPr>
              <w:spacing w:after="0"/>
              <w:rPr>
                <w:sz w:val="12"/>
                <w:szCs w:val="12"/>
                <w:color w:val="auto"/>
              </w:rPr>
            </w:pPr>
          </w:p>
        </w:tc>
        <w:tc>
          <w:tcPr>
            <w:tcW w:w="3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3.97</w:t>
            </w:r>
          </w:p>
        </w:tc>
        <w:tc>
          <w:tcPr>
            <w:tcW w:w="80" w:type="dxa"/>
            <w:vAlign w:val="bottom"/>
          </w:tcPr>
          <w:p>
            <w:pPr>
              <w:spacing w:after="0"/>
              <w:rPr>
                <w:sz w:val="12"/>
                <w:szCs w:val="12"/>
                <w:color w:val="auto"/>
              </w:rPr>
            </w:pPr>
          </w:p>
        </w:tc>
        <w:tc>
          <w:tcPr>
            <w:tcW w:w="46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4.10</w:t>
            </w:r>
          </w:p>
        </w:tc>
      </w:tr>
      <w:tr>
        <w:trPr>
          <w:trHeight w:val="146"/>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3.94</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4.07</w:t>
            </w:r>
          </w:p>
        </w:tc>
      </w:tr>
      <w:tr>
        <w:trPr>
          <w:trHeight w:val="144"/>
        </w:trPr>
        <w:tc>
          <w:tcPr>
            <w:tcW w:w="5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per Class B Voting Common Share: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2"/>
        </w:trPr>
        <w:tc>
          <w:tcPr>
            <w:tcW w:w="55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100" w:type="dxa"/>
            <w:vAlign w:val="bottom"/>
          </w:tcPr>
          <w:p>
            <w:pPr>
              <w:spacing w:after="0"/>
              <w:rPr>
                <w:sz w:val="12"/>
                <w:szCs w:val="12"/>
                <w:color w:val="auto"/>
              </w:rPr>
            </w:pP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80" w:type="dxa"/>
            <w:vAlign w:val="bottom"/>
          </w:tcPr>
          <w:p>
            <w:pPr>
              <w:spacing w:after="0"/>
              <w:rPr>
                <w:sz w:val="12"/>
                <w:szCs w:val="12"/>
                <w:color w:val="auto"/>
              </w:rPr>
            </w:pPr>
          </w:p>
        </w:tc>
        <w:tc>
          <w:tcPr>
            <w:tcW w:w="3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3.96</w:t>
            </w:r>
          </w:p>
        </w:tc>
        <w:tc>
          <w:tcPr>
            <w:tcW w:w="80" w:type="dxa"/>
            <w:vAlign w:val="bottom"/>
          </w:tcPr>
          <w:p>
            <w:pPr>
              <w:spacing w:after="0"/>
              <w:rPr>
                <w:sz w:val="12"/>
                <w:szCs w:val="12"/>
                <w:color w:val="auto"/>
              </w:rPr>
            </w:pPr>
          </w:p>
        </w:tc>
        <w:tc>
          <w:tcPr>
            <w:tcW w:w="46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4.08</w:t>
            </w:r>
          </w:p>
        </w:tc>
      </w:tr>
      <w:tr>
        <w:trPr>
          <w:trHeight w:val="146"/>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3.92</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4.05</w:t>
            </w:r>
          </w:p>
        </w:tc>
      </w:tr>
      <w:tr>
        <w:trPr>
          <w:trHeight w:val="144"/>
        </w:trPr>
        <w:tc>
          <w:tcPr>
            <w:tcW w:w="5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Weighted average common shares outstanding:</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2"/>
        </w:trPr>
        <w:tc>
          <w:tcPr>
            <w:tcW w:w="55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47,335</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47,595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47,641</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48,119</w:t>
            </w:r>
          </w:p>
        </w:tc>
      </w:tr>
      <w:tr>
        <w:trPr>
          <w:trHeight w:val="146"/>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47,780</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48,063</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48,092</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48,496</w:t>
            </w:r>
          </w:p>
        </w:tc>
      </w:tr>
    </w:tbl>
    <w:p>
      <w:pPr>
        <w:sectPr>
          <w:pgSz w:w="11900" w:h="16838" w:orient="portrait"/>
          <w:cols w:equalWidth="0" w:num="1">
            <w:col w:w="11240"/>
          </w:cols>
          <w:pgMar w:left="300" w:top="560"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BALANCE SHEETS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84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July 31, 2025</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color w:val="auto"/>
              </w:rPr>
              <w:t>July 31, 2024</w:t>
            </w:r>
          </w:p>
        </w:tc>
      </w:tr>
      <w:tr>
        <w:trPr>
          <w:trHeight w:val="106"/>
        </w:trPr>
        <w:tc>
          <w:tcPr>
            <w:tcW w:w="2840" w:type="dxa"/>
            <w:vAlign w:val="bottom"/>
            <w:tcBorders>
              <w:bottom w:val="single" w:sz="8" w:color="CCEEFF"/>
            </w:tcBorders>
            <w:shd w:val="clear" w:color="auto" w:fill="CCEEFF"/>
          </w:tcPr>
          <w:p>
            <w:pPr>
              <w:spacing w:after="0"/>
              <w:rPr>
                <w:sz w:val="9"/>
                <w:szCs w:val="9"/>
                <w:color w:val="auto"/>
              </w:rPr>
            </w:pPr>
          </w:p>
        </w:tc>
        <w:tc>
          <w:tcPr>
            <w:tcW w:w="980" w:type="dxa"/>
            <w:vAlign w:val="bottom"/>
            <w:tcBorders>
              <w:bottom w:val="single" w:sz="8" w:color="CCEEFF"/>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w w:val="97"/>
              </w:rPr>
              <w:t>ASSETS</w:t>
            </w:r>
          </w:p>
        </w:tc>
        <w:tc>
          <w:tcPr>
            <w:tcW w:w="3820" w:type="dxa"/>
            <w:vAlign w:val="bottom"/>
            <w:tcBorders>
              <w:bottom w:val="single" w:sz="8" w:color="CCEEFF"/>
            </w:tcBorders>
            <w:gridSpan w:val="2"/>
            <w:shd w:val="clear" w:color="auto" w:fill="CCEEFF"/>
          </w:tcPr>
          <w:p>
            <w:pPr>
              <w:spacing w:after="0"/>
              <w:rPr>
                <w:sz w:val="9"/>
                <w:szCs w:val="9"/>
                <w:color w:val="auto"/>
              </w:rPr>
            </w:pPr>
          </w:p>
        </w:tc>
        <w:tc>
          <w:tcPr>
            <w:tcW w:w="1100" w:type="dxa"/>
            <w:vAlign w:val="bottom"/>
            <w:tcBorders>
              <w:bottom w:val="single" w:sz="8" w:color="CCEEFF"/>
            </w:tcBorders>
            <w:shd w:val="clear" w:color="auto" w:fill="CCEEFF"/>
          </w:tcPr>
          <w:p>
            <w:pPr>
              <w:spacing w:after="0"/>
              <w:rPr>
                <w:sz w:val="9"/>
                <w:szCs w:val="9"/>
                <w:color w:val="auto"/>
              </w:rPr>
            </w:pPr>
          </w:p>
        </w:tc>
        <w:tc>
          <w:tcPr>
            <w:tcW w:w="4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CCEEFF"/>
            </w:tcBorders>
            <w:shd w:val="clear" w:color="auto" w:fill="CCEEFF"/>
          </w:tcPr>
          <w:p>
            <w:pPr>
              <w:spacing w:after="0"/>
              <w:rPr>
                <w:sz w:val="9"/>
                <w:szCs w:val="9"/>
                <w:color w:val="auto"/>
              </w:rPr>
            </w:pPr>
          </w:p>
        </w:tc>
        <w:tc>
          <w:tcPr>
            <w:tcW w:w="1300" w:type="dxa"/>
            <w:vAlign w:val="bottom"/>
            <w:tcBorders>
              <w:bottom w:val="single" w:sz="8" w:color="CCEEFF"/>
            </w:tcBorders>
            <w:shd w:val="clear" w:color="auto" w:fill="CCEEFF"/>
          </w:tcPr>
          <w:p>
            <w:pPr>
              <w:spacing w:after="0"/>
              <w:rPr>
                <w:sz w:val="9"/>
                <w:szCs w:val="9"/>
                <w:color w:val="auto"/>
              </w:rPr>
            </w:pPr>
          </w:p>
        </w:tc>
      </w:tr>
      <w:tr>
        <w:trPr>
          <w:trHeight w:val="142"/>
        </w:trPr>
        <w:tc>
          <w:tcPr>
            <w:tcW w:w="804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Current assets:</w:t>
            </w: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46"/>
        </w:trPr>
        <w:tc>
          <w:tcPr>
            <w:tcW w:w="80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100" w:type="dxa"/>
            <w:vAlign w:val="bottom"/>
            <w:shd w:val="clear" w:color="auto" w:fill="CCEEFF"/>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174,349</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250,118</w:t>
            </w:r>
          </w:p>
        </w:tc>
      </w:tr>
      <w:tr>
        <w:trPr>
          <w:trHeight w:val="142"/>
        </w:trPr>
        <w:tc>
          <w:tcPr>
            <w:tcW w:w="8040" w:type="dxa"/>
            <w:vAlign w:val="bottom"/>
            <w:gridSpan w:val="5"/>
          </w:tcPr>
          <w:p>
            <w:pPr>
              <w:ind w:left="140"/>
              <w:spacing w:after="0"/>
              <w:rPr>
                <w:sz w:val="20"/>
                <w:szCs w:val="20"/>
                <w:color w:val="auto"/>
              </w:rPr>
            </w:pPr>
            <w:r>
              <w:rPr>
                <w:rFonts w:ascii="Times New Roman" w:cs="Times New Roman" w:eastAsia="Times New Roman" w:hAnsi="Times New Roman"/>
                <w:sz w:val="11"/>
                <w:szCs w:val="11"/>
                <w:color w:val="auto"/>
              </w:rPr>
              <w:t>Accounts receivable, net of allowance for credit losses of $7,876 and $6,749, respectively</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231,944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185,486</w:t>
            </w:r>
          </w:p>
        </w:tc>
      </w:tr>
      <w:tr>
        <w:trPr>
          <w:trHeight w:val="146"/>
        </w:trPr>
        <w:tc>
          <w:tcPr>
            <w:tcW w:w="80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Inventories</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200,881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152,729</w:t>
            </w:r>
          </w:p>
        </w:tc>
      </w:tr>
      <w:tr>
        <w:trPr>
          <w:trHeight w:val="142"/>
        </w:trPr>
        <w:tc>
          <w:tcPr>
            <w:tcW w:w="8040" w:type="dxa"/>
            <w:vAlign w:val="bottom"/>
            <w:tcBorders>
              <w:bottom w:val="single" w:sz="8" w:color="CCEEFF"/>
            </w:tcBorders>
            <w:gridSpan w:val="5"/>
          </w:tcPr>
          <w:p>
            <w:pPr>
              <w:ind w:left="14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1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14,661</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11,382</w:t>
            </w:r>
          </w:p>
        </w:tc>
      </w:tr>
      <w:tr>
        <w:trPr>
          <w:trHeight w:val="135"/>
        </w:trPr>
        <w:tc>
          <w:tcPr>
            <w:tcW w:w="804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Total current assets</w:t>
            </w:r>
          </w:p>
        </w:tc>
        <w:tc>
          <w:tcPr>
            <w:tcW w:w="1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621,835</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599,715</w:t>
            </w:r>
          </w:p>
        </w:tc>
      </w:tr>
      <w:tr>
        <w:trPr>
          <w:trHeight w:val="142"/>
        </w:trPr>
        <w:tc>
          <w:tcPr>
            <w:tcW w:w="804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Property, plant and equipment—net</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225,572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195,758</w:t>
            </w:r>
          </w:p>
        </w:tc>
      </w:tr>
      <w:tr>
        <w:trPr>
          <w:trHeight w:val="146"/>
        </w:trPr>
        <w:tc>
          <w:tcPr>
            <w:tcW w:w="8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Goodwill</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676,945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589,611</w:t>
            </w:r>
          </w:p>
        </w:tc>
      </w:tr>
      <w:tr>
        <w:trPr>
          <w:trHeight w:val="142"/>
        </w:trPr>
        <w:tc>
          <w:tcPr>
            <w:tcW w:w="804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Other intangible assets</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105,374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51,839</w:t>
            </w:r>
          </w:p>
        </w:tc>
      </w:tr>
      <w:tr>
        <w:trPr>
          <w:trHeight w:val="146"/>
        </w:trPr>
        <w:tc>
          <w:tcPr>
            <w:tcW w:w="8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Deferred income taxes</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20,862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15,596</w:t>
            </w:r>
          </w:p>
        </w:tc>
      </w:tr>
      <w:tr>
        <w:trPr>
          <w:trHeight w:val="142"/>
        </w:trPr>
        <w:tc>
          <w:tcPr>
            <w:tcW w:w="804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Operating lease assets</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58,422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38,504</w:t>
            </w:r>
          </w:p>
        </w:tc>
      </w:tr>
      <w:tr>
        <w:trPr>
          <w:trHeight w:val="144"/>
        </w:trPr>
        <w:tc>
          <w:tcPr>
            <w:tcW w:w="8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assets</w:t>
            </w:r>
          </w:p>
        </w:tc>
        <w:tc>
          <w:tcPr>
            <w:tcW w:w="1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25,243</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24,546</w:t>
            </w:r>
          </w:p>
        </w:tc>
      </w:tr>
      <w:tr>
        <w:trPr>
          <w:trHeight w:val="151"/>
        </w:trPr>
        <w:tc>
          <w:tcPr>
            <w:tcW w:w="804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1"/>
                <w:szCs w:val="11"/>
                <w:color w:val="auto"/>
              </w:rPr>
              <w:t>Total</w:t>
            </w:r>
          </w:p>
        </w:tc>
        <w:tc>
          <w:tcPr>
            <w:tcW w:w="1100" w:type="dxa"/>
            <w:vAlign w:val="bottom"/>
            <w:tcBorders>
              <w:bottom w:val="single" w:sz="8" w:color="auto"/>
            </w:tcBorders>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5"/>
              </w:rPr>
              <w:t>1,734,253</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1,515,569</w:t>
            </w:r>
          </w:p>
        </w:tc>
      </w:tr>
      <w:tr>
        <w:trPr>
          <w:trHeight w:val="106"/>
        </w:trPr>
        <w:tc>
          <w:tcPr>
            <w:tcW w:w="2840" w:type="dxa"/>
            <w:vAlign w:val="bottom"/>
            <w:shd w:val="clear" w:color="auto" w:fill="CCEEFF"/>
          </w:tcPr>
          <w:p>
            <w:pPr>
              <w:spacing w:after="0"/>
              <w:rPr>
                <w:sz w:val="9"/>
                <w:szCs w:val="9"/>
                <w:color w:val="auto"/>
              </w:rPr>
            </w:pPr>
          </w:p>
        </w:tc>
        <w:tc>
          <w:tcPr>
            <w:tcW w:w="5200" w:type="dxa"/>
            <w:vAlign w:val="bottom"/>
            <w:gridSpan w:val="4"/>
            <w:shd w:val="clear" w:color="auto" w:fill="CCEEFF"/>
          </w:tcPr>
          <w:p>
            <w:pPr>
              <w:jc w:val="center"/>
              <w:ind w:right="2860"/>
              <w:spacing w:after="0" w:line="99" w:lineRule="exact"/>
              <w:rPr>
                <w:sz w:val="20"/>
                <w:szCs w:val="20"/>
                <w:color w:val="auto"/>
              </w:rPr>
            </w:pPr>
            <w:r>
              <w:rPr>
                <w:rFonts w:ascii="Times New Roman" w:cs="Times New Roman" w:eastAsia="Times New Roman" w:hAnsi="Times New Roman"/>
                <w:sz w:val="11"/>
                <w:szCs w:val="11"/>
                <w:b w:val="1"/>
                <w:bCs w:val="1"/>
                <w:color w:val="auto"/>
                <w:w w:val="97"/>
              </w:rPr>
              <w:t>LIABILITIES AND STOCKHOLDERS’ EQUITY</w:t>
            </w:r>
          </w:p>
        </w:tc>
        <w:tc>
          <w:tcPr>
            <w:tcW w:w="1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r>
      <w:tr>
        <w:trPr>
          <w:trHeight w:val="142"/>
        </w:trPr>
        <w:tc>
          <w:tcPr>
            <w:tcW w:w="28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1"/>
                <w:szCs w:val="11"/>
                <w:color w:val="auto"/>
              </w:rPr>
              <w:t>Current liabilities:</w:t>
            </w:r>
          </w:p>
        </w:tc>
        <w:tc>
          <w:tcPr>
            <w:tcW w:w="2340" w:type="dxa"/>
            <w:vAlign w:val="bottom"/>
            <w:tcBorders>
              <w:top w:val="single" w:sz="8" w:color="auto"/>
            </w:tcBorders>
            <w:gridSpan w:val="3"/>
          </w:tcPr>
          <w:p>
            <w:pPr>
              <w:spacing w:after="0"/>
              <w:rPr>
                <w:sz w:val="12"/>
                <w:szCs w:val="12"/>
                <w:color w:val="auto"/>
              </w:rPr>
            </w:pPr>
          </w:p>
        </w:tc>
        <w:tc>
          <w:tcPr>
            <w:tcW w:w="2860" w:type="dxa"/>
            <w:vAlign w:val="bottom"/>
            <w:tcBorders>
              <w:top w:val="single" w:sz="8" w:color="CCEEFF"/>
            </w:tcBorders>
          </w:tcPr>
          <w:p>
            <w:pPr>
              <w:spacing w:after="0"/>
              <w:rPr>
                <w:sz w:val="12"/>
                <w:szCs w:val="12"/>
                <w:color w:val="auto"/>
              </w:rPr>
            </w:pPr>
          </w:p>
        </w:tc>
        <w:tc>
          <w:tcPr>
            <w:tcW w:w="110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1300" w:type="dxa"/>
            <w:vAlign w:val="bottom"/>
            <w:tcBorders>
              <w:top w:val="single" w:sz="8" w:color="CCEEFF"/>
            </w:tcBorders>
          </w:tcPr>
          <w:p>
            <w:pPr>
              <w:spacing w:after="0"/>
              <w:rPr>
                <w:sz w:val="12"/>
                <w:szCs w:val="12"/>
                <w:color w:val="auto"/>
              </w:rPr>
            </w:pPr>
          </w:p>
        </w:tc>
      </w:tr>
      <w:tr>
        <w:trPr>
          <w:trHeight w:val="146"/>
        </w:trPr>
        <w:tc>
          <w:tcPr>
            <w:tcW w:w="80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Accounts payable</w:t>
            </w:r>
          </w:p>
        </w:tc>
        <w:tc>
          <w:tcPr>
            <w:tcW w:w="1100" w:type="dxa"/>
            <w:vAlign w:val="bottom"/>
            <w:shd w:val="clear" w:color="auto" w:fill="CCEEFF"/>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105,028</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84,691</w:t>
            </w:r>
          </w:p>
        </w:tc>
      </w:tr>
      <w:tr>
        <w:trPr>
          <w:trHeight w:val="142"/>
        </w:trPr>
        <w:tc>
          <w:tcPr>
            <w:tcW w:w="8040" w:type="dxa"/>
            <w:vAlign w:val="bottom"/>
            <w:gridSpan w:val="5"/>
          </w:tcPr>
          <w:p>
            <w:pPr>
              <w:ind w:left="140"/>
              <w:spacing w:after="0"/>
              <w:rPr>
                <w:sz w:val="20"/>
                <w:szCs w:val="20"/>
                <w:color w:val="auto"/>
              </w:rPr>
            </w:pPr>
            <w:r>
              <w:rPr>
                <w:rFonts w:ascii="Times New Roman" w:cs="Times New Roman" w:eastAsia="Times New Roman" w:hAnsi="Times New Roman"/>
                <w:sz w:val="11"/>
                <w:szCs w:val="11"/>
                <w:color w:val="auto"/>
              </w:rPr>
              <w:t>Accrued compensation and benefits</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92,657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77,954</w:t>
            </w:r>
          </w:p>
        </w:tc>
      </w:tr>
      <w:tr>
        <w:trPr>
          <w:trHeight w:val="146"/>
        </w:trPr>
        <w:tc>
          <w:tcPr>
            <w:tcW w:w="80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Taxes, other than income taxes</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21,537</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14,061</w:t>
            </w:r>
          </w:p>
        </w:tc>
      </w:tr>
      <w:tr>
        <w:trPr>
          <w:trHeight w:val="142"/>
        </w:trPr>
        <w:tc>
          <w:tcPr>
            <w:tcW w:w="8040" w:type="dxa"/>
            <w:vAlign w:val="bottom"/>
            <w:gridSpan w:val="5"/>
          </w:tcPr>
          <w:p>
            <w:pPr>
              <w:ind w:left="140"/>
              <w:spacing w:after="0"/>
              <w:rPr>
                <w:sz w:val="20"/>
                <w:szCs w:val="20"/>
                <w:color w:val="auto"/>
              </w:rPr>
            </w:pPr>
            <w:r>
              <w:rPr>
                <w:rFonts w:ascii="Times New Roman" w:cs="Times New Roman" w:eastAsia="Times New Roman" w:hAnsi="Times New Roman"/>
                <w:sz w:val="11"/>
                <w:szCs w:val="11"/>
                <w:color w:val="auto"/>
              </w:rPr>
              <w:t>Accrued income taxes</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5,547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7,424</w:t>
            </w:r>
          </w:p>
        </w:tc>
      </w:tr>
      <w:tr>
        <w:trPr>
          <w:trHeight w:val="146"/>
        </w:trPr>
        <w:tc>
          <w:tcPr>
            <w:tcW w:w="80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Current operating lease liabilities</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15,234</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13,382</w:t>
            </w:r>
          </w:p>
        </w:tc>
      </w:tr>
      <w:tr>
        <w:trPr>
          <w:trHeight w:val="142"/>
        </w:trPr>
        <w:tc>
          <w:tcPr>
            <w:tcW w:w="8040" w:type="dxa"/>
            <w:vAlign w:val="bottom"/>
            <w:tcBorders>
              <w:bottom w:val="single" w:sz="8" w:color="CCEEFF"/>
            </w:tcBorders>
            <w:gridSpan w:val="5"/>
          </w:tcPr>
          <w:p>
            <w:pPr>
              <w:ind w:left="14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1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90,329</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67,170</w:t>
            </w:r>
          </w:p>
        </w:tc>
      </w:tr>
      <w:tr>
        <w:trPr>
          <w:trHeight w:val="135"/>
        </w:trPr>
        <w:tc>
          <w:tcPr>
            <w:tcW w:w="804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1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330,332</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264,682</w:t>
            </w:r>
          </w:p>
        </w:tc>
      </w:tr>
      <w:tr>
        <w:trPr>
          <w:trHeight w:val="142"/>
        </w:trPr>
        <w:tc>
          <w:tcPr>
            <w:tcW w:w="804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Long-term debt</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99,766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90,935</w:t>
            </w:r>
          </w:p>
        </w:tc>
      </w:tr>
      <w:tr>
        <w:trPr>
          <w:trHeight w:val="146"/>
        </w:trPr>
        <w:tc>
          <w:tcPr>
            <w:tcW w:w="8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Long-term operating lease liabilities</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43,565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25,342</w:t>
            </w:r>
          </w:p>
        </w:tc>
      </w:tr>
      <w:tr>
        <w:trPr>
          <w:trHeight w:val="142"/>
        </w:trPr>
        <w:tc>
          <w:tcPr>
            <w:tcW w:w="804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1"/>
                <w:szCs w:val="11"/>
                <w:color w:val="auto"/>
              </w:rPr>
              <w:t>Other liabilities</w:t>
            </w:r>
          </w:p>
        </w:tc>
        <w:tc>
          <w:tcPr>
            <w:tcW w:w="1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68,379</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67,952</w:t>
            </w:r>
          </w:p>
        </w:tc>
      </w:tr>
      <w:tr>
        <w:trPr>
          <w:trHeight w:val="135"/>
        </w:trPr>
        <w:tc>
          <w:tcPr>
            <w:tcW w:w="804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Total liabilities</w:t>
            </w:r>
          </w:p>
        </w:tc>
        <w:tc>
          <w:tcPr>
            <w:tcW w:w="1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542,042</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448,911</w:t>
            </w:r>
          </w:p>
        </w:tc>
      </w:tr>
      <w:tr>
        <w:trPr>
          <w:trHeight w:val="142"/>
        </w:trPr>
        <w:tc>
          <w:tcPr>
            <w:tcW w:w="804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Stockholders’ equity:</w:t>
            </w: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46"/>
        </w:trPr>
        <w:tc>
          <w:tcPr>
            <w:tcW w:w="80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Common stock:</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42"/>
        </w:trPr>
        <w:tc>
          <w:tcPr>
            <w:tcW w:w="8040" w:type="dxa"/>
            <w:vAlign w:val="bottom"/>
            <w:gridSpan w:val="5"/>
          </w:tcPr>
          <w:p>
            <w:pPr>
              <w:ind w:left="300"/>
              <w:spacing w:after="0"/>
              <w:rPr>
                <w:sz w:val="20"/>
                <w:szCs w:val="20"/>
                <w:color w:val="auto"/>
              </w:rPr>
            </w:pPr>
            <w:r>
              <w:rPr>
                <w:rFonts w:ascii="Times New Roman" w:cs="Times New Roman" w:eastAsia="Times New Roman" w:hAnsi="Times New Roman"/>
                <w:sz w:val="11"/>
                <w:szCs w:val="11"/>
                <w:color w:val="auto"/>
              </w:rPr>
              <w:t>Class A nonvoting common stock — Issued 51,261,487 shares, and outstanding 43,530,012 and 44,042,462 shares, respectively</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513</w:t>
            </w:r>
          </w:p>
        </w:tc>
      </w:tr>
      <w:tr>
        <w:trPr>
          <w:trHeight w:val="146"/>
        </w:trPr>
        <w:tc>
          <w:tcPr>
            <w:tcW w:w="804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Class B voting common stock — Issued and outstanding 3,538,628 shares</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r>
      <w:tr>
        <w:trPr>
          <w:trHeight w:val="142"/>
        </w:trPr>
        <w:tc>
          <w:tcPr>
            <w:tcW w:w="8040" w:type="dxa"/>
            <w:vAlign w:val="bottom"/>
            <w:gridSpan w:val="5"/>
          </w:tcPr>
          <w:p>
            <w:pPr>
              <w:ind w:left="14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359,269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353,654</w:t>
            </w:r>
          </w:p>
        </w:tc>
      </w:tr>
      <w:tr>
        <w:trPr>
          <w:trHeight w:val="146"/>
        </w:trPr>
        <w:tc>
          <w:tcPr>
            <w:tcW w:w="80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Retained earnings</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5"/>
              </w:rPr>
              <w:t>1,317,739</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1,174,025</w:t>
            </w:r>
          </w:p>
        </w:tc>
      </w:tr>
      <w:tr>
        <w:trPr>
          <w:trHeight w:val="142"/>
        </w:trPr>
        <w:tc>
          <w:tcPr>
            <w:tcW w:w="8040" w:type="dxa"/>
            <w:vAlign w:val="bottom"/>
            <w:gridSpan w:val="5"/>
          </w:tcPr>
          <w:p>
            <w:pPr>
              <w:ind w:left="140"/>
              <w:spacing w:after="0"/>
              <w:rPr>
                <w:sz w:val="20"/>
                <w:szCs w:val="20"/>
                <w:color w:val="auto"/>
              </w:rPr>
            </w:pPr>
            <w:r>
              <w:rPr>
                <w:rFonts w:ascii="Times New Roman" w:cs="Times New Roman" w:eastAsia="Times New Roman" w:hAnsi="Times New Roman"/>
                <w:sz w:val="11"/>
                <w:szCs w:val="11"/>
                <w:color w:val="auto"/>
              </w:rPr>
              <w:t>Treasury stock — 7,731,475 and 7,219,025 shares, respectively, of Class A nonvoting common stock, at cost</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(393,186)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(351,947)</w:t>
            </w:r>
          </w:p>
        </w:tc>
      </w:tr>
      <w:tr>
        <w:trPr>
          <w:trHeight w:val="146"/>
        </w:trPr>
        <w:tc>
          <w:tcPr>
            <w:tcW w:w="80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Accumulated other comprehensive loss</w:t>
            </w:r>
          </w:p>
        </w:tc>
        <w:tc>
          <w:tcPr>
            <w:tcW w:w="1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(92,159)</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(109,622)</w:t>
            </w:r>
          </w:p>
        </w:tc>
      </w:tr>
      <w:tr>
        <w:trPr>
          <w:trHeight w:val="131"/>
        </w:trPr>
        <w:tc>
          <w:tcPr>
            <w:tcW w:w="8040" w:type="dxa"/>
            <w:vAlign w:val="bottom"/>
            <w:tcBorders>
              <w:bottom w:val="single" w:sz="8" w:color="CCEEFF"/>
            </w:tcBorders>
            <w:gridSpan w:val="5"/>
          </w:tcPr>
          <w:p>
            <w:pPr>
              <w:ind w:left="30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1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5"/>
              </w:rPr>
              <w:t>1,192,211</w:t>
            </w: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1,066,658</w:t>
            </w:r>
          </w:p>
        </w:tc>
      </w:tr>
      <w:tr>
        <w:trPr>
          <w:trHeight w:val="151"/>
        </w:trPr>
        <w:tc>
          <w:tcPr>
            <w:tcW w:w="80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1100" w:type="dxa"/>
            <w:vAlign w:val="bottom"/>
            <w:tcBorders>
              <w:bottom w:val="single" w:sz="8" w:color="auto"/>
            </w:tcBorders>
            <w:shd w:val="clear" w:color="auto" w:fill="CCEEFF"/>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5"/>
              </w:rPr>
              <w:t>1,734,253</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1,515,569</w:t>
            </w:r>
          </w:p>
        </w:tc>
      </w:tr>
    </w:tbl>
    <w:p>
      <w:pPr>
        <w:sectPr>
          <w:pgSz w:w="11900" w:h="16838" w:orient="portrait"/>
          <w:cols w:equalWidth="0" w:num="1">
            <w:col w:w="11300"/>
          </w:cols>
          <w:pgMar w:left="300" w:top="560"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STATEMENTS OF CASH FLOWS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06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Year ended July 31,</w:t>
            </w:r>
          </w:p>
        </w:tc>
        <w:tc>
          <w:tcPr>
            <w:tcW w:w="1060" w:type="dxa"/>
            <w:vAlign w:val="bottom"/>
            <w:tcBorders>
              <w:bottom w:val="single" w:sz="8" w:color="auto"/>
            </w:tcBorders>
          </w:tcPr>
          <w:p>
            <w:pPr>
              <w:spacing w:after="0"/>
              <w:rPr>
                <w:sz w:val="12"/>
                <w:szCs w:val="12"/>
                <w:color w:val="auto"/>
              </w:rPr>
            </w:pPr>
          </w:p>
        </w:tc>
      </w:tr>
      <w:tr>
        <w:trPr>
          <w:trHeight w:val="133"/>
        </w:trPr>
        <w:tc>
          <w:tcPr>
            <w:tcW w:w="806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2025</w:t>
            </w: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color w:val="auto"/>
              </w:rPr>
              <w:t>2024</w:t>
            </w:r>
          </w:p>
        </w:tc>
      </w:tr>
      <w:tr>
        <w:trPr>
          <w:trHeight w:val="126"/>
        </w:trPr>
        <w:tc>
          <w:tcPr>
            <w:tcW w:w="80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Operating activities:</w:t>
            </w:r>
          </w:p>
        </w:tc>
        <w:tc>
          <w:tcPr>
            <w:tcW w:w="10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r>
      <w:tr>
        <w:trPr>
          <w:trHeight w:val="142"/>
        </w:trPr>
        <w:tc>
          <w:tcPr>
            <w:tcW w:w="80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Net income</w:t>
            </w:r>
          </w:p>
        </w:tc>
        <w:tc>
          <w:tcPr>
            <w:tcW w:w="1000" w:type="dxa"/>
            <w:vAlign w:val="bottom"/>
          </w:tcPr>
          <w:p>
            <w:pPr>
              <w:jc w:val="right"/>
              <w:ind w:right="88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189,256</w:t>
            </w:r>
          </w:p>
        </w:tc>
        <w:tc>
          <w:tcPr>
            <w:tcW w:w="100" w:type="dxa"/>
            <w:vAlign w:val="bottom"/>
          </w:tcPr>
          <w:p>
            <w:pPr>
              <w:spacing w:after="0"/>
              <w:rPr>
                <w:sz w:val="12"/>
                <w:szCs w:val="12"/>
                <w:color w:val="auto"/>
              </w:rPr>
            </w:pPr>
          </w:p>
        </w:tc>
        <w:tc>
          <w:tcPr>
            <w:tcW w:w="52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197,215</w:t>
            </w:r>
          </w:p>
        </w:tc>
      </w:tr>
      <w:tr>
        <w:trPr>
          <w:trHeight w:val="146"/>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Adjustments to reconcile net income to net cash provided by operating activities: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80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40,639</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29,873</w:t>
            </w:r>
          </w:p>
        </w:tc>
      </w:tr>
      <w:tr>
        <w:trPr>
          <w:trHeight w:val="146"/>
        </w:trPr>
        <w:tc>
          <w:tcPr>
            <w:tcW w:w="8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11,882</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7,361</w:t>
            </w:r>
          </w:p>
        </w:tc>
      </w:tr>
      <w:tr>
        <w:trPr>
          <w:trHeight w:val="142"/>
        </w:trPr>
        <w:tc>
          <w:tcPr>
            <w:tcW w:w="80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Deferred income taxes</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(7,623)</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(9,399)</w:t>
            </w:r>
          </w:p>
        </w:tc>
      </w:tr>
      <w:tr>
        <w:trPr>
          <w:trHeight w:val="146"/>
        </w:trPr>
        <w:tc>
          <w:tcPr>
            <w:tcW w:w="8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Other</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(2,540)</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1,401</w:t>
            </w:r>
          </w:p>
        </w:tc>
      </w:tr>
      <w:tr>
        <w:trPr>
          <w:trHeight w:val="142"/>
        </w:trPr>
        <w:tc>
          <w:tcPr>
            <w:tcW w:w="80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Changes in operating assets and liabilities (net of effects of business acquisitions):</w:t>
            </w: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6"/>
        </w:trPr>
        <w:tc>
          <w:tcPr>
            <w:tcW w:w="8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Accounts receivable</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(14,356)</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(6,581)</w:t>
            </w:r>
          </w:p>
        </w:tc>
      </w:tr>
      <w:tr>
        <w:trPr>
          <w:trHeight w:val="142"/>
        </w:trPr>
        <w:tc>
          <w:tcPr>
            <w:tcW w:w="806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Inventories</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(18,889)</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21,697</w:t>
            </w:r>
          </w:p>
        </w:tc>
      </w:tr>
      <w:tr>
        <w:trPr>
          <w:trHeight w:val="146"/>
        </w:trPr>
        <w:tc>
          <w:tcPr>
            <w:tcW w:w="8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(2,098)</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(743)</w:t>
            </w:r>
          </w:p>
        </w:tc>
      </w:tr>
      <w:tr>
        <w:trPr>
          <w:trHeight w:val="142"/>
        </w:trPr>
        <w:tc>
          <w:tcPr>
            <w:tcW w:w="806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Accounts payable and accrued liabilities</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(9,862)</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19,198</w:t>
            </w:r>
          </w:p>
        </w:tc>
      </w:tr>
      <w:tr>
        <w:trPr>
          <w:trHeight w:val="146"/>
        </w:trPr>
        <w:tc>
          <w:tcPr>
            <w:tcW w:w="8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Income taxes</w:t>
            </w:r>
          </w:p>
        </w:tc>
        <w:tc>
          <w:tcPr>
            <w:tcW w:w="10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(5,213)</w:t>
            </w:r>
          </w:p>
        </w:tc>
        <w:tc>
          <w:tcPr>
            <w:tcW w:w="10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(4,948)</w:t>
            </w:r>
          </w:p>
        </w:tc>
      </w:tr>
      <w:tr>
        <w:trPr>
          <w:trHeight w:val="131"/>
        </w:trPr>
        <w:tc>
          <w:tcPr>
            <w:tcW w:w="8060" w:type="dxa"/>
            <w:vAlign w:val="bottom"/>
          </w:tcPr>
          <w:p>
            <w:pPr>
              <w:ind w:left="1000"/>
              <w:spacing w:after="0"/>
              <w:rPr>
                <w:sz w:val="20"/>
                <w:szCs w:val="20"/>
                <w:color w:val="auto"/>
              </w:rPr>
            </w:pPr>
            <w:r>
              <w:rPr>
                <w:rFonts w:ascii="Times New Roman" w:cs="Times New Roman" w:eastAsia="Times New Roman" w:hAnsi="Times New Roman"/>
                <w:sz w:val="11"/>
                <w:szCs w:val="11"/>
                <w:color w:val="auto"/>
              </w:rPr>
              <w:t>Net cash provided by operating activities</w:t>
            </w:r>
          </w:p>
        </w:tc>
        <w:tc>
          <w:tcPr>
            <w:tcW w:w="10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181,196</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255,074</w:t>
            </w:r>
          </w:p>
        </w:tc>
      </w:tr>
      <w:tr>
        <w:trPr>
          <w:trHeight w:val="146"/>
        </w:trPr>
        <w:tc>
          <w:tcPr>
            <w:tcW w:w="80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8060" w:type="dxa"/>
            <w:vAlign w:val="bottom"/>
          </w:tcPr>
          <w:p>
            <w:pPr>
              <w:spacing w:after="0"/>
              <w:rPr>
                <w:sz w:val="20"/>
                <w:szCs w:val="20"/>
                <w:color w:val="auto"/>
              </w:rPr>
            </w:pPr>
            <w:r>
              <w:rPr>
                <w:rFonts w:ascii="Times New Roman" w:cs="Times New Roman" w:eastAsia="Times New Roman" w:hAnsi="Times New Roman"/>
                <w:sz w:val="11"/>
                <w:szCs w:val="11"/>
                <w:color w:val="auto"/>
              </w:rPr>
              <w:t>Investing activities:</w:t>
            </w: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6"/>
        </w:trPr>
        <w:tc>
          <w:tcPr>
            <w:tcW w:w="8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Purchases of property, plant and equipment</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(27,577)</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(79,892)</w:t>
            </w:r>
          </w:p>
        </w:tc>
      </w:tr>
      <w:tr>
        <w:trPr>
          <w:trHeight w:val="142"/>
        </w:trPr>
        <w:tc>
          <w:tcPr>
            <w:tcW w:w="80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Acquisition of businesses, net of cash acquired</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(144,541)</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8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Other</w:t>
            </w:r>
          </w:p>
        </w:tc>
        <w:tc>
          <w:tcPr>
            <w:tcW w:w="10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864</w:t>
            </w:r>
          </w:p>
        </w:tc>
        <w:tc>
          <w:tcPr>
            <w:tcW w:w="10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(1,155)</w:t>
            </w:r>
          </w:p>
        </w:tc>
      </w:tr>
      <w:tr>
        <w:trPr>
          <w:trHeight w:val="131"/>
        </w:trPr>
        <w:tc>
          <w:tcPr>
            <w:tcW w:w="8060" w:type="dxa"/>
            <w:vAlign w:val="bottom"/>
          </w:tcPr>
          <w:p>
            <w:pPr>
              <w:ind w:left="1000"/>
              <w:spacing w:after="0"/>
              <w:rPr>
                <w:sz w:val="20"/>
                <w:szCs w:val="20"/>
                <w:color w:val="auto"/>
              </w:rPr>
            </w:pPr>
            <w:r>
              <w:rPr>
                <w:rFonts w:ascii="Times New Roman" w:cs="Times New Roman" w:eastAsia="Times New Roman" w:hAnsi="Times New Roman"/>
                <w:sz w:val="11"/>
                <w:szCs w:val="11"/>
                <w:color w:val="auto"/>
              </w:rPr>
              <w:t>Net cash used in investing activities</w:t>
            </w:r>
          </w:p>
        </w:tc>
        <w:tc>
          <w:tcPr>
            <w:tcW w:w="10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(171,254)</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(81,047)</w:t>
            </w:r>
          </w:p>
        </w:tc>
      </w:tr>
      <w:tr>
        <w:trPr>
          <w:trHeight w:val="146"/>
        </w:trPr>
        <w:tc>
          <w:tcPr>
            <w:tcW w:w="80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8060" w:type="dxa"/>
            <w:vAlign w:val="bottom"/>
          </w:tcPr>
          <w:p>
            <w:pPr>
              <w:spacing w:after="0"/>
              <w:rPr>
                <w:sz w:val="20"/>
                <w:szCs w:val="20"/>
                <w:color w:val="auto"/>
              </w:rPr>
            </w:pPr>
            <w:r>
              <w:rPr>
                <w:rFonts w:ascii="Times New Roman" w:cs="Times New Roman" w:eastAsia="Times New Roman" w:hAnsi="Times New Roman"/>
                <w:sz w:val="11"/>
                <w:szCs w:val="11"/>
                <w:color w:val="auto"/>
              </w:rPr>
              <w:t>Financing activities:</w:t>
            </w: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6"/>
        </w:trPr>
        <w:tc>
          <w:tcPr>
            <w:tcW w:w="8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Payment of dividends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(45,542)</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(45,060)</w:t>
            </w:r>
          </w:p>
        </w:tc>
      </w:tr>
      <w:tr>
        <w:trPr>
          <w:trHeight w:val="142"/>
        </w:trPr>
        <w:tc>
          <w:tcPr>
            <w:tcW w:w="80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Proceeds from exercise of stock options</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6,171</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8,186</w:t>
            </w:r>
          </w:p>
        </w:tc>
      </w:tr>
      <w:tr>
        <w:trPr>
          <w:trHeight w:val="146"/>
        </w:trPr>
        <w:tc>
          <w:tcPr>
            <w:tcW w:w="8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Payments for employee taxes withheld from stock-based awards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(2,683)</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(2,797)</w:t>
            </w:r>
          </w:p>
        </w:tc>
      </w:tr>
      <w:tr>
        <w:trPr>
          <w:trHeight w:val="142"/>
        </w:trPr>
        <w:tc>
          <w:tcPr>
            <w:tcW w:w="80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Purchase of treasury stock</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(50,838)</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(72,225)</w:t>
            </w:r>
          </w:p>
        </w:tc>
      </w:tr>
      <w:tr>
        <w:trPr>
          <w:trHeight w:val="146"/>
        </w:trPr>
        <w:tc>
          <w:tcPr>
            <w:tcW w:w="8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Proceeds from borrowing on credit facilities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266,846</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175,103</w:t>
            </w:r>
          </w:p>
        </w:tc>
      </w:tr>
      <w:tr>
        <w:trPr>
          <w:trHeight w:val="142"/>
        </w:trPr>
        <w:tc>
          <w:tcPr>
            <w:tcW w:w="80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Repayment of borrowing on credit facilities</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(258,015)</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(133,884)</w:t>
            </w:r>
          </w:p>
        </w:tc>
      </w:tr>
      <w:tr>
        <w:trPr>
          <w:trHeight w:val="146"/>
        </w:trPr>
        <w:tc>
          <w:tcPr>
            <w:tcW w:w="8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Other</w:t>
            </w:r>
          </w:p>
        </w:tc>
        <w:tc>
          <w:tcPr>
            <w:tcW w:w="10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w:t>
            </w:r>
          </w:p>
        </w:tc>
        <w:tc>
          <w:tcPr>
            <w:tcW w:w="10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w:t>
            </w:r>
          </w:p>
        </w:tc>
      </w:tr>
      <w:tr>
        <w:trPr>
          <w:trHeight w:val="131"/>
        </w:trPr>
        <w:tc>
          <w:tcPr>
            <w:tcW w:w="8060" w:type="dxa"/>
            <w:vAlign w:val="bottom"/>
          </w:tcPr>
          <w:p>
            <w:pPr>
              <w:ind w:left="1000"/>
              <w:spacing w:after="0"/>
              <w:rPr>
                <w:sz w:val="20"/>
                <w:szCs w:val="20"/>
                <w:color w:val="auto"/>
              </w:rPr>
            </w:pPr>
            <w:r>
              <w:rPr>
                <w:rFonts w:ascii="Times New Roman" w:cs="Times New Roman" w:eastAsia="Times New Roman" w:hAnsi="Times New Roman"/>
                <w:sz w:val="11"/>
                <w:szCs w:val="11"/>
                <w:color w:val="auto"/>
              </w:rPr>
              <w:t>Net cash used in financing activities</w:t>
            </w:r>
          </w:p>
        </w:tc>
        <w:tc>
          <w:tcPr>
            <w:tcW w:w="10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(83,871)</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(70,528)</w:t>
            </w:r>
          </w:p>
        </w:tc>
      </w:tr>
      <w:tr>
        <w:trPr>
          <w:trHeight w:val="146"/>
        </w:trPr>
        <w:tc>
          <w:tcPr>
            <w:tcW w:w="80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8060" w:type="dxa"/>
            <w:vAlign w:val="bottom"/>
          </w:tcPr>
          <w:p>
            <w:pPr>
              <w:spacing w:after="0"/>
              <w:rPr>
                <w:sz w:val="20"/>
                <w:szCs w:val="20"/>
                <w:color w:val="auto"/>
              </w:rPr>
            </w:pPr>
            <w:r>
              <w:rPr>
                <w:rFonts w:ascii="Times New Roman" w:cs="Times New Roman" w:eastAsia="Times New Roman" w:hAnsi="Times New Roman"/>
                <w:sz w:val="11"/>
                <w:szCs w:val="11"/>
                <w:color w:val="auto"/>
              </w:rPr>
              <w:t>Effect of exchange rate changes on cash and cash equivalents</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(1,840)</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(4,913)</w:t>
            </w:r>
          </w:p>
        </w:tc>
      </w:tr>
      <w:tr>
        <w:trPr>
          <w:trHeight w:val="146"/>
        </w:trPr>
        <w:tc>
          <w:tcPr>
            <w:tcW w:w="80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8060" w:type="dxa"/>
            <w:vAlign w:val="bottom"/>
          </w:tcPr>
          <w:p>
            <w:pPr>
              <w:spacing w:after="0"/>
              <w:rPr>
                <w:sz w:val="20"/>
                <w:szCs w:val="20"/>
                <w:color w:val="auto"/>
              </w:rPr>
            </w:pPr>
            <w:r>
              <w:rPr>
                <w:rFonts w:ascii="Times New Roman" w:cs="Times New Roman" w:eastAsia="Times New Roman" w:hAnsi="Times New Roman"/>
                <w:sz w:val="11"/>
                <w:szCs w:val="11"/>
                <w:color w:val="auto"/>
              </w:rPr>
              <w:t>Net (decrease) increase in cash and cash equivalents</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(75,769)</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98,586</w:t>
            </w:r>
          </w:p>
        </w:tc>
      </w:tr>
      <w:tr>
        <w:trPr>
          <w:trHeight w:val="144"/>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and cash equivalents, beginning of period</w:t>
            </w:r>
          </w:p>
        </w:tc>
        <w:tc>
          <w:tcPr>
            <w:tcW w:w="10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250,118</w:t>
            </w:r>
          </w:p>
        </w:tc>
        <w:tc>
          <w:tcPr>
            <w:tcW w:w="10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151,532</w:t>
            </w:r>
          </w:p>
        </w:tc>
      </w:tr>
      <w:tr>
        <w:trPr>
          <w:trHeight w:val="126"/>
        </w:trPr>
        <w:tc>
          <w:tcPr>
            <w:tcW w:w="8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60"/>
        </w:trPr>
        <w:tc>
          <w:tcPr>
            <w:tcW w:w="8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and cash equivalents, end of period</w:t>
            </w:r>
          </w:p>
        </w:tc>
        <w:tc>
          <w:tcPr>
            <w:tcW w:w="1000" w:type="dxa"/>
            <w:vAlign w:val="bottom"/>
            <w:tcBorders>
              <w:bottom w:val="single" w:sz="8" w:color="auto"/>
            </w:tcBorders>
            <w:shd w:val="clear" w:color="auto" w:fill="CCEEFF"/>
          </w:tcPr>
          <w:p>
            <w:pPr>
              <w:jc w:val="right"/>
              <w:ind w:right="88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174,349</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250,118</w:t>
            </w:r>
          </w:p>
        </w:tc>
      </w:tr>
      <w:tr>
        <w:trPr>
          <w:trHeight w:val="126"/>
        </w:trPr>
        <w:tc>
          <w:tcPr>
            <w:tcW w:w="8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44"/>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Supplemental disclosures of cash flow information:</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80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Cash paid during the period for:</w:t>
            </w: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6"/>
        </w:trPr>
        <w:tc>
          <w:tcPr>
            <w:tcW w:w="8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Interest</w:t>
            </w:r>
          </w:p>
        </w:tc>
        <w:tc>
          <w:tcPr>
            <w:tcW w:w="1000" w:type="dxa"/>
            <w:vAlign w:val="bottom"/>
            <w:shd w:val="clear" w:color="auto" w:fill="CCEEFF"/>
          </w:tcPr>
          <w:p>
            <w:pPr>
              <w:jc w:val="right"/>
              <w:ind w:right="88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4,656</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2,930</w:t>
            </w:r>
          </w:p>
        </w:tc>
      </w:tr>
      <w:tr>
        <w:trPr>
          <w:trHeight w:val="140"/>
        </w:trPr>
        <w:tc>
          <w:tcPr>
            <w:tcW w:w="80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Income taxes</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71,077</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62,073</w:t>
            </w:r>
          </w:p>
        </w:tc>
      </w:tr>
    </w:tbl>
    <w:p>
      <w:pPr>
        <w:sectPr>
          <w:pgSz w:w="11900" w:h="16838" w:orient="portrait"/>
          <w:cols w:equalWidth="0" w:num="1">
            <w:col w:w="11300"/>
          </w:cols>
          <w:pgMar w:left="300" w:top="560"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SEGMENT INFORMATION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3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w w:val="97"/>
              </w:rPr>
              <w:t>Three months ended July 31,</w:t>
            </w:r>
          </w:p>
        </w:tc>
        <w:tc>
          <w:tcPr>
            <w:tcW w:w="8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Year ended July 31,</w:t>
            </w:r>
          </w:p>
        </w:tc>
        <w:tc>
          <w:tcPr>
            <w:tcW w:w="940" w:type="dxa"/>
            <w:vAlign w:val="bottom"/>
            <w:tcBorders>
              <w:bottom w:val="single" w:sz="8" w:color="auto"/>
            </w:tcBorders>
          </w:tcPr>
          <w:p>
            <w:pPr>
              <w:spacing w:after="0"/>
              <w:rPr>
                <w:sz w:val="12"/>
                <w:szCs w:val="12"/>
                <w:color w:val="auto"/>
              </w:rPr>
            </w:pPr>
          </w:p>
        </w:tc>
      </w:tr>
      <w:tr>
        <w:trPr>
          <w:trHeight w:val="133"/>
        </w:trPr>
        <w:tc>
          <w:tcPr>
            <w:tcW w:w="536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2025</w:t>
            </w: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w w:val="99"/>
              </w:rPr>
              <w:t>2024</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rPr>
              <w:t>2025</w:t>
            </w: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rPr>
              <w:t>2024</w:t>
            </w:r>
          </w:p>
        </w:tc>
      </w:tr>
      <w:tr>
        <w:trPr>
          <w:trHeight w:val="126"/>
        </w:trPr>
        <w:tc>
          <w:tcPr>
            <w:tcW w:w="53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SALES</w:t>
            </w:r>
          </w:p>
        </w:tc>
        <w:tc>
          <w:tcPr>
            <w:tcW w:w="8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42"/>
        </w:trPr>
        <w:tc>
          <w:tcPr>
            <w:tcW w:w="53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Americas &amp; Asia</w:t>
            </w:r>
          </w:p>
        </w:tc>
        <w:tc>
          <w:tcPr>
            <w:tcW w:w="820" w:type="dxa"/>
            <w:vAlign w:val="bottom"/>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260,789</w:t>
            </w:r>
          </w:p>
        </w:tc>
        <w:tc>
          <w:tcPr>
            <w:tcW w:w="100" w:type="dxa"/>
            <w:vAlign w:val="bottom"/>
          </w:tcPr>
          <w:p>
            <w:pPr>
              <w:spacing w:after="0"/>
              <w:rPr>
                <w:sz w:val="12"/>
                <w:szCs w:val="12"/>
                <w:color w:val="auto"/>
              </w:rPr>
            </w:pPr>
          </w:p>
        </w:tc>
        <w:tc>
          <w:tcPr>
            <w:tcW w:w="580" w:type="dxa"/>
            <w:vAlign w:val="bottom"/>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228,493</w:t>
            </w:r>
          </w:p>
        </w:tc>
        <w:tc>
          <w:tcPr>
            <w:tcW w:w="8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993,715</w:t>
            </w:r>
          </w:p>
        </w:tc>
        <w:tc>
          <w:tcPr>
            <w:tcW w:w="100" w:type="dxa"/>
            <w:vAlign w:val="bottom"/>
          </w:tcPr>
          <w:p>
            <w:pPr>
              <w:spacing w:after="0"/>
              <w:rPr>
                <w:sz w:val="12"/>
                <w:szCs w:val="12"/>
                <w:color w:val="auto"/>
              </w:rPr>
            </w:pPr>
          </w:p>
        </w:tc>
        <w:tc>
          <w:tcPr>
            <w:tcW w:w="48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886,528</w:t>
            </w:r>
          </w:p>
        </w:tc>
      </w:tr>
      <w:tr>
        <w:trPr>
          <w:trHeight w:val="144"/>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Europe &amp; Australia</w:t>
            </w:r>
          </w:p>
        </w:tc>
        <w:tc>
          <w:tcPr>
            <w:tcW w:w="8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136,486</w:t>
            </w:r>
          </w:p>
        </w:tc>
        <w:tc>
          <w:tcPr>
            <w:tcW w:w="10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114,909</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519,890</w:t>
            </w:r>
          </w:p>
        </w:tc>
        <w:tc>
          <w:tcPr>
            <w:tcW w:w="10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454,865</w:t>
            </w:r>
          </w:p>
        </w:tc>
      </w:tr>
      <w:tr>
        <w:trPr>
          <w:trHeight w:val="151"/>
        </w:trPr>
        <w:tc>
          <w:tcPr>
            <w:tcW w:w="5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Total</w:t>
            </w:r>
          </w:p>
        </w:tc>
        <w:tc>
          <w:tcPr>
            <w:tcW w:w="820" w:type="dxa"/>
            <w:vAlign w:val="bottom"/>
            <w:tcBorders>
              <w:bottom w:val="single" w:sz="8" w:color="auto"/>
            </w:tcBorders>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397,275</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343,402</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1,513,605</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1,341,393</w:t>
            </w:r>
          </w:p>
        </w:tc>
      </w:tr>
      <w:tr>
        <w:trPr>
          <w:trHeight w:val="126"/>
        </w:trPr>
        <w:tc>
          <w:tcPr>
            <w:tcW w:w="53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3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SALES INFORMATION</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5"/>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i w:val="1"/>
                <w:iCs w:val="1"/>
                <w:color w:val="auto"/>
              </w:rPr>
              <w:t>Americas &amp; Asia</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42"/>
        </w:trPr>
        <w:tc>
          <w:tcPr>
            <w:tcW w:w="53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Organic</w:t>
            </w:r>
          </w:p>
        </w:tc>
        <w:tc>
          <w:tcPr>
            <w:tcW w:w="8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4.3 %</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4.8 %</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3.1 %</w:t>
            </w:r>
          </w:p>
        </w:tc>
      </w:tr>
      <w:tr>
        <w:trPr>
          <w:trHeight w:val="146"/>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Acquisitions</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9.8 %</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8.3 %</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42"/>
        </w:trPr>
        <w:tc>
          <w:tcPr>
            <w:tcW w:w="53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Currency</w:t>
            </w:r>
          </w:p>
        </w:tc>
        <w:tc>
          <w:tcPr>
            <w:tcW w:w="8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44"/>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Divestiture</w:t>
            </w:r>
          </w:p>
        </w:tc>
        <w:tc>
          <w:tcPr>
            <w:tcW w:w="8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r>
      <w:tr>
        <w:trPr>
          <w:trHeight w:val="151"/>
        </w:trPr>
        <w:tc>
          <w:tcPr>
            <w:tcW w:w="5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Total</w:t>
            </w:r>
          </w:p>
        </w:tc>
        <w:tc>
          <w:tcPr>
            <w:tcW w:w="8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14.1 %</w:t>
            </w:r>
          </w:p>
        </w:tc>
        <w:tc>
          <w:tcPr>
            <w:tcW w:w="10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0.4 %</w:t>
            </w:r>
          </w:p>
        </w:tc>
        <w:tc>
          <w:tcPr>
            <w:tcW w:w="8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12.1 %</w:t>
            </w:r>
          </w:p>
        </w:tc>
        <w:tc>
          <w:tcPr>
            <w:tcW w:w="100" w:type="dxa"/>
            <w:vAlign w:val="bottom"/>
            <w:tcBorders>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26"/>
        </w:trPr>
        <w:tc>
          <w:tcPr>
            <w:tcW w:w="53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i w:val="1"/>
                <w:iCs w:val="1"/>
                <w:color w:val="auto"/>
              </w:rPr>
              <w:t>Europe &amp; Australia</w:t>
            </w:r>
          </w:p>
        </w:tc>
        <w:tc>
          <w:tcPr>
            <w:tcW w:w="8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42"/>
        </w:trPr>
        <w:tc>
          <w:tcPr>
            <w:tcW w:w="53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Organic</w:t>
            </w:r>
          </w:p>
        </w:tc>
        <w:tc>
          <w:tcPr>
            <w:tcW w:w="8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1.6 %</w:t>
            </w:r>
          </w:p>
        </w:tc>
      </w:tr>
      <w:tr>
        <w:trPr>
          <w:trHeight w:val="146"/>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Acquisitions</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14.4 %</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14.7 %</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42"/>
        </w:trPr>
        <w:tc>
          <w:tcPr>
            <w:tcW w:w="5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Currency</w:t>
            </w:r>
          </w:p>
        </w:tc>
        <w:tc>
          <w:tcPr>
            <w:tcW w:w="8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5.7 %</w:t>
            </w: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1.4 %</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1.1 %</w:t>
            </w:r>
          </w:p>
        </w:tc>
      </w:tr>
      <w:tr>
        <w:trPr>
          <w:trHeight w:val="155"/>
        </w:trPr>
        <w:tc>
          <w:tcPr>
            <w:tcW w:w="5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w:t>
            </w:r>
          </w:p>
        </w:tc>
        <w:tc>
          <w:tcPr>
            <w:tcW w:w="8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18.8 %</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14.3 %</w:t>
            </w: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2.7 %</w:t>
            </w:r>
          </w:p>
        </w:tc>
      </w:tr>
      <w:tr>
        <w:trPr>
          <w:trHeight w:val="121"/>
        </w:trPr>
        <w:tc>
          <w:tcPr>
            <w:tcW w:w="5360" w:type="dxa"/>
            <w:vAlign w:val="bottom"/>
          </w:tcPr>
          <w:p>
            <w:pPr>
              <w:spacing w:after="0" w:line="121" w:lineRule="exact"/>
              <w:rPr>
                <w:sz w:val="20"/>
                <w:szCs w:val="20"/>
                <w:color w:val="auto"/>
              </w:rPr>
            </w:pPr>
            <w:r>
              <w:rPr>
                <w:rFonts w:ascii="Times New Roman" w:cs="Times New Roman" w:eastAsia="Times New Roman" w:hAnsi="Times New Roman"/>
                <w:sz w:val="11"/>
                <w:szCs w:val="11"/>
                <w:b w:val="1"/>
                <w:bCs w:val="1"/>
                <w:i w:val="1"/>
                <w:iCs w:val="1"/>
                <w:color w:val="auto"/>
              </w:rPr>
              <w:t>Total Company</w:t>
            </w: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45"/>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Organic</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2.4 %</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1.6 %</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2.6 %</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2.6 %</w:t>
            </w:r>
          </w:p>
        </w:tc>
      </w:tr>
      <w:tr>
        <w:trPr>
          <w:trHeight w:val="142"/>
        </w:trPr>
        <w:tc>
          <w:tcPr>
            <w:tcW w:w="53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Acquisitions</w:t>
            </w:r>
          </w:p>
        </w:tc>
        <w:tc>
          <w:tcPr>
            <w:tcW w:w="8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11.3 %</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10.5 %</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46"/>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Currency</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2.0 %</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 %</w:t>
            </w: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0.2 %</w:t>
            </w:r>
          </w:p>
        </w:tc>
      </w:tr>
      <w:tr>
        <w:trPr>
          <w:trHeight w:val="142"/>
        </w:trPr>
        <w:tc>
          <w:tcPr>
            <w:tcW w:w="53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Divestiture</w:t>
            </w:r>
          </w:p>
        </w:tc>
        <w:tc>
          <w:tcPr>
            <w:tcW w:w="8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r>
      <w:tr>
        <w:trPr>
          <w:trHeight w:val="151"/>
        </w:trPr>
        <w:tc>
          <w:tcPr>
            <w:tcW w:w="53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w:t>
            </w:r>
          </w:p>
        </w:tc>
        <w:tc>
          <w:tcPr>
            <w:tcW w:w="82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15.7 %</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12.8 %</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0.7 %</w:t>
            </w:r>
          </w:p>
        </w:tc>
      </w:tr>
      <w:tr>
        <w:trPr>
          <w:trHeight w:val="126"/>
        </w:trPr>
        <w:tc>
          <w:tcPr>
            <w:tcW w:w="5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44"/>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SEGMENT PROFIT</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42"/>
        </w:trPr>
        <w:tc>
          <w:tcPr>
            <w:tcW w:w="53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Americas &amp; Asia</w:t>
            </w:r>
          </w:p>
        </w:tc>
        <w:tc>
          <w:tcPr>
            <w:tcW w:w="820" w:type="dxa"/>
            <w:vAlign w:val="bottom"/>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51,617</w:t>
            </w:r>
          </w:p>
        </w:tc>
        <w:tc>
          <w:tcPr>
            <w:tcW w:w="100" w:type="dxa"/>
            <w:vAlign w:val="bottom"/>
          </w:tcPr>
          <w:p>
            <w:pPr>
              <w:spacing w:after="0"/>
              <w:rPr>
                <w:sz w:val="12"/>
                <w:szCs w:val="12"/>
                <w:color w:val="auto"/>
              </w:rPr>
            </w:pPr>
          </w:p>
        </w:tc>
        <w:tc>
          <w:tcPr>
            <w:tcW w:w="580" w:type="dxa"/>
            <w:vAlign w:val="bottom"/>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53,353</w:t>
            </w:r>
          </w:p>
        </w:tc>
        <w:tc>
          <w:tcPr>
            <w:tcW w:w="8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209,765</w:t>
            </w:r>
          </w:p>
        </w:tc>
        <w:tc>
          <w:tcPr>
            <w:tcW w:w="100" w:type="dxa"/>
            <w:vAlign w:val="bottom"/>
          </w:tcPr>
          <w:p>
            <w:pPr>
              <w:spacing w:after="0"/>
              <w:rPr>
                <w:sz w:val="12"/>
                <w:szCs w:val="12"/>
                <w:color w:val="auto"/>
              </w:rPr>
            </w:pPr>
          </w:p>
        </w:tc>
        <w:tc>
          <w:tcPr>
            <w:tcW w:w="48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196,842</w:t>
            </w:r>
          </w:p>
        </w:tc>
      </w:tr>
      <w:tr>
        <w:trPr>
          <w:trHeight w:val="144"/>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Europe &amp; Australia</w:t>
            </w:r>
          </w:p>
        </w:tc>
        <w:tc>
          <w:tcPr>
            <w:tcW w:w="8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15,070</w:t>
            </w:r>
          </w:p>
        </w:tc>
        <w:tc>
          <w:tcPr>
            <w:tcW w:w="10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19,277</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56,942</w:t>
            </w:r>
          </w:p>
        </w:tc>
        <w:tc>
          <w:tcPr>
            <w:tcW w:w="10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70,612</w:t>
            </w:r>
          </w:p>
        </w:tc>
      </w:tr>
      <w:tr>
        <w:trPr>
          <w:trHeight w:val="151"/>
        </w:trPr>
        <w:tc>
          <w:tcPr>
            <w:tcW w:w="5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Total</w:t>
            </w:r>
          </w:p>
        </w:tc>
        <w:tc>
          <w:tcPr>
            <w:tcW w:w="820" w:type="dxa"/>
            <w:vAlign w:val="bottom"/>
            <w:tcBorders>
              <w:bottom w:val="single" w:sz="8" w:color="auto"/>
            </w:tcBorders>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66,687</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72,630</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266,707</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267,454</w:t>
            </w:r>
          </w:p>
        </w:tc>
      </w:tr>
      <w:tr>
        <w:trPr>
          <w:trHeight w:val="126"/>
        </w:trPr>
        <w:tc>
          <w:tcPr>
            <w:tcW w:w="53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SEGMENT PROFIT AS A PERCENT OF NET SALES</w:t>
            </w:r>
          </w:p>
        </w:tc>
        <w:tc>
          <w:tcPr>
            <w:tcW w:w="8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42"/>
        </w:trPr>
        <w:tc>
          <w:tcPr>
            <w:tcW w:w="53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Americas &amp; Asia</w:t>
            </w:r>
          </w:p>
        </w:tc>
        <w:tc>
          <w:tcPr>
            <w:tcW w:w="8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19.8 %</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21.1 %</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22.2 %</w:t>
            </w:r>
          </w:p>
        </w:tc>
      </w:tr>
      <w:tr>
        <w:trPr>
          <w:trHeight w:val="144"/>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Europe &amp; Australia</w:t>
            </w:r>
          </w:p>
        </w:tc>
        <w:tc>
          <w:tcPr>
            <w:tcW w:w="8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11.0 %</w:t>
            </w:r>
          </w:p>
        </w:tc>
        <w:tc>
          <w:tcPr>
            <w:tcW w:w="10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16.8 %</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11.0 %</w:t>
            </w:r>
          </w:p>
        </w:tc>
        <w:tc>
          <w:tcPr>
            <w:tcW w:w="10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15.5 %</w:t>
            </w:r>
          </w:p>
        </w:tc>
      </w:tr>
      <w:tr>
        <w:trPr>
          <w:trHeight w:val="135"/>
        </w:trPr>
        <w:tc>
          <w:tcPr>
            <w:tcW w:w="53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w:t>
            </w:r>
          </w:p>
        </w:tc>
        <w:tc>
          <w:tcPr>
            <w:tcW w:w="8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16.8 %</w:t>
            </w:r>
          </w:p>
        </w:tc>
        <w:tc>
          <w:tcPr>
            <w:tcW w:w="1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21.2 %</w:t>
            </w: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17.6 %</w:t>
            </w:r>
          </w:p>
        </w:tc>
        <w:tc>
          <w:tcPr>
            <w:tcW w:w="1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19.9 %</w:t>
            </w:r>
          </w:p>
        </w:tc>
      </w:tr>
      <w:tr>
        <w:trPr>
          <w:trHeight w:val="20"/>
        </w:trPr>
        <w:tc>
          <w:tcPr>
            <w:tcW w:w="5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88"/>
        </w:trPr>
        <w:tc>
          <w:tcPr>
            <w:tcW w:w="536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w w:val="97"/>
              </w:rPr>
              <w:t>Three months ended July 31,</w:t>
            </w: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Year ended July 31,</w:t>
            </w:r>
          </w:p>
        </w:tc>
        <w:tc>
          <w:tcPr>
            <w:tcW w:w="940" w:type="dxa"/>
            <w:vAlign w:val="bottom"/>
            <w:tcBorders>
              <w:bottom w:val="single" w:sz="8" w:color="auto"/>
            </w:tcBorders>
          </w:tcPr>
          <w:p>
            <w:pPr>
              <w:spacing w:after="0"/>
              <w:rPr>
                <w:sz w:val="24"/>
                <w:szCs w:val="24"/>
                <w:color w:val="auto"/>
              </w:rPr>
            </w:pPr>
          </w:p>
        </w:tc>
      </w:tr>
      <w:tr>
        <w:trPr>
          <w:trHeight w:val="133"/>
        </w:trPr>
        <w:tc>
          <w:tcPr>
            <w:tcW w:w="536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2025</w:t>
            </w: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w w:val="99"/>
              </w:rPr>
              <w:t>2024</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rPr>
              <w:t>2025</w:t>
            </w: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rPr>
              <w:t>2024</w:t>
            </w:r>
          </w:p>
        </w:tc>
      </w:tr>
      <w:tr>
        <w:trPr>
          <w:trHeight w:val="135"/>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segment profit</w:t>
            </w:r>
          </w:p>
        </w:tc>
        <w:tc>
          <w:tcPr>
            <w:tcW w:w="820" w:type="dxa"/>
            <w:vAlign w:val="bottom"/>
            <w:shd w:val="clear" w:color="auto" w:fill="CCEEFF"/>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66,687</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72,630</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266,707</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267,454</w:t>
            </w:r>
          </w:p>
        </w:tc>
      </w:tr>
      <w:tr>
        <w:trPr>
          <w:trHeight w:val="142"/>
        </w:trPr>
        <w:tc>
          <w:tcPr>
            <w:tcW w:w="5360" w:type="dxa"/>
            <w:vAlign w:val="bottom"/>
          </w:tcPr>
          <w:p>
            <w:pPr>
              <w:spacing w:after="0"/>
              <w:rPr>
                <w:sz w:val="20"/>
                <w:szCs w:val="20"/>
                <w:color w:val="auto"/>
              </w:rPr>
            </w:pPr>
            <w:r>
              <w:rPr>
                <w:rFonts w:ascii="Times New Roman" w:cs="Times New Roman" w:eastAsia="Times New Roman" w:hAnsi="Times New Roman"/>
                <w:sz w:val="11"/>
                <w:szCs w:val="11"/>
                <w:color w:val="auto"/>
              </w:rPr>
              <w:t>Unallocated amounts:</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6"/>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Administrative costs</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(7,395)</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(6,415)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(30,069)</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(24,040)</w:t>
            </w:r>
          </w:p>
        </w:tc>
      </w:tr>
      <w:tr>
        <w:trPr>
          <w:trHeight w:val="142"/>
        </w:trPr>
        <w:tc>
          <w:tcPr>
            <w:tcW w:w="5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Investment and other income</w:t>
            </w:r>
          </w:p>
        </w:tc>
        <w:tc>
          <w:tcPr>
            <w:tcW w:w="820" w:type="dxa"/>
            <w:vAlign w:val="bottom"/>
          </w:tcPr>
          <w:p>
            <w:pPr>
              <w:spacing w:after="0"/>
              <w:rPr>
                <w:sz w:val="12"/>
                <w:szCs w:val="12"/>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2,356</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2,835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5,206</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7,553</w:t>
            </w:r>
          </w:p>
        </w:tc>
      </w:tr>
      <w:tr>
        <w:trPr>
          <w:trHeight w:val="144"/>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Interest expense</w:t>
            </w:r>
          </w:p>
        </w:tc>
        <w:tc>
          <w:tcPr>
            <w:tcW w:w="8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(1,143)</w:t>
            </w:r>
          </w:p>
        </w:tc>
        <w:tc>
          <w:tcPr>
            <w:tcW w:w="10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(842)</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(4,747)</w:t>
            </w:r>
          </w:p>
        </w:tc>
        <w:tc>
          <w:tcPr>
            <w:tcW w:w="10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(3,126)</w:t>
            </w:r>
          </w:p>
        </w:tc>
      </w:tr>
      <w:tr>
        <w:trPr>
          <w:trHeight w:val="135"/>
        </w:trPr>
        <w:tc>
          <w:tcPr>
            <w:tcW w:w="5360" w:type="dxa"/>
            <w:vAlign w:val="bottom"/>
          </w:tcPr>
          <w:p>
            <w:pPr>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820" w:type="dxa"/>
            <w:vAlign w:val="bottom"/>
            <w:tcBorders>
              <w:bottom w:val="single" w:sz="8" w:color="auto"/>
            </w:tcBorders>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60,505</w:t>
            </w:r>
          </w:p>
        </w:tc>
        <w:tc>
          <w:tcPr>
            <w:tcW w:w="100" w:type="dxa"/>
            <w:vAlign w:val="bottom"/>
          </w:tcPr>
          <w:p>
            <w:pPr>
              <w:spacing w:after="0"/>
              <w:rPr>
                <w:sz w:val="11"/>
                <w:szCs w:val="11"/>
                <w:color w:val="auto"/>
              </w:rPr>
            </w:pPr>
          </w:p>
        </w:tc>
        <w:tc>
          <w:tcPr>
            <w:tcW w:w="58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68,208</w:t>
            </w:r>
          </w:p>
        </w:tc>
        <w:tc>
          <w:tcPr>
            <w:tcW w:w="80" w:type="dxa"/>
            <w:vAlign w:val="bottom"/>
          </w:tcPr>
          <w:p>
            <w:pPr>
              <w:spacing w:after="0"/>
              <w:rPr>
                <w:sz w:val="11"/>
                <w:szCs w:val="11"/>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237,097</w:t>
            </w:r>
          </w:p>
        </w:tc>
        <w:tc>
          <w:tcPr>
            <w:tcW w:w="100" w:type="dxa"/>
            <w:vAlign w:val="bottom"/>
          </w:tcPr>
          <w:p>
            <w:pPr>
              <w:spacing w:after="0"/>
              <w:rPr>
                <w:sz w:val="11"/>
                <w:szCs w:val="11"/>
                <w:color w:val="auto"/>
              </w:rPr>
            </w:pPr>
          </w:p>
        </w:tc>
        <w:tc>
          <w:tcPr>
            <w:tcW w:w="48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247,841</w:t>
            </w:r>
          </w:p>
        </w:tc>
      </w:tr>
      <w:tr>
        <w:trPr>
          <w:trHeight w:val="20"/>
        </w:trPr>
        <w:tc>
          <w:tcPr>
            <w:tcW w:w="5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560"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b w:val="1"/>
          <w:bCs w:val="1"/>
          <w:color w:val="auto"/>
        </w:rPr>
        <w:t>GAAP to NON-GAAP MEASURES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(Unaudited; Dollars in Thousands, Except Per Share Amounts)</w:t>
      </w:r>
    </w:p>
    <w:p>
      <w:pPr>
        <w:spacing w:after="0" w:line="10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accordance with the U.S. Securities and Exchange Commission’s Regulation G, the following provides definitions of the non-GAAP measures used in the earnings release and the reconciliation to the most closely related GAAP measure.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Adjusted Income Before Income Taxes:</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Brady is presenting the non-GAAP measure, "Adjusted Income Before Income Taxes." This is not a calculation based upon GAAP. The amounts included in this non-GAAP measure are derived from amounts included in the Consolidated Financial Statements and supporting footnote disclosures. We do not view these items to be part of our ongoing results. We believe this profit measure provides an important perspective of underlying business trends and results and provides a more comparable measure from year to year. The table below provides a reconciliation of the GAAP measure of Income before income taxes to the non-GAAP measure of Adjusted Income Before Income Taxes: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266"/>
              <w:spacing w:after="0"/>
              <w:rPr>
                <w:sz w:val="20"/>
                <w:szCs w:val="20"/>
                <w:color w:val="auto"/>
              </w:rPr>
            </w:pPr>
            <w:r>
              <w:rPr>
                <w:rFonts w:ascii="Times New Roman" w:cs="Times New Roman" w:eastAsia="Times New Roman" w:hAnsi="Times New Roman"/>
                <w:sz w:val="11"/>
                <w:szCs w:val="11"/>
                <w:color w:val="auto"/>
              </w:rPr>
              <w:t>Three months ended July 31,</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Year ended July 31,</w:t>
            </w:r>
          </w:p>
        </w:tc>
        <w:tc>
          <w:tcPr>
            <w:tcW w:w="880" w:type="dxa"/>
            <w:vAlign w:val="bottom"/>
            <w:tcBorders>
              <w:bottom w:val="single" w:sz="8" w:color="auto"/>
            </w:tcBorders>
          </w:tcPr>
          <w:p>
            <w:pPr>
              <w:spacing w:after="0"/>
              <w:rPr>
                <w:sz w:val="12"/>
                <w:szCs w:val="12"/>
                <w:color w:val="auto"/>
              </w:rPr>
            </w:pPr>
          </w:p>
        </w:tc>
      </w:tr>
      <w:tr>
        <w:trPr>
          <w:trHeight w:val="133"/>
        </w:trPr>
        <w:tc>
          <w:tcPr>
            <w:tcW w:w="55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2025</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2024</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2025</w:t>
            </w: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2024</w:t>
            </w:r>
          </w:p>
        </w:tc>
      </w:tr>
      <w:tr>
        <w:trPr>
          <w:trHeight w:val="135"/>
        </w:trPr>
        <w:tc>
          <w:tcPr>
            <w:tcW w:w="5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Income before income taxes (GAAP measure)</w:t>
            </w:r>
          </w:p>
        </w:tc>
        <w:tc>
          <w:tcPr>
            <w:tcW w:w="92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60,505</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68,208</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237,097</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247,841</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4,778</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2,337</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18,916</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9,421</w:t>
            </w:r>
          </w:p>
        </w:tc>
      </w:tr>
      <w:tr>
        <w:trPr>
          <w:trHeight w:val="146"/>
        </w:trPr>
        <w:tc>
          <w:tcPr>
            <w:tcW w:w="5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Facility closure and other reorganization costs</w:t>
            </w: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8,890</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18,474</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Non-recurring acquisitions-related costs and other expenses</w:t>
            </w:r>
          </w:p>
        </w:tc>
        <w:tc>
          <w:tcPr>
            <w:tcW w:w="92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5,059</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5580" w:type="dxa"/>
            <w:vAlign w:val="bottom"/>
            <w:tcBorders>
              <w:top w:val="single" w:sz="8" w:color="CCEEFF"/>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Adjusted Income Before Income Taxes (non-GAAP measure)</w:t>
            </w:r>
          </w:p>
        </w:tc>
        <w:tc>
          <w:tcPr>
            <w:tcW w:w="92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74,173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70,545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279,546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257,262</w:t>
            </w: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Adjusted Income Tax Expense:</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Brady is presenting the non-GAAP measure, "Adjusted Income Tax Expense."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Income tax expense to the non-GAAP measure of Adjusted Income Tax Expense: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266"/>
              <w:spacing w:after="0"/>
              <w:rPr>
                <w:sz w:val="20"/>
                <w:szCs w:val="20"/>
                <w:color w:val="auto"/>
              </w:rPr>
            </w:pPr>
            <w:r>
              <w:rPr>
                <w:rFonts w:ascii="Times New Roman" w:cs="Times New Roman" w:eastAsia="Times New Roman" w:hAnsi="Times New Roman"/>
                <w:sz w:val="11"/>
                <w:szCs w:val="11"/>
                <w:color w:val="auto"/>
              </w:rPr>
              <w:t>Three months ended July 31,</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Year ended July 31,</w:t>
            </w:r>
          </w:p>
        </w:tc>
        <w:tc>
          <w:tcPr>
            <w:tcW w:w="880" w:type="dxa"/>
            <w:vAlign w:val="bottom"/>
            <w:tcBorders>
              <w:bottom w:val="single" w:sz="8" w:color="auto"/>
            </w:tcBorders>
          </w:tcPr>
          <w:p>
            <w:pPr>
              <w:spacing w:after="0"/>
              <w:rPr>
                <w:sz w:val="12"/>
                <w:szCs w:val="12"/>
                <w:color w:val="auto"/>
              </w:rPr>
            </w:pPr>
          </w:p>
        </w:tc>
      </w:tr>
      <w:tr>
        <w:trPr>
          <w:trHeight w:val="133"/>
        </w:trPr>
        <w:tc>
          <w:tcPr>
            <w:tcW w:w="55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2025</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2024</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2025</w:t>
            </w: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2024</w:t>
            </w:r>
          </w:p>
        </w:tc>
      </w:tr>
      <w:tr>
        <w:trPr>
          <w:trHeight w:val="135"/>
        </w:trPr>
        <w:tc>
          <w:tcPr>
            <w:tcW w:w="5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Income tax expense (GAAP measure)</w:t>
            </w:r>
          </w:p>
        </w:tc>
        <w:tc>
          <w:tcPr>
            <w:tcW w:w="92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10,629</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12,752</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47,841</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50,626</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1,148</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4,550</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2,182</w:t>
            </w:r>
          </w:p>
        </w:tc>
      </w:tr>
      <w:tr>
        <w:trPr>
          <w:trHeight w:val="146"/>
        </w:trPr>
        <w:tc>
          <w:tcPr>
            <w:tcW w:w="5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Facility closure and other reorganization costs</w:t>
            </w: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2,222</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4,618</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3"/>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Non-recurring acquisitions-related costs and other expenses</w:t>
            </w:r>
          </w:p>
        </w:tc>
        <w:tc>
          <w:tcPr>
            <w:tcW w:w="92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1,265</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0"/>
        </w:trPr>
        <w:tc>
          <w:tcPr>
            <w:tcW w:w="5580" w:type="dxa"/>
            <w:vAlign w:val="bottom"/>
            <w:tcBorders>
              <w:top w:val="single" w:sz="8" w:color="CCEEFF"/>
              <w:bottom w:val="single" w:sz="8" w:color="CCEEFF"/>
            </w:tcBorders>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Adjusted Income Tax Expense (non-GAAP measure)</w:t>
            </w:r>
          </w:p>
        </w:tc>
        <w:tc>
          <w:tcPr>
            <w:tcW w:w="92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13,999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13,292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58,274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52,808</w:t>
            </w:r>
          </w:p>
        </w:tc>
      </w:tr>
    </w:tbl>
    <w:p>
      <w:pPr>
        <w:sectPr>
          <w:pgSz w:w="11900" w:h="16838" w:orient="portrait"/>
          <w:cols w:equalWidth="0" w:num="1">
            <w:col w:w="11300"/>
          </w:cols>
          <w:pgMar w:left="300" w:top="638"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b w:val="1"/>
          <w:bCs w:val="1"/>
          <w:color w:val="auto"/>
        </w:rPr>
        <w:t>Adjusted Net Income:</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Brady is presenting the non-GAAP measure, "Adjusted Net Income."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to the non-GAAP measure of Adjusted Net Income: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266"/>
              <w:spacing w:after="0"/>
              <w:rPr>
                <w:sz w:val="20"/>
                <w:szCs w:val="20"/>
                <w:color w:val="auto"/>
              </w:rPr>
            </w:pPr>
            <w:r>
              <w:rPr>
                <w:rFonts w:ascii="Times New Roman" w:cs="Times New Roman" w:eastAsia="Times New Roman" w:hAnsi="Times New Roman"/>
                <w:sz w:val="11"/>
                <w:szCs w:val="11"/>
                <w:color w:val="auto"/>
              </w:rPr>
              <w:t>Three months ended July 31,</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Year ended July 31,</w:t>
            </w:r>
          </w:p>
        </w:tc>
        <w:tc>
          <w:tcPr>
            <w:tcW w:w="880" w:type="dxa"/>
            <w:vAlign w:val="bottom"/>
            <w:tcBorders>
              <w:bottom w:val="single" w:sz="8" w:color="auto"/>
            </w:tcBorders>
          </w:tcPr>
          <w:p>
            <w:pPr>
              <w:spacing w:after="0"/>
              <w:rPr>
                <w:sz w:val="12"/>
                <w:szCs w:val="12"/>
                <w:color w:val="auto"/>
              </w:rPr>
            </w:pPr>
          </w:p>
        </w:tc>
      </w:tr>
      <w:tr>
        <w:trPr>
          <w:trHeight w:val="133"/>
        </w:trPr>
        <w:tc>
          <w:tcPr>
            <w:tcW w:w="55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2025</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2024</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2025</w:t>
            </w: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2024</w:t>
            </w:r>
          </w:p>
        </w:tc>
      </w:tr>
      <w:tr>
        <w:trPr>
          <w:trHeight w:val="135"/>
        </w:trPr>
        <w:tc>
          <w:tcPr>
            <w:tcW w:w="5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income (GAAP measure)</w:t>
            </w:r>
          </w:p>
        </w:tc>
        <w:tc>
          <w:tcPr>
            <w:tcW w:w="92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49,876</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55,456</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189,256</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197,215</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3,630</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1,797</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14,366</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7,239</w:t>
            </w:r>
          </w:p>
        </w:tc>
      </w:tr>
      <w:tr>
        <w:trPr>
          <w:trHeight w:val="146"/>
        </w:trPr>
        <w:tc>
          <w:tcPr>
            <w:tcW w:w="5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Facility closure and other reorganization costs</w:t>
            </w: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6,668</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13,856</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Non-recurring acquisitions-related costs and other expenses</w:t>
            </w:r>
          </w:p>
        </w:tc>
        <w:tc>
          <w:tcPr>
            <w:tcW w:w="92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3,794</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5580" w:type="dxa"/>
            <w:vAlign w:val="bottom"/>
            <w:tcBorders>
              <w:top w:val="single" w:sz="8" w:color="CCEEFF"/>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Adjusted Net Income (non-GAAP measure)</w:t>
            </w:r>
          </w:p>
        </w:tc>
        <w:tc>
          <w:tcPr>
            <w:tcW w:w="92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60,174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57,253</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221,272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204,454</w:t>
            </w: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Adjusted Diluted EPS:</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Brady is presenting the non-GAAP measure, "Adjusted Diluted EPS." This is not a calculation based upon GAAP. The amounts included in this non-GAAP measure are derived from amounts included in the Consolidated Financial Statements.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per Class A Nonvoting Common Share to the non-GAAP measure of Adjusted Diluted EPS (Note that certain amounts will not foot due to rounding):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420" w:type="dxa"/>
            <w:vAlign w:val="bottom"/>
            <w:tcBorders>
              <w:bottom w:val="single" w:sz="8" w:color="auto"/>
            </w:tcBorders>
            <w:gridSpan w:val="4"/>
          </w:tcPr>
          <w:p>
            <w:pPr>
              <w:jc w:val="right"/>
              <w:ind w:right="326"/>
              <w:spacing w:after="0"/>
              <w:rPr>
                <w:sz w:val="20"/>
                <w:szCs w:val="20"/>
                <w:color w:val="auto"/>
              </w:rPr>
            </w:pPr>
            <w:r>
              <w:rPr>
                <w:rFonts w:ascii="Times New Roman" w:cs="Times New Roman" w:eastAsia="Times New Roman" w:hAnsi="Times New Roman"/>
                <w:sz w:val="11"/>
                <w:szCs w:val="11"/>
                <w:color w:val="auto"/>
              </w:rPr>
              <w:t>Three months ended July 31,</w:t>
            </w: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Year ended July 31,</w:t>
            </w:r>
          </w:p>
        </w:tc>
        <w:tc>
          <w:tcPr>
            <w:tcW w:w="880" w:type="dxa"/>
            <w:vAlign w:val="bottom"/>
            <w:tcBorders>
              <w:bottom w:val="single" w:sz="8" w:color="auto"/>
            </w:tcBorders>
          </w:tcPr>
          <w:p>
            <w:pPr>
              <w:spacing w:after="0"/>
              <w:rPr>
                <w:sz w:val="12"/>
                <w:szCs w:val="12"/>
                <w:color w:val="auto"/>
              </w:rPr>
            </w:pPr>
          </w:p>
        </w:tc>
      </w:tr>
      <w:tr>
        <w:trPr>
          <w:trHeight w:val="133"/>
        </w:trPr>
        <w:tc>
          <w:tcPr>
            <w:tcW w:w="558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rPr>
              <w:t>2025</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rPr>
              <w:t>2024</w:t>
            </w: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2025</w:t>
            </w: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2024</w:t>
            </w:r>
          </w:p>
        </w:tc>
      </w:tr>
      <w:tr>
        <w:trPr>
          <w:trHeight w:val="135"/>
        </w:trPr>
        <w:tc>
          <w:tcPr>
            <w:tcW w:w="5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income per Class A Nonvoting Common Share (GAAP measure)</w:t>
            </w:r>
          </w:p>
        </w:tc>
        <w:tc>
          <w:tcPr>
            <w:tcW w:w="960" w:type="dxa"/>
            <w:vAlign w:val="bottom"/>
            <w:shd w:val="clear" w:color="auto" w:fill="CCEEFF"/>
          </w:tcPr>
          <w:p>
            <w:pPr>
              <w:jc w:val="right"/>
              <w:ind w:right="82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846"/>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3.94</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0.08</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0.04</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0.30</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0.15</w:t>
            </w:r>
          </w:p>
        </w:tc>
      </w:tr>
      <w:tr>
        <w:trPr>
          <w:trHeight w:val="146"/>
        </w:trPr>
        <w:tc>
          <w:tcPr>
            <w:tcW w:w="5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Facility closure and other reorganization costs</w:t>
            </w:r>
          </w:p>
        </w:tc>
        <w:tc>
          <w:tcPr>
            <w:tcW w:w="9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0.14</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0.29</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Non-recurring acquisitions-related costs and other expenses</w:t>
            </w:r>
          </w:p>
        </w:tc>
        <w:tc>
          <w:tcPr>
            <w:tcW w:w="96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0.08</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5580" w:type="dxa"/>
            <w:vAlign w:val="bottom"/>
            <w:tcBorders>
              <w:top w:val="single" w:sz="8" w:color="CCEEFF"/>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Adjusted Diluted EPS (non-GAAP measure)</w:t>
            </w:r>
          </w:p>
        </w:tc>
        <w:tc>
          <w:tcPr>
            <w:tcW w:w="960" w:type="dxa"/>
            <w:vAlign w:val="bottom"/>
            <w:tcBorders>
              <w:top w:val="single" w:sz="8" w:color="auto"/>
              <w:bottom w:val="single" w:sz="8" w:color="auto"/>
            </w:tcBorders>
            <w:shd w:val="clear" w:color="auto" w:fill="CCEEFF"/>
          </w:tcPr>
          <w:p>
            <w:pPr>
              <w:jc w:val="right"/>
              <w:ind w:right="826"/>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ind w:right="8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4.60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4.22</w:t>
            </w: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Adjusted Diluted EPS Guidance: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Fiscal 2026 Expectations</w:t>
            </w:r>
          </w:p>
        </w:tc>
        <w:tc>
          <w:tcPr>
            <w:tcW w:w="820" w:type="dxa"/>
            <w:vAlign w:val="bottom"/>
            <w:tcBorders>
              <w:bottom w:val="single" w:sz="8" w:color="auto"/>
            </w:tcBorders>
          </w:tcPr>
          <w:p>
            <w:pPr>
              <w:spacing w:after="0"/>
              <w:rPr>
                <w:sz w:val="12"/>
                <w:szCs w:val="12"/>
                <w:color w:val="auto"/>
              </w:rPr>
            </w:pPr>
          </w:p>
        </w:tc>
      </w:tr>
      <w:tr>
        <w:trPr>
          <w:trHeight w:val="133"/>
        </w:trPr>
        <w:tc>
          <w:tcPr>
            <w:tcW w:w="846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Low</w:t>
            </w: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w w:val="99"/>
              </w:rPr>
              <w:t>High</w:t>
            </w:r>
          </w:p>
        </w:tc>
      </w:tr>
      <w:tr>
        <w:trPr>
          <w:trHeight w:val="135"/>
        </w:trPr>
        <w:tc>
          <w:tcPr>
            <w:tcW w:w="84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Earnings per Class A Nonvoting Common Share (GAAP measure)</w:t>
            </w:r>
          </w:p>
        </w:tc>
        <w:tc>
          <w:tcPr>
            <w:tcW w:w="820" w:type="dxa"/>
            <w:vAlign w:val="bottom"/>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4.55</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4.85</w:t>
            </w:r>
          </w:p>
        </w:tc>
      </w:tr>
      <w:tr>
        <w:trPr>
          <w:trHeight w:val="142"/>
        </w:trPr>
        <w:tc>
          <w:tcPr>
            <w:tcW w:w="84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8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0.30</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0.30</w:t>
            </w:r>
          </w:p>
        </w:tc>
      </w:tr>
      <w:tr>
        <w:trPr>
          <w:trHeight w:val="151"/>
        </w:trPr>
        <w:tc>
          <w:tcPr>
            <w:tcW w:w="846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Adjusted Diluted EPS (non-GAAP measure)</w:t>
            </w:r>
          </w:p>
        </w:tc>
        <w:tc>
          <w:tcPr>
            <w:tcW w:w="820" w:type="dxa"/>
            <w:vAlign w:val="bottom"/>
            <w:tcBorders>
              <w:bottom w:val="single" w:sz="8" w:color="auto"/>
            </w:tcBorders>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4.85</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5.15</w:t>
            </w:r>
          </w:p>
        </w:tc>
      </w:tr>
    </w:tbl>
    <w:p>
      <w:pPr>
        <w:sectPr>
          <w:pgSz w:w="11900" w:h="16838" w:orient="portrait"/>
          <w:cols w:equalWidth="0" w:num="1">
            <w:col w:w="11300"/>
          </w:cols>
          <w:pgMar w:left="300" w:top="746" w:right="29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EXHIBIT 99.2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For More Information Contact: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Investor Contact: Ann Thornton 414 438-6887</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Media Contact: Kate Venne 414 358-5176</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Brady Corporation increases its dividend to shareholders for the 40th consecutive year</w:t>
      </w:r>
    </w:p>
    <w:p>
      <w:pPr>
        <w:spacing w:after="0" w:line="213" w:lineRule="exact"/>
        <w:rPr>
          <w:sz w:val="20"/>
          <w:szCs w:val="20"/>
          <w:color w:val="auto"/>
        </w:rPr>
      </w:pPr>
    </w:p>
    <w:p>
      <w:pPr>
        <w:jc w:val="both"/>
        <w:ind w:right="20"/>
        <w:spacing w:after="0" w:line="336" w:lineRule="auto"/>
        <w:rPr>
          <w:sz w:val="20"/>
          <w:szCs w:val="20"/>
          <w:color w:val="auto"/>
        </w:rPr>
      </w:pPr>
      <w:r>
        <w:rPr>
          <w:rFonts w:ascii="Times New Roman" w:cs="Times New Roman" w:eastAsia="Times New Roman" w:hAnsi="Times New Roman"/>
          <w:sz w:val="13"/>
          <w:szCs w:val="13"/>
          <w:color w:val="auto"/>
        </w:rPr>
        <w:t>MILWAUKEE (September 3, 2025) -- On September 3, 2025, Brady Corporation’s (NYSE: BRC) Board of Directors approved an increase in the annual dividend to shareholders of the Company’s Class A Common Stock from $0.96 per share to $0.98 per share. A quarterly dividend to shareholders of the Company’s Class A Common Stock of $0.245 per share will be paid on October 31, 2025, to shareholders of record at the close of business on October 10, 2025. This dividend represents the 40</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3"/>
          <w:szCs w:val="13"/>
          <w:color w:val="auto"/>
        </w:rPr>
        <w:t xml:space="preserve"> consecutive annual increase in dividends.</w:t>
      </w:r>
    </w:p>
    <w:p>
      <w:pPr>
        <w:spacing w:after="0" w:line="1" w:lineRule="exact"/>
        <w:rPr>
          <w:sz w:val="20"/>
          <w:szCs w:val="20"/>
          <w:color w:val="auto"/>
        </w:rPr>
      </w:pPr>
    </w:p>
    <w:p>
      <w:pPr>
        <w:jc w:val="both"/>
        <w:ind w:firstLine="432"/>
        <w:spacing w:after="0" w:line="377" w:lineRule="auto"/>
        <w:rPr>
          <w:sz w:val="20"/>
          <w:szCs w:val="20"/>
          <w:color w:val="auto"/>
        </w:rPr>
      </w:pPr>
      <w:r>
        <w:rPr>
          <w:rFonts w:ascii="Times New Roman" w:cs="Times New Roman" w:eastAsia="Times New Roman" w:hAnsi="Times New Roman"/>
          <w:sz w:val="13"/>
          <w:szCs w:val="13"/>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2024, employed approximately 5,700 people in its worldwide businesses. Brady’s fiscal 2024 sales were approximately $1.34 billion. Brady stock trades on the New York Stock Exchange under the symbol BRC. More information is available on the Internet at </w:t>
      </w:r>
      <w:r>
        <w:rPr>
          <w:rFonts w:ascii="Times New Roman" w:cs="Times New Roman" w:eastAsia="Times New Roman" w:hAnsi="Times New Roman"/>
          <w:sz w:val="13"/>
          <w:szCs w:val="13"/>
          <w:u w:val="single" w:color="auto"/>
          <w:color w:val="0000FF"/>
        </w:rPr>
        <w:t>www.bradycorp.com</w:t>
      </w:r>
      <w:r>
        <w:rPr>
          <w:rFonts w:ascii="Times New Roman" w:cs="Times New Roman" w:eastAsia="Times New Roman" w:hAnsi="Times New Roman"/>
          <w:sz w:val="13"/>
          <w:szCs w:val="13"/>
          <w:color w:val="auto"/>
        </w:rPr>
        <w: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p>
    <w:p>
      <w:pPr>
        <w:sectPr>
          <w:pgSz w:w="11900" w:h="16838" w:orient="portrait"/>
          <w:cols w:equalWidth="0" w:num="1">
            <w:col w:w="11300"/>
          </w:cols>
          <w:pgMar w:left="300" w:top="636" w:right="299" w:bottom="1440"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2025-09-04T06:08:24Z</dcterms:created>
  <dcterms:modified xsi:type="dcterms:W3CDTF">2025-09-04T06:08:24Z</dcterms:modified>
</cp:coreProperties>
</file>