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20, 2008</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514" w:right="239" w:bottom="1440" w:gutter="0" w:footer="0" w:header="0"/>
        </w:sectPr>
      </w:pPr>
    </w:p>
    <w:p>
      <w:pPr>
        <w:spacing w:after="0" w:line="194"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514" w:right="239" w:bottom="1440" w:gutter="0" w:footer="0" w:header="0"/>
          <w:type w:val="continuous"/>
        </w:sectPr>
      </w:pP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4"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04" w:lineRule="exact"/>
        <w:rPr>
          <w:sz w:val="20"/>
          <w:szCs w:val="20"/>
          <w:color w:val="auto"/>
        </w:rPr>
      </w:pPr>
    </w:p>
    <w:p>
      <w:pPr>
        <w:jc w:val="both"/>
        <w:ind w:right="300" w:firstLine="500"/>
        <w:spacing w:after="0"/>
        <w:rPr>
          <w:sz w:val="20"/>
          <w:szCs w:val="20"/>
          <w:color w:val="auto"/>
        </w:rPr>
      </w:pPr>
      <w:r>
        <w:rPr>
          <w:rFonts w:ascii="Arial" w:cs="Arial" w:eastAsia="Arial" w:hAnsi="Arial"/>
          <w:sz w:val="18"/>
          <w:szCs w:val="18"/>
          <w:color w:val="auto"/>
        </w:rPr>
        <w:t>On November 20, 2008, Brady Corporation (the “Corporation”) issued a press release announcing its fiscal 2009 first quarter financial results. A copy of the press release is being furnished to the Securities and Exchange Commission as Exhibit 99.1 attached herewith and is incorporated herein by reference.</w:t>
      </w:r>
    </w:p>
    <w:p>
      <w:pPr>
        <w:spacing w:after="0" w:line="95"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Item 5.02(c) DEPARTURE OF DIRECTORS OR CERTAIN OFFICERS; ELECTION OF DIRECTORS; APPOINTMENT OF CERTAIN OFFICERS; COMPENSATORY ARRANGEMENTS OF CERTAIN OFFICERS</w:t>
      </w:r>
    </w:p>
    <w:p>
      <w:pPr>
        <w:spacing w:after="0" w:line="89" w:lineRule="exact"/>
        <w:rPr>
          <w:sz w:val="20"/>
          <w:szCs w:val="20"/>
          <w:color w:val="auto"/>
        </w:rPr>
      </w:pPr>
    </w:p>
    <w:p>
      <w:pPr>
        <w:ind w:right="20" w:firstLine="500"/>
        <w:spacing w:after="0" w:line="238" w:lineRule="auto"/>
        <w:rPr>
          <w:sz w:val="20"/>
          <w:szCs w:val="20"/>
          <w:color w:val="auto"/>
        </w:rPr>
      </w:pPr>
      <w:r>
        <w:rPr>
          <w:rFonts w:ascii="Arial" w:cs="Arial" w:eastAsia="Arial" w:hAnsi="Arial"/>
          <w:sz w:val="18"/>
          <w:szCs w:val="18"/>
          <w:color w:val="auto"/>
        </w:rPr>
        <w:t>On November 20, 2008, the Corporation appointed Kathleen M. Johnson as its Chief Accounting Officer. Ms. Johnson, age 54, joined the Company in 1989 and has served as Vice President of Finance since 2000. Ms. Johnson has no family relationship with any director or executive officer of the Corporation, nor is she party to any related party transactions with the Corporation. Pursuant to the Corporation’s Bylaws, Ms. Johnson will serve in her executive position at the discretion of the Corporation’s Board of Directors. Prior to Ms. Johnson’s appointment, Thomas J. Felmer, Senior Vice President and Chief Financial Officer of the Corporation, performed the duties of this function.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Workforce Reduction</w:t>
      </w:r>
    </w:p>
    <w:p>
      <w:pPr>
        <w:spacing w:after="0" w:line="104" w:lineRule="exact"/>
        <w:rPr>
          <w:sz w:val="20"/>
          <w:szCs w:val="20"/>
          <w:color w:val="auto"/>
        </w:rPr>
      </w:pPr>
    </w:p>
    <w:p>
      <w:pPr>
        <w:ind w:right="100" w:firstLine="500"/>
        <w:spacing w:after="0" w:line="246" w:lineRule="auto"/>
        <w:rPr>
          <w:sz w:val="20"/>
          <w:szCs w:val="20"/>
          <w:color w:val="auto"/>
        </w:rPr>
      </w:pPr>
      <w:r>
        <w:rPr>
          <w:rFonts w:ascii="Arial" w:cs="Arial" w:eastAsia="Arial" w:hAnsi="Arial"/>
          <w:sz w:val="18"/>
          <w:szCs w:val="18"/>
          <w:color w:val="auto"/>
        </w:rPr>
        <w:t>On November 20, 2008, the Corporation issued a press release announcing a global workforce reduction of approximately 10 percent to be implemented in the second quarter of fiscal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Compensation</w:t>
      </w:r>
    </w:p>
    <w:p>
      <w:pPr>
        <w:spacing w:after="0" w:line="104" w:lineRule="exact"/>
        <w:rPr>
          <w:sz w:val="20"/>
          <w:szCs w:val="20"/>
          <w:color w:val="auto"/>
        </w:rPr>
      </w:pPr>
    </w:p>
    <w:p>
      <w:pPr>
        <w:ind w:right="120" w:firstLine="250"/>
        <w:spacing w:after="0" w:line="238" w:lineRule="auto"/>
        <w:rPr>
          <w:sz w:val="20"/>
          <w:szCs w:val="20"/>
          <w:color w:val="auto"/>
        </w:rPr>
      </w:pPr>
      <w:r>
        <w:rPr>
          <w:rFonts w:ascii="Arial" w:cs="Arial" w:eastAsia="Arial" w:hAnsi="Arial"/>
          <w:sz w:val="18"/>
          <w:szCs w:val="18"/>
          <w:color w:val="auto"/>
        </w:rPr>
        <w:t>On November 20, 2008, the Corporation’s Board of Directors implemented an indefinite delay in the previously announced compensation increases for its directors. Pursuant to the Board action, the annual cash retainer paid to Directors will remain at $35,000 (previously slated to increase to $45,000 as of December 1, 2008) and the annual grant of stock options will remain at 6,000 (previously slated to increase to 6,600 as of December 1, 2008). A copy of the Brady Corporation 2005 Nonqualified Stock Option Plan for Non-Employee Directors, as amended to reflect these actions, is attached hereto as Exhibit 10.1 and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 No.</w:t>
            </w:r>
          </w:p>
        </w:tc>
        <w:tc>
          <w:tcPr>
            <w:tcW w:w="580" w:type="dxa"/>
            <w:vAlign w:val="bottom"/>
          </w:tcPr>
          <w:p>
            <w:pPr>
              <w:spacing w:after="0"/>
              <w:rPr>
                <w:sz w:val="14"/>
                <w:szCs w:val="14"/>
                <w:color w:val="auto"/>
              </w:rPr>
            </w:pPr>
          </w:p>
        </w:tc>
        <w:tc>
          <w:tcPr>
            <w:tcW w:w="9920" w:type="dxa"/>
            <w:vAlign w:val="bottom"/>
            <w:tcBorders>
              <w:bottom w:val="single" w:sz="8" w:color="auto"/>
            </w:tcBorders>
          </w:tcPr>
          <w:p>
            <w:pPr>
              <w:ind w:left="4280"/>
              <w:spacing w:after="0"/>
              <w:rPr>
                <w:sz w:val="20"/>
                <w:szCs w:val="20"/>
                <w:color w:val="auto"/>
              </w:rPr>
            </w:pPr>
            <w:r>
              <w:rPr>
                <w:rFonts w:ascii="Arial" w:cs="Arial" w:eastAsia="Arial" w:hAnsi="Arial"/>
                <w:sz w:val="14"/>
                <w:szCs w:val="14"/>
                <w:color w:val="auto"/>
              </w:rPr>
              <w:t>Description of Exhibit</w:t>
            </w:r>
          </w:p>
        </w:tc>
      </w:tr>
      <w:tr>
        <w:trPr>
          <w:trHeight w:val="331"/>
        </w:trPr>
        <w:tc>
          <w:tcPr>
            <w:tcW w:w="92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Brady Corporation 2005 Nonqualified Stock Option Plan for Non-Employee Directors, as amended November 20, 2008</w:t>
            </w:r>
          </w:p>
        </w:tc>
      </w:tr>
      <w:tr>
        <w:trPr>
          <w:trHeight w:val="391"/>
        </w:trPr>
        <w:tc>
          <w:tcPr>
            <w:tcW w:w="920" w:type="dxa"/>
            <w:vAlign w:val="bottom"/>
          </w:tcPr>
          <w:p>
            <w:pPr>
              <w:jc w:val="center"/>
              <w:spacing w:after="0"/>
              <w:rPr>
                <w:sz w:val="20"/>
                <w:szCs w:val="20"/>
                <w:color w:val="auto"/>
              </w:rPr>
            </w:pPr>
            <w:r>
              <w:rPr>
                <w:rFonts w:ascii="Arial" w:cs="Arial" w:eastAsia="Arial" w:hAnsi="Arial"/>
                <w:sz w:val="18"/>
                <w:szCs w:val="18"/>
                <w:color w:val="auto"/>
                <w:w w:val="96"/>
              </w:rPr>
              <w:t>99.1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Press Release of Brady Corporation, dated November 20, 2008, relating to the Corporation’s fiscal 2009 first quarter</w:t>
            </w:r>
          </w:p>
        </w:tc>
      </w:tr>
      <w:tr>
        <w:trPr>
          <w:trHeight w:val="217"/>
        </w:trPr>
        <w:tc>
          <w:tcPr>
            <w:tcW w:w="92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financial results</w:t>
            </w:r>
          </w:p>
        </w:tc>
      </w:tr>
      <w:tr>
        <w:trPr>
          <w:trHeight w:val="213"/>
        </w:trPr>
        <w:tc>
          <w:tcPr>
            <w:tcW w:w="9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99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November 25, 2008</w:t>
      </w:r>
      <w:r>
        <w:rPr>
          <w:sz w:val="20"/>
          <w:szCs w:val="20"/>
          <w:color w:val="auto"/>
        </w:rPr>
        <w:tab/>
      </w:r>
      <w:r>
        <w:rPr>
          <w:rFonts w:ascii="Arial" w:cs="Arial" w:eastAsia="Arial" w:hAnsi="Arial"/>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Thomas J. Felmer</w:t>
      </w:r>
    </w:p>
    <w:p>
      <w:pPr>
        <w:ind w:left="5500"/>
        <w:spacing w:after="0" w:line="234" w:lineRule="auto"/>
        <w:rPr>
          <w:sz w:val="20"/>
          <w:szCs w:val="20"/>
          <w:color w:val="auto"/>
        </w:rPr>
      </w:pPr>
      <w:r>
        <w:rPr>
          <w:rFonts w:ascii="Arial" w:cs="Arial" w:eastAsia="Arial" w:hAnsi="Arial"/>
          <w:sz w:val="18"/>
          <w:szCs w:val="18"/>
          <w:color w:val="auto"/>
        </w:rPr>
        <w:t>Senior Vice President &amp;</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76" w:right="459" w:bottom="1440" w:gutter="0" w:footer="0" w:header="0"/>
        </w:sectPr>
      </w:pPr>
    </w:p>
    <w:bookmarkStart w:id="3" w:name="page4"/>
    <w:bookmarkEnd w:id="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20" w:type="dxa"/>
            <w:vAlign w:val="bottom"/>
          </w:tcPr>
          <w:p>
            <w:pPr>
              <w:ind w:left="3560"/>
              <w:spacing w:after="0"/>
              <w:rPr>
                <w:sz w:val="20"/>
                <w:szCs w:val="20"/>
                <w:color w:val="auto"/>
              </w:rPr>
            </w:pPr>
            <w:r>
              <w:rPr>
                <w:rFonts w:ascii="Arial" w:cs="Arial" w:eastAsia="Arial" w:hAnsi="Arial"/>
                <w:sz w:val="18"/>
                <w:szCs w:val="18"/>
                <w:color w:val="auto"/>
              </w:rPr>
              <w:t>EXHIBIT INDEX</w:t>
            </w:r>
          </w:p>
        </w:tc>
      </w:tr>
      <w:tr>
        <w:trPr>
          <w:trHeight w:val="35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 No.</w:t>
            </w:r>
          </w:p>
        </w:tc>
        <w:tc>
          <w:tcPr>
            <w:tcW w:w="580" w:type="dxa"/>
            <w:vAlign w:val="bottom"/>
          </w:tcPr>
          <w:p>
            <w:pPr>
              <w:spacing w:after="0"/>
              <w:rPr>
                <w:sz w:val="24"/>
                <w:szCs w:val="24"/>
                <w:color w:val="auto"/>
              </w:rPr>
            </w:pPr>
          </w:p>
        </w:tc>
        <w:tc>
          <w:tcPr>
            <w:tcW w:w="9920" w:type="dxa"/>
            <w:vAlign w:val="bottom"/>
            <w:tcBorders>
              <w:bottom w:val="single" w:sz="8" w:color="auto"/>
            </w:tcBorders>
          </w:tcPr>
          <w:p>
            <w:pPr>
              <w:ind w:left="4280"/>
              <w:spacing w:after="0"/>
              <w:rPr>
                <w:sz w:val="20"/>
                <w:szCs w:val="20"/>
                <w:color w:val="auto"/>
              </w:rPr>
            </w:pPr>
            <w:r>
              <w:rPr>
                <w:rFonts w:ascii="Arial" w:cs="Arial" w:eastAsia="Arial" w:hAnsi="Arial"/>
                <w:sz w:val="14"/>
                <w:szCs w:val="14"/>
                <w:color w:val="auto"/>
              </w:rPr>
              <w:t>Description of Exhibit</w:t>
            </w:r>
          </w:p>
        </w:tc>
      </w:tr>
      <w:tr>
        <w:trPr>
          <w:trHeight w:val="331"/>
        </w:trPr>
        <w:tc>
          <w:tcPr>
            <w:tcW w:w="92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Brady Corporation 2005 Nonqualified Stock Option Plan for Non-Employee Directors, as amended November 20, 2008</w:t>
            </w:r>
          </w:p>
        </w:tc>
      </w:tr>
      <w:tr>
        <w:trPr>
          <w:trHeight w:val="391"/>
        </w:trPr>
        <w:tc>
          <w:tcPr>
            <w:tcW w:w="920" w:type="dxa"/>
            <w:vAlign w:val="bottom"/>
          </w:tcPr>
          <w:p>
            <w:pPr>
              <w:jc w:val="center"/>
              <w:spacing w:after="0"/>
              <w:rPr>
                <w:sz w:val="20"/>
                <w:szCs w:val="20"/>
                <w:color w:val="auto"/>
              </w:rPr>
            </w:pPr>
            <w:r>
              <w:rPr>
                <w:rFonts w:ascii="Arial" w:cs="Arial" w:eastAsia="Arial" w:hAnsi="Arial"/>
                <w:sz w:val="18"/>
                <w:szCs w:val="18"/>
                <w:color w:val="auto"/>
                <w:w w:val="96"/>
              </w:rPr>
              <w:t>99.1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Press Release of Brady Corporation, dated November 20, 2008, relating to the Corporation’s fiscal 2009 first quarter</w:t>
            </w:r>
          </w:p>
        </w:tc>
      </w:tr>
      <w:tr>
        <w:trPr>
          <w:trHeight w:val="217"/>
        </w:trPr>
        <w:tc>
          <w:tcPr>
            <w:tcW w:w="92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financial results</w:t>
            </w:r>
          </w:p>
        </w:tc>
      </w:tr>
    </w:tbl>
    <w:p>
      <w:pPr>
        <w:sectPr>
          <w:pgSz w:w="11900" w:h="16838" w:orient="portrait"/>
          <w:cols w:equalWidth="0" w:num="1">
            <w:col w:w="11420"/>
          </w:cols>
          <w:pgMar w:left="240" w:top="144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2005 NONQUALIFIED STOCK OPTION PLAN</w:t>
      </w:r>
    </w:p>
    <w:p>
      <w:pPr>
        <w:jc w:val="center"/>
        <w:spacing w:after="0"/>
        <w:rPr>
          <w:sz w:val="20"/>
          <w:szCs w:val="20"/>
          <w:color w:val="auto"/>
        </w:rPr>
      </w:pPr>
      <w:r>
        <w:rPr>
          <w:rFonts w:ascii="Arial" w:cs="Arial" w:eastAsia="Arial" w:hAnsi="Arial"/>
          <w:sz w:val="18"/>
          <w:szCs w:val="18"/>
          <w:b w:val="1"/>
          <w:bCs w:val="1"/>
          <w:u w:val="single" w:color="auto"/>
          <w:color w:val="auto"/>
        </w:rPr>
        <w:t>FOR NON-EMPLOYEE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w:t>
      </w:r>
    </w:p>
    <w:p>
      <w:pPr>
        <w:spacing w:after="0" w:line="126" w:lineRule="exact"/>
        <w:rPr>
          <w:sz w:val="20"/>
          <w:szCs w:val="20"/>
          <w:color w:val="auto"/>
        </w:rPr>
      </w:pPr>
    </w:p>
    <w:p>
      <w:pPr>
        <w:ind w:right="180" w:firstLine="247"/>
        <w:spacing w:after="0"/>
        <w:rPr>
          <w:sz w:val="20"/>
          <w:szCs w:val="20"/>
          <w:color w:val="auto"/>
        </w:rPr>
      </w:pPr>
      <w:r>
        <w:rPr>
          <w:rFonts w:ascii="Arial" w:cs="Arial" w:eastAsia="Arial" w:hAnsi="Arial"/>
          <w:sz w:val="18"/>
          <w:szCs w:val="18"/>
          <w:color w:val="auto"/>
        </w:rPr>
        <w:t>The 2005 Stock Option Plan for Non-Employee Directors (the “Plan) is intended to attract and retain the services of experienced and knowledgeable non-employee directors of Brady Corporation (the “Corporation”) for the benefit of the Corporation and its shareholders and to provide additional incentive for such directors to continue to work for the best interest of the Corporation and its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Shares Subject to the Plan.</w:t>
      </w:r>
    </w:p>
    <w:p>
      <w:pPr>
        <w:spacing w:after="0" w:line="126" w:lineRule="exact"/>
        <w:rPr>
          <w:sz w:val="20"/>
          <w:szCs w:val="20"/>
          <w:color w:val="auto"/>
        </w:rPr>
      </w:pPr>
    </w:p>
    <w:p>
      <w:pPr>
        <w:ind w:right="20" w:firstLine="247"/>
        <w:spacing w:after="0" w:line="238" w:lineRule="auto"/>
        <w:rPr>
          <w:sz w:val="20"/>
          <w:szCs w:val="20"/>
          <w:color w:val="auto"/>
        </w:rPr>
      </w:pPr>
      <w:r>
        <w:rPr>
          <w:rFonts w:ascii="Arial" w:cs="Arial" w:eastAsia="Arial" w:hAnsi="Arial"/>
          <w:sz w:val="18"/>
          <w:szCs w:val="18"/>
          <w:color w:val="auto"/>
        </w:rPr>
        <w:t>There are reserved for issuance upon the exercise of options granted under the Plan 300,000 Class A Non-Voting Common Shares $.01 par value, of the Corporation (the “Stock”). Such Stock may be authorized and unissued Stock or previously outstanding Stock then held in the Corporation’s treasury. If any option granted under the Plan shall expire or terminate for any reason without having been exercised in full, the Stock subject to the unexercised portion thereof shall again be available for the purposes of issuance upon the exercise of options granted under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Administration.</w:t>
      </w:r>
    </w:p>
    <w:p>
      <w:pPr>
        <w:spacing w:after="0" w:line="126" w:lineRule="exact"/>
        <w:rPr>
          <w:sz w:val="20"/>
          <w:szCs w:val="20"/>
          <w:color w:val="auto"/>
        </w:rPr>
      </w:pPr>
    </w:p>
    <w:p>
      <w:pPr>
        <w:jc w:val="both"/>
        <w:ind w:right="60" w:firstLine="247"/>
        <w:spacing w:after="0" w:line="238" w:lineRule="auto"/>
        <w:rPr>
          <w:sz w:val="20"/>
          <w:szCs w:val="20"/>
          <w:color w:val="auto"/>
        </w:rPr>
      </w:pPr>
      <w:r>
        <w:rPr>
          <w:rFonts w:ascii="Arial" w:cs="Arial" w:eastAsia="Arial" w:hAnsi="Arial"/>
          <w:sz w:val="18"/>
          <w:szCs w:val="18"/>
          <w:color w:val="auto"/>
        </w:rPr>
        <w:t>The Plan shall be administered by the Board of Directors of the Corporation (the “Board”), which may delegate any or all of its authority to a Committee of the Board. Subject to the express provisions of the Plan, the Board shall have authority to interpret the Plan, to prescribe, amend and rescind rules and regulations relating to it, to determine the terms and provisions of the option grants and agreements (which shall comply with and be subject to the terms and conditions of the Plan) and to make all other determinations necessary or advisable for the administration of the Plan. The Board’s determination of the matters referred to in this Paragraph 3 shall be conclusive.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Eligibility.</w:t>
      </w:r>
    </w:p>
    <w:p>
      <w:pPr>
        <w:spacing w:after="0" w:line="126"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For purposes of the Plan, “Non-Employee Director” means a member of the Board who is not an employee of the Corporation or a subsidiary of the Corporation. After the effective date of the Plan, each Non-Employee Director who first becomes a Director on an annual meeting date after July 26, 2005 shall automatically be granted an option to purchase 10,000 shares of Stock on a date that is 14 days after the annual meeting date, or if such person first becomes a Director on a date other than the annual meeting date, the option shall automatically be granted on a date that is 14 days after first becoming a Director. On a date that is 14 days after each subsequent annual meeting of the shareholders of the Corporation on or subsequent to the effective date of the Plan, each Non-Employee Director who will continue to serve as an Non-Employee Director after such annual meeting shall automatically be granted an option to purchase 6,000 shares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ind w:left="260"/>
        <w:spacing w:after="0"/>
        <w:rPr>
          <w:sz w:val="20"/>
          <w:szCs w:val="20"/>
          <w:color w:val="auto"/>
        </w:rPr>
      </w:pPr>
      <w:r>
        <w:rPr>
          <w:rFonts w:ascii="Arial" w:cs="Arial" w:eastAsia="Arial" w:hAnsi="Arial"/>
          <w:sz w:val="18"/>
          <w:szCs w:val="18"/>
          <w:color w:val="auto"/>
        </w:rPr>
        <w:t>Only non-statutory stock options shall be granted under the Plan.</w:t>
      </w:r>
    </w:p>
    <w:p>
      <w:pPr>
        <w:spacing w:after="0" w:line="190"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Option Grants.</w:t>
      </w:r>
    </w:p>
    <w:p>
      <w:pPr>
        <w:spacing w:after="0" w:line="125" w:lineRule="exact"/>
        <w:rPr>
          <w:rFonts w:ascii="Arial" w:cs="Arial" w:eastAsia="Arial" w:hAnsi="Arial"/>
          <w:sz w:val="18"/>
          <w:szCs w:val="18"/>
          <w:b w:val="1"/>
          <w:bCs w:val="1"/>
          <w:color w:val="auto"/>
        </w:rPr>
      </w:pPr>
    </w:p>
    <w:p>
      <w:pPr>
        <w:ind w:right="60" w:firstLine="258"/>
        <w:spacing w:after="0" w:line="237" w:lineRule="auto"/>
        <w:tabs>
          <w:tab w:leader="none" w:pos="517"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purchase price of the Stock under each option granted under the Plan shall be 100% of the Fair Market Value of the Stock on the date such option is granted. For purposes of the Plan “Fair Market Value” on any date shall mean, with respect to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the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Stock on the relevant date.</w:t>
      </w:r>
    </w:p>
    <w:p>
      <w:pPr>
        <w:spacing w:after="0" w:line="95" w:lineRule="exact"/>
        <w:rPr>
          <w:rFonts w:ascii="Arial" w:cs="Arial" w:eastAsia="Arial" w:hAnsi="Arial"/>
          <w:sz w:val="18"/>
          <w:szCs w:val="18"/>
          <w:color w:val="auto"/>
        </w:rPr>
      </w:pPr>
    </w:p>
    <w:p>
      <w:pPr>
        <w:ind w:left="520" w:hanging="262"/>
        <w:spacing w:after="0"/>
        <w:tabs>
          <w:tab w:leader="none" w:pos="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options shall be exercisable in accordance with the following schedule: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0" w:type="dxa"/>
            <w:vAlign w:val="bottom"/>
            <w:gridSpan w:val="2"/>
          </w:tcPr>
          <w:p>
            <w:pPr>
              <w:spacing w:after="0"/>
              <w:rPr>
                <w:sz w:val="20"/>
                <w:szCs w:val="20"/>
                <w:color w:val="auto"/>
              </w:rPr>
            </w:pPr>
            <w:r>
              <w:rPr>
                <w:rFonts w:ascii="Arial" w:cs="Arial" w:eastAsia="Arial" w:hAnsi="Arial"/>
                <w:sz w:val="14"/>
                <w:szCs w:val="14"/>
                <w:color w:val="auto"/>
              </w:rPr>
              <w:t>Years After</w:t>
            </w:r>
          </w:p>
        </w:tc>
        <w:tc>
          <w:tcPr>
            <w:tcW w:w="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57"/>
        </w:trPr>
        <w:tc>
          <w:tcPr>
            <w:tcW w:w="9200" w:type="dxa"/>
            <w:vAlign w:val="bottom"/>
            <w:gridSpan w:val="2"/>
          </w:tcPr>
          <w:p>
            <w:pPr>
              <w:spacing w:after="0" w:line="157" w:lineRule="exact"/>
              <w:rPr>
                <w:sz w:val="20"/>
                <w:szCs w:val="20"/>
                <w:color w:val="auto"/>
              </w:rPr>
            </w:pPr>
            <w:r>
              <w:rPr>
                <w:rFonts w:ascii="Arial" w:cs="Arial" w:eastAsia="Arial" w:hAnsi="Arial"/>
                <w:sz w:val="14"/>
                <w:szCs w:val="14"/>
                <w:color w:val="auto"/>
              </w:rPr>
              <w:t>Date of Grant</w:t>
            </w:r>
          </w:p>
        </w:tc>
        <w:tc>
          <w:tcPr>
            <w:tcW w:w="520" w:type="dxa"/>
            <w:vAlign w:val="bottom"/>
          </w:tcPr>
          <w:p>
            <w:pPr>
              <w:spacing w:after="0"/>
              <w:rPr>
                <w:sz w:val="13"/>
                <w:szCs w:val="13"/>
                <w:color w:val="auto"/>
              </w:rPr>
            </w:pPr>
          </w:p>
        </w:tc>
        <w:tc>
          <w:tcPr>
            <w:tcW w:w="1700" w:type="dxa"/>
            <w:vAlign w:val="bottom"/>
          </w:tcPr>
          <w:p>
            <w:pPr>
              <w:jc w:val="right"/>
              <w:ind w:right="79"/>
              <w:spacing w:after="0" w:line="157" w:lineRule="exact"/>
              <w:rPr>
                <w:sz w:val="20"/>
                <w:szCs w:val="20"/>
                <w:color w:val="auto"/>
              </w:rPr>
            </w:pPr>
            <w:r>
              <w:rPr>
                <w:rFonts w:ascii="Arial" w:cs="Arial" w:eastAsia="Arial" w:hAnsi="Arial"/>
                <w:sz w:val="14"/>
                <w:szCs w:val="14"/>
                <w:color w:val="auto"/>
              </w:rPr>
              <w:t>Percentage of Shares</w:t>
            </w:r>
          </w:p>
        </w:tc>
      </w:tr>
      <w:tr>
        <w:trPr>
          <w:trHeight w:val="196"/>
        </w:trPr>
        <w:tc>
          <w:tcPr>
            <w:tcW w:w="20" w:type="dxa"/>
            <w:vAlign w:val="bottom"/>
          </w:tcPr>
          <w:p>
            <w:pPr>
              <w:spacing w:after="0"/>
              <w:rPr>
                <w:sz w:val="17"/>
                <w:szCs w:val="17"/>
                <w:color w:val="auto"/>
              </w:rPr>
            </w:pPr>
          </w:p>
        </w:tc>
        <w:tc>
          <w:tcPr>
            <w:tcW w:w="9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1</w:t>
            </w:r>
          </w:p>
        </w:tc>
        <w:tc>
          <w:tcPr>
            <w:tcW w:w="520" w:type="dxa"/>
            <w:vAlign w:val="bottom"/>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ind w:right="359"/>
              <w:spacing w:after="0" w:line="196" w:lineRule="exact"/>
              <w:rPr>
                <w:sz w:val="20"/>
                <w:szCs w:val="20"/>
                <w:color w:val="auto"/>
              </w:rPr>
            </w:pPr>
            <w:r>
              <w:rPr>
                <w:rFonts w:ascii="Arial" w:cs="Arial" w:eastAsia="Arial" w:hAnsi="Arial"/>
                <w:sz w:val="18"/>
                <w:szCs w:val="18"/>
                <w:color w:val="auto"/>
              </w:rPr>
              <w:t>0%</w:t>
            </w: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1 but less than 2</w:t>
            </w:r>
          </w:p>
        </w:tc>
        <w:tc>
          <w:tcPr>
            <w:tcW w:w="2220" w:type="dxa"/>
            <w:vAlign w:val="bottom"/>
            <w:gridSpan w:val="2"/>
          </w:tcPr>
          <w:p>
            <w:pPr>
              <w:jc w:val="right"/>
              <w:ind w:right="359"/>
              <w:spacing w:after="0" w:line="202" w:lineRule="exact"/>
              <w:rPr>
                <w:sz w:val="20"/>
                <w:szCs w:val="20"/>
                <w:color w:val="auto"/>
              </w:rPr>
            </w:pPr>
            <w:r>
              <w:rPr>
                <w:rFonts w:ascii="Arial" w:cs="Arial" w:eastAsia="Arial" w:hAnsi="Arial"/>
                <w:sz w:val="18"/>
                <w:szCs w:val="18"/>
                <w:color w:val="auto"/>
              </w:rPr>
              <w:t>33-1/3%</w:t>
            </w: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 but less than 3</w:t>
            </w:r>
          </w:p>
        </w:tc>
        <w:tc>
          <w:tcPr>
            <w:tcW w:w="2220" w:type="dxa"/>
            <w:vAlign w:val="bottom"/>
            <w:gridSpan w:val="2"/>
            <w:shd w:val="clear" w:color="auto" w:fill="CCEEFF"/>
          </w:tcPr>
          <w:p>
            <w:pPr>
              <w:jc w:val="right"/>
              <w:ind w:right="359"/>
              <w:spacing w:after="0" w:line="202" w:lineRule="exact"/>
              <w:rPr>
                <w:sz w:val="20"/>
                <w:szCs w:val="20"/>
                <w:color w:val="auto"/>
              </w:rPr>
            </w:pPr>
            <w:r>
              <w:rPr>
                <w:rFonts w:ascii="Arial" w:cs="Arial" w:eastAsia="Arial" w:hAnsi="Arial"/>
                <w:sz w:val="18"/>
                <w:szCs w:val="18"/>
                <w:color w:val="auto"/>
              </w:rPr>
              <w:t>66-2/3%</w:t>
            </w:r>
          </w:p>
        </w:tc>
      </w:tr>
      <w:tr>
        <w:trPr>
          <w:trHeight w:val="217"/>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3 or more</w:t>
            </w:r>
          </w:p>
        </w:tc>
        <w:tc>
          <w:tcPr>
            <w:tcW w:w="2220" w:type="dxa"/>
            <w:vAlign w:val="bottom"/>
            <w:gridSpan w:val="2"/>
          </w:tcPr>
          <w:p>
            <w:pPr>
              <w:jc w:val="right"/>
              <w:ind w:right="359"/>
              <w:spacing w:after="0"/>
              <w:rPr>
                <w:sz w:val="20"/>
                <w:szCs w:val="20"/>
                <w:color w:val="auto"/>
              </w:rPr>
            </w:pPr>
            <w:r>
              <w:rPr>
                <w:rFonts w:ascii="Arial" w:cs="Arial" w:eastAsia="Arial" w:hAnsi="Arial"/>
                <w:sz w:val="18"/>
                <w:szCs w:val="18"/>
                <w:color w:val="auto"/>
              </w:rPr>
              <w:t>100%</w:t>
            </w:r>
          </w:p>
        </w:tc>
      </w:tr>
    </w:tbl>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term of each option shall be ten years from the date of grant, or such shorter period as is prescribed in Paragraphs 5(c) and 5(d).</w:t>
      </w:r>
    </w:p>
    <w:p>
      <w:pPr>
        <w:spacing w:after="0"/>
        <w:rPr>
          <w:sz w:val="20"/>
          <w:szCs w:val="20"/>
          <w:color w:val="auto"/>
        </w:rPr>
      </w:pPr>
      <w:r>
        <w:rPr>
          <w:rFonts w:ascii="Arial" w:cs="Arial" w:eastAsia="Arial" w:hAnsi="Arial"/>
          <w:sz w:val="18"/>
          <w:szCs w:val="18"/>
          <w:color w:val="auto"/>
        </w:rPr>
        <w:t>Except as provided in Paragraphs 5(c) and 5(d), no option may be exercised at any time unless the holder is then a director of the Corporation.</w:t>
      </w:r>
    </w:p>
    <w:p>
      <w:pPr>
        <w:spacing w:after="0" w:line="104" w:lineRule="exact"/>
        <w:rPr>
          <w:sz w:val="20"/>
          <w:szCs w:val="20"/>
          <w:color w:val="auto"/>
        </w:rPr>
      </w:pPr>
    </w:p>
    <w:p>
      <w:pPr>
        <w:ind w:right="100" w:firstLine="250"/>
        <w:spacing w:after="0" w:line="236" w:lineRule="auto"/>
        <w:rPr>
          <w:sz w:val="20"/>
          <w:szCs w:val="20"/>
          <w:color w:val="auto"/>
        </w:rPr>
      </w:pPr>
      <w:r>
        <w:rPr>
          <w:rFonts w:ascii="Arial" w:cs="Arial" w:eastAsia="Arial" w:hAnsi="Arial"/>
          <w:sz w:val="18"/>
          <w:szCs w:val="18"/>
          <w:color w:val="auto"/>
        </w:rPr>
        <w:t>Each option may be exercised in whole or in part from time to time as specified in the agreements provided, however, that each holder may exercise an option in whole or in part by giving written notice of the exercise to the Corporation, specifying the number of shares to be purchased by payment in full of the purchase price therefor. The purchase price may be paid (a) in cash, (b) by check, (c) with the approval of the Board, or if the applicable agreement so provides, by delivering shares of Stock (“Delivered Stock”), (d) by surrendering to the Corporation shares of Stock otherwise receivable upon exercise of the option (a “Net Exercise”), or (e) any combination of the foregoing. For purposes of the foregoing, Delivered Stock shall be valued at its Fair Market Value determined as of the business day immediately preceding the date of exercise of the option and shares of Stock used in a Net Exercise shall be valued at their Fair Market Value determined as of the date of exercise of the option. No holder shall be under any obligation to exercise any option hereunder.</w:t>
      </w:r>
    </w:p>
    <w:p>
      <w:pPr>
        <w:spacing w:after="0" w:line="100" w:lineRule="exact"/>
        <w:rPr>
          <w:sz w:val="20"/>
          <w:szCs w:val="20"/>
          <w:color w:val="auto"/>
        </w:rPr>
      </w:pPr>
    </w:p>
    <w:p>
      <w:pPr>
        <w:ind w:right="120" w:firstLine="250"/>
        <w:spacing w:after="0" w:line="275" w:lineRule="auto"/>
        <w:rPr>
          <w:sz w:val="20"/>
          <w:szCs w:val="20"/>
          <w:color w:val="auto"/>
        </w:rPr>
      </w:pPr>
      <w:r>
        <w:rPr>
          <w:rFonts w:ascii="Arial" w:cs="Arial" w:eastAsia="Arial" w:hAnsi="Arial"/>
          <w:sz w:val="17"/>
          <w:szCs w:val="17"/>
          <w:color w:val="auto"/>
        </w:rPr>
        <w:t>Upon exercise, the option price is to be paid in full in cash or, at the discretion of the Board, in Stock owned by the optionee having a Fair Market Value on the date of exercise equal to the aggregate option price or, at the discretion of the Board, in a combination of cash and Stock.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 w:name="page7"/>
    <w:bookmarkEnd w:id="6"/>
    <w:p>
      <w:pPr>
        <w:ind w:firstLine="258"/>
        <w:spacing w:after="0" w:line="236" w:lineRule="auto"/>
        <w:tabs>
          <w:tab w:leader="none" w:pos="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rights under any option shall terminate on the date such Participant ceases to be a Director of the Corporation, except that (a) if the Directorship is terminated by the death of the Director, any unexercised, unexpired Stock Options granted hereunder to the Director shall be 100% vested and fully exercisable, in whole or in part, at any time within one year after the date of death, by the Director’s personal representative or by the person to whom the options are transferred under the Director’s last will and testament or the applicable laws of descent and distribution; (b) if the Directorship is terminated as a result of the disability of the Director (a disability means that the Director is disabled as a result of sickness or injury, such that he or she is unable satisfactorily to perform the Director duties, as determined by the Board of Directors, on the basis of medical evidence satisfactory to it), any unexercised, unexpired options granted hereunder to the Director shall become 100% vested and fully exercisable, in whole or in part, at any time within one year after the date of disability; (c) if the Directorship is terminated and the Director has been a member of the Board of Directors for at least three years, any unexercised, unexpired options granted hereunder to the Director shall continue to vest as provided in Paragraph 5(b) and any option that is or becomes vested may be exercised within the term of such option; and (d) if the Directorship is terminated for any reason other than (a), (b) or (c) above, any unexercised, unexpired options granted hereunder and exercisable as of the date of such termination shall be exercisable in whole or in part at any time within 90 days after such date of termination.</w:t>
      </w:r>
    </w:p>
    <w:p>
      <w:pPr>
        <w:spacing w:after="0" w:line="95" w:lineRule="exact"/>
        <w:rPr>
          <w:rFonts w:ascii="Arial" w:cs="Arial" w:eastAsia="Arial" w:hAnsi="Arial"/>
          <w:sz w:val="18"/>
          <w:szCs w:val="18"/>
          <w:color w:val="auto"/>
        </w:rPr>
      </w:pPr>
    </w:p>
    <w:p>
      <w:pPr>
        <w:ind w:right="80" w:firstLine="258"/>
        <w:spacing w:after="0" w:line="238" w:lineRule="auto"/>
        <w:tabs>
          <w:tab w:leader="none" w:pos="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event of (a) a merger, consolidation, or reorganization with another corporation in which the Corporation is not the surviving corporation or a merger, consolidation or reorganization with another corporation in which the Corporation is the surviving corporation, but the Stock ceases to be publicly traded, (b) the adoption of any plan for the dissolution of the Corporation, or (c) the sale or exchange of all or substantially all the assets of the Corporation for cash or for shares of stock or other securities of another corporation, all then-unexercised options shall become fully exercisable immediately prior to any such event.</w:t>
      </w:r>
    </w:p>
    <w:p>
      <w:pPr>
        <w:spacing w:after="0" w:line="94" w:lineRule="exact"/>
        <w:rPr>
          <w:rFonts w:ascii="Arial" w:cs="Arial" w:eastAsia="Arial" w:hAnsi="Arial"/>
          <w:sz w:val="18"/>
          <w:szCs w:val="18"/>
          <w:color w:val="auto"/>
        </w:rPr>
      </w:pPr>
    </w:p>
    <w:p>
      <w:pPr>
        <w:ind w:right="100" w:firstLine="258"/>
        <w:spacing w:after="0" w:line="246" w:lineRule="auto"/>
        <w:tabs>
          <w:tab w:leader="none" w:pos="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Nothing in the Plan or in any option granted pursuant to the Plan shall confer on any individual any right to continue as a director of the Corporation.</w:t>
      </w:r>
    </w:p>
    <w:p>
      <w:pPr>
        <w:spacing w:after="0" w:line="174" w:lineRule="exact"/>
        <w:rPr>
          <w:rFonts w:ascii="Arial" w:cs="Arial" w:eastAsia="Arial" w:hAnsi="Arial"/>
          <w:sz w:val="18"/>
          <w:szCs w:val="18"/>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 and Shareholder Rights of Holders of Options.</w:t>
      </w:r>
    </w:p>
    <w:p>
      <w:pPr>
        <w:spacing w:after="0" w:line="126"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No options granted under the Plan shall be transferable otherwise than by will or by the laws of descent and distribution, and an option may be exercised, during the lifetime of an optionee, only by the optionee or optionee’s guardian or legal representative. An optionee shall have none of the rights of a shareholder of the Corporation until the option has been exercised and the Stock subject to the option has been registered in the name of the optionee on the transfer books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Adjustments upon Changes in Capitalization.</w:t>
      </w:r>
    </w:p>
    <w:p>
      <w:pPr>
        <w:spacing w:after="0" w:line="126" w:lineRule="exact"/>
        <w:rPr>
          <w:sz w:val="20"/>
          <w:szCs w:val="20"/>
          <w:color w:val="auto"/>
        </w:rPr>
      </w:pPr>
    </w:p>
    <w:p>
      <w:pPr>
        <w:ind w:right="140" w:firstLine="250"/>
        <w:spacing w:after="0" w:line="239" w:lineRule="auto"/>
        <w:rPr>
          <w:sz w:val="20"/>
          <w:szCs w:val="20"/>
          <w:color w:val="auto"/>
        </w:rPr>
      </w:pPr>
      <w:r>
        <w:rPr>
          <w:rFonts w:ascii="Arial" w:cs="Arial" w:eastAsia="Arial" w:hAnsi="Arial"/>
          <w:sz w:val="18"/>
          <w:szCs w:val="18"/>
          <w:color w:val="auto"/>
        </w:rPr>
        <w:t>Notwithstanding any other provisions of the Plan, the number and class of shares subject to the options and the option prices of options covered thereby shall be proportionately adjusted in the event of changes in the outstanding Stock by reason of stock dividends, stock splits, recapitalizations, mergers, consolidations, combinations or exchanges of shares, split-ups, split-offs, spin-offs, liquidations or other similar changes in capitalization, or any distribution to</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9" w:right="339" w:bottom="1440" w:gutter="0" w:footer="0" w:header="0"/>
        </w:sectPr>
      </w:pPr>
    </w:p>
    <w:bookmarkStart w:id="7" w:name="page8"/>
    <w:bookmarkEnd w:id="7"/>
    <w:p>
      <w:pPr>
        <w:ind w:right="220"/>
        <w:spacing w:after="0"/>
        <w:rPr>
          <w:sz w:val="20"/>
          <w:szCs w:val="20"/>
          <w:color w:val="auto"/>
        </w:rPr>
      </w:pPr>
      <w:r>
        <w:rPr>
          <w:rFonts w:ascii="Arial" w:cs="Arial" w:eastAsia="Arial" w:hAnsi="Arial"/>
          <w:sz w:val="18"/>
          <w:szCs w:val="18"/>
          <w:color w:val="auto"/>
        </w:rPr>
        <w:t>common shareholders other than cash dividends and, in the event of any such change in the outstanding Stock, the aggregate number and class of shares available under the Plan and the number of shares as to which options may be granted shall be appropriately adjusted by the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Amendment and Termination.</w:t>
      </w:r>
    </w:p>
    <w:p>
      <w:pPr>
        <w:spacing w:after="0" w:line="126" w:lineRule="exact"/>
        <w:rPr>
          <w:sz w:val="20"/>
          <w:szCs w:val="20"/>
          <w:color w:val="auto"/>
        </w:rPr>
      </w:pPr>
    </w:p>
    <w:p>
      <w:pPr>
        <w:ind w:right="120" w:firstLine="250"/>
        <w:spacing w:after="0" w:line="237" w:lineRule="auto"/>
        <w:rPr>
          <w:sz w:val="20"/>
          <w:szCs w:val="20"/>
          <w:color w:val="auto"/>
        </w:rPr>
      </w:pPr>
      <w:r>
        <w:rPr>
          <w:rFonts w:ascii="Arial" w:cs="Arial" w:eastAsia="Arial" w:hAnsi="Arial"/>
          <w:sz w:val="18"/>
          <w:szCs w:val="18"/>
          <w:color w:val="auto"/>
        </w:rPr>
        <w:t>Unless the Plan shall theretofore have been terminated as hereinafter provided, the Plan shall terminate on, and no awards of options shall be made after, the tenth anniversary of the effective date of the Plan; provided, however, that such termination shall have no effect on options granted prior thereto. The Plan may be terminated, modified or amended by the shareholders of the Corporation. The Board may also terminate the Plan or modify or amend the Plan in such respects as it shall deem advisable in order to conform to any change in any law or regulation applicable thereto, or in other respects which shall not change (i) the total number of shares of Stock as to which options may be granted, (ii) the class of persons eligible to receive options under the Plan, (iii) the manner of determining the option prices, (iv) the period during which options may be granted or exercised or (v) the provisions relating to the administration of the Plan by the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Withholding.</w:t>
      </w:r>
    </w:p>
    <w:p>
      <w:pPr>
        <w:spacing w:after="0" w:line="126" w:lineRule="exact"/>
        <w:rPr>
          <w:sz w:val="20"/>
          <w:szCs w:val="20"/>
          <w:color w:val="auto"/>
        </w:rPr>
      </w:pPr>
    </w:p>
    <w:p>
      <w:pPr>
        <w:ind w:right="80" w:firstLine="250"/>
        <w:spacing w:after="0" w:line="239" w:lineRule="auto"/>
        <w:rPr>
          <w:sz w:val="20"/>
          <w:szCs w:val="20"/>
          <w:color w:val="auto"/>
        </w:rPr>
      </w:pPr>
      <w:r>
        <w:rPr>
          <w:rFonts w:ascii="Arial" w:cs="Arial" w:eastAsia="Arial" w:hAnsi="Arial"/>
          <w:sz w:val="18"/>
          <w:szCs w:val="18"/>
          <w:color w:val="auto"/>
        </w:rPr>
        <w:t>Upon the issuance of Stock as a result of the exercise of an option, the Corporation shall have the right to retain or sell without notice sufficient Stock to cover the amount of any tax required by any government to be withheld or otherwise deducted and paid with respect to such Stock being issued, remitting any balance to the optionee; provided, however, that the optionee shall have the right to provide the Corporation with the funds to enable it to pay such tax.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Effectiveness of the Plan.</w:t>
      </w:r>
    </w:p>
    <w:p>
      <w:pPr>
        <w:spacing w:after="0" w:line="126" w:lineRule="exact"/>
        <w:rPr>
          <w:sz w:val="20"/>
          <w:szCs w:val="20"/>
          <w:color w:val="auto"/>
        </w:rPr>
      </w:pPr>
    </w:p>
    <w:p>
      <w:pPr>
        <w:ind w:firstLine="247"/>
        <w:spacing w:after="0" w:line="238" w:lineRule="auto"/>
        <w:rPr>
          <w:sz w:val="20"/>
          <w:szCs w:val="20"/>
          <w:color w:val="auto"/>
        </w:rPr>
      </w:pPr>
      <w:r>
        <w:rPr>
          <w:rFonts w:ascii="Arial" w:cs="Arial" w:eastAsia="Arial" w:hAnsi="Arial"/>
          <w:sz w:val="18"/>
          <w:szCs w:val="18"/>
          <w:color w:val="auto"/>
        </w:rPr>
        <w:t>The Plan shall become effective on the day following the date the Plan is approved by the vote of the holders of a majority of the outstanding shares of the Corporation’s Class B Voting Common Stock. The Board may in its discretion authorize the granting of options which shall be expressly subject to the conditions that (i) the Stock reserved for issue under the Plan shall have been duly listed, upon official notice of issuance, upon each stock exchange in the United States upon which the Stock is traded and (ii) a registration statement under the Securities Act of 1933 with respect to such shares shall have become effective.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49"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Investor contact: Barbara Bolens 414-438-6940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sales and earnings for fiscal 2009 first quarter and announces global workforce reduction</w:t>
      </w:r>
    </w:p>
    <w:p>
      <w:pPr>
        <w:spacing w:after="0" w:line="126"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MILWAUKEE (November 20, 2008)—Brady Corporation (NYSE:BRC) reports sales and earnings for its fiscal 2009 first quarter ended October 31, 2008.</w:t>
      </w:r>
    </w:p>
    <w:p>
      <w:pPr>
        <w:spacing w:after="0" w:line="89" w:lineRule="exact"/>
        <w:rPr>
          <w:sz w:val="20"/>
          <w:szCs w:val="20"/>
          <w:color w:val="auto"/>
        </w:rPr>
      </w:pPr>
    </w:p>
    <w:p>
      <w:pPr>
        <w:ind w:right="120" w:firstLine="250"/>
        <w:spacing w:after="0" w:line="239" w:lineRule="auto"/>
        <w:rPr>
          <w:sz w:val="20"/>
          <w:szCs w:val="20"/>
          <w:color w:val="auto"/>
        </w:rPr>
      </w:pPr>
      <w:r>
        <w:rPr>
          <w:rFonts w:ascii="Arial" w:cs="Arial" w:eastAsia="Arial" w:hAnsi="Arial"/>
          <w:sz w:val="18"/>
          <w:szCs w:val="18"/>
          <w:color w:val="auto"/>
        </w:rPr>
        <w:t>Sales for the quarter declined 0.5 percent to $378.3 million compared to $380.1 million in the first quarter of fiscal 2008. Organic sales declined 2.5 percent in the quarter, acquisitions contributed 2.1 percent to sales growth and currency exchange had a negative 0.1 percent impact on sales growth. By segment, sales were down 7.9 percent in the Americas and 0.6 percent in Europe; sales increased 13.2 percent in Asia/Pacific.</w:t>
      </w:r>
    </w:p>
    <w:p>
      <w:pPr>
        <w:spacing w:after="0" w:line="94" w:lineRule="exact"/>
        <w:rPr>
          <w:sz w:val="20"/>
          <w:szCs w:val="20"/>
          <w:color w:val="auto"/>
        </w:rPr>
      </w:pPr>
    </w:p>
    <w:p>
      <w:pPr>
        <w:ind w:right="180" w:firstLine="250"/>
        <w:spacing w:after="0"/>
        <w:rPr>
          <w:sz w:val="20"/>
          <w:szCs w:val="20"/>
          <w:color w:val="auto"/>
        </w:rPr>
      </w:pPr>
      <w:r>
        <w:rPr>
          <w:rFonts w:ascii="Arial" w:cs="Arial" w:eastAsia="Arial" w:hAnsi="Arial"/>
          <w:sz w:val="18"/>
          <w:szCs w:val="18"/>
          <w:color w:val="auto"/>
        </w:rPr>
        <w:t>Net income increased 2.0 percent in the fiscal 2009 first quarter to $37.1 million compared to $36.4 million in the same quarter last year. Earnings per diluted Class A Common share were $0.69 in the first quarter of fiscal 2009, up 4.5 percent compared to $0.66 per diluted share in the prior year’s quarter. Earnings per share results reflect the repurchase of approximately 1.15 million shares in the quarter.</w:t>
      </w:r>
    </w:p>
    <w:p>
      <w:pPr>
        <w:spacing w:after="0" w:line="95" w:lineRule="exact"/>
        <w:rPr>
          <w:sz w:val="20"/>
          <w:szCs w:val="20"/>
          <w:color w:val="auto"/>
        </w:rPr>
      </w:pPr>
    </w:p>
    <w:p>
      <w:pPr>
        <w:ind w:right="60" w:firstLine="250"/>
        <w:spacing w:after="0" w:line="237" w:lineRule="auto"/>
        <w:rPr>
          <w:sz w:val="20"/>
          <w:szCs w:val="20"/>
          <w:color w:val="auto"/>
        </w:rPr>
      </w:pPr>
      <w:r>
        <w:rPr>
          <w:rFonts w:ascii="Arial" w:cs="Arial" w:eastAsia="Arial" w:hAnsi="Arial"/>
          <w:sz w:val="18"/>
          <w:szCs w:val="18"/>
          <w:color w:val="auto"/>
        </w:rPr>
        <w:t>“Our proactive measures to control costs helped to mitigate the effects of a deteriorating economy, and combined with other factors including a lower effective tax rate, resulted in slight net income growth in the first quarter. This was despite a decline in organic sales caused by a marked slowdown in our markets in the later part of the quarter. We expect a continuation of the challenging global economy and are taking additional steps to reduce our costs. These steps include a global workforce reduction of approximately 10 percent to be implemented in the second quarter, a company-wide salary freeze, the continued reduction of discretionary spending and contingency plans for further reductions in the event of more severe business contraction,” said Frank M. Jaehnert, Brady’s president and chief executive officer.</w:t>
      </w:r>
    </w:p>
    <w:p>
      <w:pPr>
        <w:spacing w:after="0" w:line="97" w:lineRule="exact"/>
        <w:rPr>
          <w:sz w:val="20"/>
          <w:szCs w:val="20"/>
          <w:color w:val="auto"/>
        </w:rPr>
      </w:pPr>
    </w:p>
    <w:p>
      <w:pPr>
        <w:ind w:right="40" w:firstLine="250"/>
        <w:spacing w:after="0" w:line="237" w:lineRule="auto"/>
        <w:rPr>
          <w:sz w:val="20"/>
          <w:szCs w:val="20"/>
          <w:color w:val="auto"/>
        </w:rPr>
      </w:pPr>
      <w:r>
        <w:rPr>
          <w:rFonts w:ascii="Arial" w:cs="Arial" w:eastAsia="Arial" w:hAnsi="Arial"/>
          <w:sz w:val="18"/>
          <w:szCs w:val="18"/>
          <w:color w:val="auto"/>
        </w:rPr>
        <w:t>“We expect restructuring charges of approximately $30 million pretax during fiscal 2009. Savings from our cost reduction actions should be approximately $30 million in fiscal 2009,” said Brady Chief Financial Officer Thomas J. Felmer. “Based on current exchange rates and as a result of these unprecedented economic conditions, we expect high single-digit declines in organic sales for the remainder of the fiscal year. We are revising our net income guidance for fiscal 2009 and now expect net income of between $75 and $85 million after restructuring charges of $20 million after tax (previously $140 to $145 million), and earnings per diluted share including restructuring charges of between $1.40 and $1.59 (previously $2.54 to $2.63).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Excluding restructuring charges, we expect net income of $95 to $105 million and earnings per diluted share of between $1.78 and $1.97.”</w:t>
      </w:r>
    </w:p>
    <w:p>
      <w:pPr>
        <w:spacing w:after="0" w:line="104"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“Brady is a financially strong company, with a solid balance sheet and good cash flow, and we are committed to taking all steps necessary to protect the long-term health of the company in these challenging times. To ensure our competitiveness when the current economic crisis subsides, we will continue to invest in growth strategies including new product development, acquisitions, e-business and the Brady Business Performance System, which focuses on ‘lean’ thinking and continuous improvement,” added Jaehnert.</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web cast regarding fiscal 2009 first quarter results will be available at www.investor.bradycorp.com.</w:t>
      </w:r>
    </w:p>
    <w:p>
      <w:pPr>
        <w:spacing w:after="0" w:line="104"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nearly 8,000 people at operations in the Americas, Europe and Asia/Pacific. Brady’s fiscal 2008 sales were approximately $1.523 billion. More information is available on the Internet at www.bradycorp.com.</w:t>
      </w:r>
    </w:p>
    <w:p>
      <w:pPr>
        <w:spacing w:after="0" w:line="9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2008. These uncertainties may cause Brady’s actual future results to be materially different than those expressed in its forward-looking statements. Brady does not undertake to update its forward-looking statements.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(Unaudited)</w:t>
            </w: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20" w:type="dxa"/>
            <w:vAlign w:val="bottom"/>
            <w:gridSpan w:val="7"/>
          </w:tcPr>
          <w:p>
            <w:pPr>
              <w:jc w:val="right"/>
              <w:ind w:right="1120"/>
              <w:spacing w:after="0"/>
              <w:rPr>
                <w:sz w:val="20"/>
                <w:szCs w:val="20"/>
                <w:color w:val="auto"/>
              </w:rPr>
            </w:pPr>
            <w:r>
              <w:rPr>
                <w:rFonts w:ascii="Arial" w:cs="Arial" w:eastAsia="Arial" w:hAnsi="Arial"/>
                <w:sz w:val="14"/>
                <w:szCs w:val="14"/>
                <w:color w:val="auto"/>
              </w:rPr>
              <w:t>Three Months Ended October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31"/>
              <w:spacing w:after="0" w:line="157" w:lineRule="exact"/>
              <w:rPr>
                <w:sz w:val="20"/>
                <w:szCs w:val="20"/>
                <w:color w:val="auto"/>
              </w:rPr>
            </w:pPr>
            <w:r>
              <w:rPr>
                <w:rFonts w:ascii="Arial" w:cs="Arial" w:eastAsia="Arial" w:hAnsi="Arial"/>
                <w:sz w:val="14"/>
                <w:szCs w:val="14"/>
                <w:color w:val="auto"/>
              </w:rPr>
              <w:t>2008</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2"/>
              <w:spacing w:after="0" w:line="157" w:lineRule="exact"/>
              <w:rPr>
                <w:sz w:val="20"/>
                <w:szCs w:val="20"/>
                <w:color w:val="auto"/>
              </w:rPr>
            </w:pPr>
            <w:r>
              <w:rPr>
                <w:rFonts w:ascii="Arial" w:cs="Arial" w:eastAsia="Arial" w:hAnsi="Arial"/>
                <w:sz w:val="14"/>
                <w:szCs w:val="14"/>
                <w:color w:val="auto"/>
              </w:rPr>
              <w:t>2007</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Percentage 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378,317</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w w:val="98"/>
              </w:rPr>
              <w:t>380,134</w:t>
            </w:r>
          </w:p>
        </w:tc>
        <w:tc>
          <w:tcPr>
            <w:tcW w:w="16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1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197,171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192,467</w:t>
            </w:r>
          </w:p>
        </w:tc>
        <w:tc>
          <w:tcPr>
            <w:tcW w:w="440" w:type="dxa"/>
            <w:vAlign w:val="bottom"/>
          </w:tcPr>
          <w:p>
            <w:pPr>
              <w:spacing w:after="0"/>
              <w:rPr>
                <w:sz w:val="18"/>
                <w:szCs w:val="18"/>
                <w:color w:val="auto"/>
              </w:rPr>
            </w:pPr>
          </w:p>
        </w:tc>
        <w:tc>
          <w:tcPr>
            <w:tcW w:w="1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margin</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181,146</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187,667</w:t>
            </w:r>
          </w:p>
        </w:tc>
        <w:tc>
          <w:tcPr>
            <w:tcW w:w="1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05"/>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9,056</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8,978</w:t>
            </w:r>
          </w:p>
        </w:tc>
        <w:tc>
          <w:tcPr>
            <w:tcW w:w="1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115,896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120,351</w:t>
            </w:r>
          </w:p>
        </w:tc>
        <w:tc>
          <w:tcPr>
            <w:tcW w:w="440" w:type="dxa"/>
            <w:vAlign w:val="bottom"/>
          </w:tcPr>
          <w:p>
            <w:pPr>
              <w:spacing w:after="0"/>
              <w:rPr>
                <w:sz w:val="18"/>
                <w:szCs w:val="18"/>
                <w:color w:val="auto"/>
              </w:rPr>
            </w:pPr>
          </w:p>
        </w:tc>
        <w:tc>
          <w:tcPr>
            <w:tcW w:w="1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124,952</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129,329</w:t>
            </w:r>
          </w:p>
        </w:tc>
        <w:tc>
          <w:tcPr>
            <w:tcW w:w="1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9"/>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56,194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58,338</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and (expense):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1,852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440" w:type="dxa"/>
            <w:vAlign w:val="bottom"/>
          </w:tcPr>
          <w:p>
            <w:pPr>
              <w:spacing w:after="0"/>
              <w:rPr>
                <w:sz w:val="17"/>
                <w:szCs w:val="17"/>
                <w:color w:val="auto"/>
              </w:rPr>
            </w:pPr>
          </w:p>
        </w:tc>
        <w:tc>
          <w:tcPr>
            <w:tcW w:w="1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(6,361)</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(6,720)</w:t>
            </w:r>
          </w:p>
        </w:tc>
        <w:tc>
          <w:tcPr>
            <w:tcW w:w="1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1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51,685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51,736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14,575</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15,366</w:t>
            </w:r>
          </w:p>
        </w:tc>
        <w:tc>
          <w:tcPr>
            <w:tcW w:w="1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1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37,110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36,370</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Class A Nonvoting Common Share: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0.70</w:t>
            </w:r>
          </w:p>
        </w:tc>
        <w:tc>
          <w:tcPr>
            <w:tcW w:w="14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0.67</w:t>
            </w:r>
          </w:p>
        </w:tc>
        <w:tc>
          <w:tcPr>
            <w:tcW w:w="440" w:type="dxa"/>
            <w:vAlign w:val="bottom"/>
          </w:tcPr>
          <w:p>
            <w:pPr>
              <w:spacing w:after="0"/>
              <w:rPr>
                <w:sz w:val="17"/>
                <w:szCs w:val="17"/>
                <w:color w:val="auto"/>
              </w:rPr>
            </w:pPr>
          </w:p>
        </w:tc>
        <w:tc>
          <w:tcPr>
            <w:tcW w:w="1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0.66</w:t>
            </w:r>
          </w:p>
        </w:tc>
        <w:tc>
          <w:tcPr>
            <w:tcW w:w="44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44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Class B Voting Common Share: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0.68</w:t>
            </w:r>
          </w:p>
        </w:tc>
        <w:tc>
          <w:tcPr>
            <w:tcW w:w="14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0.65</w:t>
            </w:r>
          </w:p>
        </w:tc>
        <w:tc>
          <w:tcPr>
            <w:tcW w:w="440" w:type="dxa"/>
            <w:vAlign w:val="bottom"/>
          </w:tcPr>
          <w:p>
            <w:pPr>
              <w:spacing w:after="0"/>
              <w:rPr>
                <w:sz w:val="17"/>
                <w:szCs w:val="17"/>
                <w:color w:val="auto"/>
              </w:rPr>
            </w:pPr>
          </w:p>
        </w:tc>
        <w:tc>
          <w:tcPr>
            <w:tcW w:w="1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0.67</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0.64</w:t>
            </w:r>
          </w:p>
        </w:tc>
        <w:tc>
          <w:tcPr>
            <w:tcW w:w="44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44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(in thousands):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53,291</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54,350</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53,938</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55,121</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(Unaudited)</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October 31, 2008</w:t>
            </w:r>
          </w:p>
        </w:tc>
        <w:tc>
          <w:tcPr>
            <w:tcW w:w="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July 31, 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178,792</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258,355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less allowance for losses ($9,066 and $10,059, respectively)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243,219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262,461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600"/>
              <w:spacing w:after="0" w:line="202" w:lineRule="exact"/>
              <w:rPr>
                <w:sz w:val="20"/>
                <w:szCs w:val="20"/>
                <w:color w:val="auto"/>
              </w:rPr>
            </w:pPr>
            <w:r>
              <w:rPr>
                <w:rFonts w:ascii="Arial" w:cs="Arial" w:eastAsia="Arial" w:hAnsi="Arial"/>
                <w:sz w:val="18"/>
                <w:szCs w:val="18"/>
                <w:color w:val="auto"/>
              </w:rPr>
              <w:t>Finished products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68,267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75,665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Work-in-process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21,586</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600"/>
              <w:spacing w:after="0" w:line="202" w:lineRule="exact"/>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40,852</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37,767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Total inventories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130,705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134,619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46,669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43,650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599,385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699,085</w:t>
            </w:r>
          </w:p>
        </w:tc>
        <w:tc>
          <w:tcPr>
            <w:tcW w:w="0" w:type="dxa"/>
            <w:vAlign w:val="bottom"/>
          </w:tcPr>
          <w:p>
            <w:pPr>
              <w:spacing w:after="0"/>
              <w:rPr>
                <w:sz w:val="1"/>
                <w:szCs w:val="1"/>
                <w:color w:val="auto"/>
              </w:rPr>
            </w:pPr>
          </w:p>
        </w:tc>
      </w:tr>
      <w:tr>
        <w:trPr>
          <w:trHeight w:val="40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724,072</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789,107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124,593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144,791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25,576</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25,943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17,820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21,381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other assets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892,061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981,222</w:t>
            </w:r>
          </w:p>
        </w:tc>
        <w:tc>
          <w:tcPr>
            <w:tcW w:w="0" w:type="dxa"/>
            <w:vAlign w:val="bottom"/>
          </w:tcPr>
          <w:p>
            <w:pPr>
              <w:spacing w:after="0"/>
              <w:rPr>
                <w:sz w:val="1"/>
                <w:szCs w:val="1"/>
                <w:color w:val="auto"/>
              </w:rPr>
            </w:pPr>
          </w:p>
        </w:tc>
      </w:tr>
      <w:tr>
        <w:trPr>
          <w:trHeight w:val="40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600"/>
              <w:spacing w:after="0" w:line="202" w:lineRule="exact"/>
              <w:rPr>
                <w:sz w:val="20"/>
                <w:szCs w:val="20"/>
                <w:color w:val="auto"/>
              </w:rPr>
            </w:pPr>
            <w:r>
              <w:rPr>
                <w:rFonts w:ascii="Arial" w:cs="Arial" w:eastAsia="Arial" w:hAnsi="Arial"/>
                <w:sz w:val="18"/>
                <w:szCs w:val="18"/>
                <w:color w:val="auto"/>
              </w:rPr>
              <w:t>Land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6,169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Buildings and improvements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92,509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98,646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600"/>
              <w:spacing w:after="0" w:line="202" w:lineRule="exact"/>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265,097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282,232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9,453</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373,228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393,408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216,891</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223,202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600" w:type="dxa"/>
            <w:vAlign w:val="bottom"/>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156,337</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1,647,783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1,850,513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3560"/>
              <w:spacing w:after="0"/>
              <w:rPr>
                <w:sz w:val="20"/>
                <w:szCs w:val="20"/>
                <w:color w:val="auto"/>
              </w:rPr>
            </w:pPr>
            <w:r>
              <w:rPr>
                <w:rFonts w:ascii="Arial" w:cs="Arial" w:eastAsia="Arial" w:hAnsi="Arial"/>
                <w:sz w:val="18"/>
                <w:szCs w:val="18"/>
                <w:b w:val="1"/>
                <w:bCs w:val="1"/>
                <w:color w:val="auto"/>
              </w:rPr>
              <w:t>LIABILITIES AND STOCKHOLDERS’ INVESTMENT</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109,083</w:t>
            </w:r>
          </w:p>
        </w:tc>
        <w:tc>
          <w:tcPr>
            <w:tcW w:w="6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118,209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52,396</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82,354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8,033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income taxes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13,764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49,365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54,810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Short-term borrowings and current maturities on long-term debt</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21,430</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600" w:type="dxa"/>
            <w:vAlign w:val="bottom"/>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254,071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308,561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Long-term obligations, less current maturities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457,143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457,143</w:t>
            </w:r>
          </w:p>
        </w:tc>
        <w:tc>
          <w:tcPr>
            <w:tcW w:w="0" w:type="dxa"/>
            <w:vAlign w:val="bottom"/>
          </w:tcPr>
          <w:p>
            <w:pPr>
              <w:spacing w:after="0"/>
              <w:rPr>
                <w:sz w:val="1"/>
                <w:szCs w:val="1"/>
                <w:color w:val="auto"/>
              </w:rPr>
            </w:pPr>
          </w:p>
        </w:tc>
      </w:tr>
      <w:tr>
        <w:trPr>
          <w:trHeight w:val="40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56,298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767,512</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828,705</w:t>
            </w:r>
          </w:p>
        </w:tc>
        <w:tc>
          <w:tcPr>
            <w:tcW w:w="0" w:type="dxa"/>
            <w:vAlign w:val="bottom"/>
          </w:tcPr>
          <w:p>
            <w:pPr>
              <w:spacing w:after="0"/>
              <w:rPr>
                <w:sz w:val="1"/>
                <w:szCs w:val="1"/>
                <w:color w:val="auto"/>
              </w:rPr>
            </w:pPr>
          </w:p>
        </w:tc>
      </w:tr>
      <w:tr>
        <w:trPr>
          <w:trHeight w:val="40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Stockholders’ investment: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400"/>
              <w:spacing w:after="0" w:line="201" w:lineRule="exact"/>
              <w:rPr>
                <w:sz w:val="20"/>
                <w:szCs w:val="20"/>
                <w:color w:val="auto"/>
              </w:rPr>
            </w:pPr>
            <w:r>
              <w:rPr>
                <w:rFonts w:ascii="Arial" w:cs="Arial" w:eastAsia="Arial" w:hAnsi="Arial"/>
                <w:sz w:val="18"/>
                <w:szCs w:val="18"/>
                <w:color w:val="auto"/>
              </w:rPr>
              <w:t>Class A Nonvoting common stock — Issued 51,261,487 and 51,261,487 shares, respectively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600"/>
              <w:spacing w:after="0" w:line="203" w:lineRule="exact"/>
              <w:rPr>
                <w:sz w:val="20"/>
                <w:szCs w:val="20"/>
                <w:color w:val="auto"/>
              </w:rPr>
            </w:pPr>
            <w:r>
              <w:rPr>
                <w:rFonts w:ascii="Arial" w:cs="Arial" w:eastAsia="Arial" w:hAnsi="Arial"/>
                <w:sz w:val="18"/>
                <w:szCs w:val="18"/>
                <w:color w:val="auto"/>
              </w:rPr>
              <w:t>and outstanding 48,926,466 and 50,005,296 shares, respectively</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Class B Voting common stock — Issued and outstanding, 3,538,628 shares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294,181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292,769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Earnings retained in the business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667,108</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639,059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200"/>
              <w:spacing w:after="0" w:line="201" w:lineRule="exact"/>
              <w:rPr>
                <w:sz w:val="20"/>
                <w:szCs w:val="20"/>
                <w:color w:val="auto"/>
              </w:rPr>
            </w:pPr>
            <w:r>
              <w:rPr>
                <w:rFonts w:ascii="Arial" w:cs="Arial" w:eastAsia="Arial" w:hAnsi="Arial"/>
                <w:sz w:val="18"/>
                <w:szCs w:val="18"/>
                <w:color w:val="auto"/>
              </w:rPr>
              <w:t>Treasury stock — 2,125,021 and 1,046,191 shares, respectively of Class A nonvoting common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(67,539)</w:t>
            </w:r>
          </w:p>
        </w:tc>
        <w:tc>
          <w:tcPr>
            <w:tcW w:w="100" w:type="dxa"/>
            <w:vAlign w:val="bottom"/>
          </w:tcPr>
          <w:p>
            <w:pPr>
              <w:spacing w:after="0"/>
              <w:rPr>
                <w:sz w:val="17"/>
                <w:szCs w:val="17"/>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(33,234)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400"/>
              <w:spacing w:after="0" w:line="203" w:lineRule="exact"/>
              <w:rPr>
                <w:sz w:val="20"/>
                <w:szCs w:val="20"/>
                <w:color w:val="auto"/>
              </w:rPr>
            </w:pPr>
            <w:r>
              <w:rPr>
                <w:rFonts w:ascii="Arial" w:cs="Arial" w:eastAsia="Arial" w:hAnsi="Arial"/>
                <w:sz w:val="18"/>
                <w:szCs w:val="18"/>
                <w:color w:val="auto"/>
              </w:rPr>
              <w:t>stock, at cost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(8,839)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128,161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(5,188)</w:t>
            </w:r>
          </w:p>
        </w:tc>
        <w:tc>
          <w:tcPr>
            <w:tcW w:w="10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(5,495)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b w:val="1"/>
                <w:bCs w:val="1"/>
                <w:color w:val="auto"/>
              </w:rPr>
              <w:t>Total stockholders’ investment</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880,271</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1,021,808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1,647,783</w:t>
            </w:r>
          </w:p>
        </w:tc>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1,850,513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27" w:right="239" w:bottom="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left="452"/>
              <w:spacing w:after="0"/>
              <w:rPr>
                <w:sz w:val="20"/>
                <w:szCs w:val="20"/>
                <w:color w:val="auto"/>
              </w:rPr>
            </w:pPr>
            <w:r>
              <w:rPr>
                <w:rFonts w:ascii="Arial" w:cs="Arial" w:eastAsia="Arial" w:hAnsi="Arial"/>
                <w:sz w:val="14"/>
                <w:szCs w:val="14"/>
                <w:color w:val="auto"/>
              </w:rPr>
              <w:t>(Unaudited)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2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left="452"/>
              <w:spacing w:after="0"/>
              <w:rPr>
                <w:sz w:val="20"/>
                <w:szCs w:val="20"/>
                <w:color w:val="auto"/>
              </w:rPr>
            </w:pPr>
            <w:r>
              <w:rPr>
                <w:rFonts w:ascii="Arial" w:cs="Arial" w:eastAsia="Arial" w:hAnsi="Arial"/>
                <w:sz w:val="14"/>
                <w:szCs w:val="14"/>
                <w:color w:val="auto"/>
              </w:rPr>
              <w:t>October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7" w:lineRule="exact"/>
              <w:rPr>
                <w:sz w:val="20"/>
                <w:szCs w:val="20"/>
                <w:color w:val="auto"/>
              </w:rPr>
            </w:pPr>
            <w:r>
              <w:rPr>
                <w:rFonts w:ascii="Arial" w:cs="Arial" w:eastAsia="Arial" w:hAnsi="Arial"/>
                <w:sz w:val="14"/>
                <w:szCs w:val="14"/>
                <w:color w:val="auto"/>
              </w:rPr>
              <w:t>2008</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37,110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13,712</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(198)</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(12,571)</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(10,880)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(10,360)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(8,147)</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(21,679)</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(13,278)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400"/>
              <w:spacing w:after="0" w:line="202" w:lineRule="exact"/>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(3,513)</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liabilities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rPr>
              <w:t>Net cash (used in) provided by operating activities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33,890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Payments of contingent consideration</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Sales of short-term investments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(6,429)</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1,300</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(5,129)</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405"/>
        </w:trPr>
        <w:tc>
          <w:tcPr>
            <w:tcW w:w="83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Payment of dividends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(9,061)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1,162</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200"/>
              <w:spacing w:after="0" w:line="202" w:lineRule="exact"/>
              <w:rPr>
                <w:sz w:val="20"/>
                <w:szCs w:val="20"/>
                <w:color w:val="auto"/>
              </w:rPr>
            </w:pPr>
            <w:r>
              <w:rPr>
                <w:rFonts w:ascii="Arial" w:cs="Arial" w:eastAsia="Arial" w:hAnsi="Arial"/>
                <w:sz w:val="18"/>
                <w:szCs w:val="18"/>
                <w:color w:val="auto"/>
              </w:rPr>
              <w:t>Purchase of treasury stock</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(36,508)</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benefit from the exercise of stock options and deferred compensation distributions</w:t>
            </w:r>
          </w:p>
        </w:tc>
        <w:tc>
          <w:tcPr>
            <w:tcW w:w="7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667</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(43,741)</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(25,972)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405"/>
        </w:trPr>
        <w:tc>
          <w:tcPr>
            <w:tcW w:w="838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(79,563)</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27,753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258,355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142,846</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178,792</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170,599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disclosures: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net of capitalized interest</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9,298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15,605</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3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Information by regional segment for the three months ended October 31, 2008 and 2007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color w:val="auto"/>
              </w:rPr>
              <w:t>Corporate</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color w:val="auto"/>
              </w:rPr>
              <w:t>and</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80" w:type="dxa"/>
            <w:vAlign w:val="bottom"/>
          </w:tcPr>
          <w:p>
            <w:pPr>
              <w:ind w:left="1060"/>
              <w:spacing w:after="0" w:line="157" w:lineRule="exact"/>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3"/>
                <w:szCs w:val="13"/>
                <w:color w:val="auto"/>
              </w:rPr>
            </w:pPr>
          </w:p>
        </w:tc>
        <w:tc>
          <w:tcPr>
            <w:tcW w:w="1060" w:type="dxa"/>
            <w:vAlign w:val="bottom"/>
          </w:tcPr>
          <w:p>
            <w:pPr>
              <w:jc w:val="right"/>
              <w:ind w:right="332"/>
              <w:spacing w:after="0" w:line="157" w:lineRule="exact"/>
              <w:rPr>
                <w:sz w:val="20"/>
                <w:szCs w:val="20"/>
                <w:color w:val="auto"/>
              </w:rPr>
            </w:pPr>
            <w:r>
              <w:rPr>
                <w:rFonts w:ascii="Arial" w:cs="Arial" w:eastAsia="Arial" w:hAnsi="Arial"/>
                <w:sz w:val="14"/>
                <w:szCs w:val="14"/>
                <w:color w:val="auto"/>
              </w:rPr>
              <w:t>Americas</w:t>
            </w:r>
          </w:p>
        </w:tc>
        <w:tc>
          <w:tcPr>
            <w:tcW w:w="340" w:type="dxa"/>
            <w:vAlign w:val="bottom"/>
          </w:tcPr>
          <w:p>
            <w:pPr>
              <w:spacing w:after="0"/>
              <w:rPr>
                <w:sz w:val="13"/>
                <w:szCs w:val="13"/>
                <w:color w:val="auto"/>
              </w:rPr>
            </w:pPr>
          </w:p>
        </w:tc>
        <w:tc>
          <w:tcPr>
            <w:tcW w:w="1060" w:type="dxa"/>
            <w:vAlign w:val="bottom"/>
          </w:tcPr>
          <w:p>
            <w:pPr>
              <w:jc w:val="right"/>
              <w:ind w:right="392"/>
              <w:spacing w:after="0" w:line="157" w:lineRule="exact"/>
              <w:rPr>
                <w:sz w:val="20"/>
                <w:szCs w:val="20"/>
                <w:color w:val="auto"/>
              </w:rPr>
            </w:pPr>
            <w:r>
              <w:rPr>
                <w:rFonts w:ascii="Arial" w:cs="Arial" w:eastAsia="Arial" w:hAnsi="Arial"/>
                <w:sz w:val="14"/>
                <w:szCs w:val="14"/>
                <w:color w:val="auto"/>
              </w:rPr>
              <w:t>Europe</w:t>
            </w:r>
          </w:p>
        </w:tc>
        <w:tc>
          <w:tcPr>
            <w:tcW w:w="1400" w:type="dxa"/>
            <w:vAlign w:val="bottom"/>
            <w:gridSpan w:val="2"/>
          </w:tcPr>
          <w:p>
            <w:pPr>
              <w:jc w:val="right"/>
              <w:ind w:right="250"/>
              <w:spacing w:after="0" w:line="157" w:lineRule="exact"/>
              <w:rPr>
                <w:sz w:val="20"/>
                <w:szCs w:val="20"/>
                <w:color w:val="auto"/>
              </w:rPr>
            </w:pPr>
            <w:r>
              <w:rPr>
                <w:rFonts w:ascii="Arial" w:cs="Arial" w:eastAsia="Arial" w:hAnsi="Arial"/>
                <w:sz w:val="14"/>
                <w:szCs w:val="14"/>
                <w:color w:val="auto"/>
              </w:rPr>
              <w:t>Asia-Pacific</w:t>
            </w:r>
          </w:p>
        </w:tc>
        <w:tc>
          <w:tcPr>
            <w:tcW w:w="360" w:type="dxa"/>
            <w:vAlign w:val="bottom"/>
          </w:tcPr>
          <w:p>
            <w:pPr>
              <w:spacing w:after="0"/>
              <w:rPr>
                <w:sz w:val="13"/>
                <w:szCs w:val="13"/>
                <w:color w:val="auto"/>
              </w:rPr>
            </w:pPr>
          </w:p>
        </w:tc>
        <w:tc>
          <w:tcPr>
            <w:tcW w:w="1060" w:type="dxa"/>
            <w:vAlign w:val="bottom"/>
          </w:tcPr>
          <w:p>
            <w:pPr>
              <w:jc w:val="right"/>
              <w:ind w:right="332"/>
              <w:spacing w:after="0" w:line="157" w:lineRule="exact"/>
              <w:rPr>
                <w:sz w:val="20"/>
                <w:szCs w:val="20"/>
                <w:color w:val="auto"/>
              </w:rPr>
            </w:pPr>
            <w:r>
              <w:rPr>
                <w:rFonts w:ascii="Arial" w:cs="Arial" w:eastAsia="Arial" w:hAnsi="Arial"/>
                <w:sz w:val="14"/>
                <w:szCs w:val="14"/>
                <w:color w:val="auto"/>
              </w:rPr>
              <w:t>Subtotals</w:t>
            </w:r>
          </w:p>
        </w:tc>
        <w:tc>
          <w:tcPr>
            <w:tcW w:w="1360" w:type="dxa"/>
            <w:vAlign w:val="bottom"/>
            <w:gridSpan w:val="3"/>
          </w:tcPr>
          <w:p>
            <w:pPr>
              <w:jc w:val="center"/>
              <w:ind w:right="60"/>
              <w:spacing w:after="0" w:line="157" w:lineRule="exact"/>
              <w:rPr>
                <w:sz w:val="20"/>
                <w:szCs w:val="20"/>
                <w:color w:val="auto"/>
              </w:rPr>
            </w:pPr>
            <w:r>
              <w:rPr>
                <w:rFonts w:ascii="Arial" w:cs="Arial" w:eastAsia="Arial" w:hAnsi="Arial"/>
                <w:sz w:val="14"/>
                <w:szCs w:val="14"/>
                <w:color w:val="auto"/>
              </w:rPr>
              <w:t>Eliminations</w:t>
            </w:r>
          </w:p>
        </w:tc>
        <w:tc>
          <w:tcPr>
            <w:tcW w:w="380" w:type="dxa"/>
            <w:vAlign w:val="bottom"/>
          </w:tcPr>
          <w:p>
            <w:pPr>
              <w:spacing w:after="0"/>
              <w:rPr>
                <w:sz w:val="13"/>
                <w:szCs w:val="13"/>
                <w:color w:val="auto"/>
              </w:rPr>
            </w:pPr>
          </w:p>
        </w:tc>
        <w:tc>
          <w:tcPr>
            <w:tcW w:w="86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8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SALES TO EXTERNAL</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October 31, 2008</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w w:val="98"/>
              </w:rPr>
              <w:t>160,916</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w w:val="98"/>
              </w:rPr>
              <w:t>108,215</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98"/>
              </w:rPr>
              <w:t>109,186</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w w:val="95"/>
              </w:rPr>
              <w:t>378,317</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
              <w:spacing w:after="0" w:line="202" w:lineRule="exact"/>
              <w:rPr>
                <w:sz w:val="20"/>
                <w:szCs w:val="20"/>
                <w:color w:val="auto"/>
              </w:rPr>
            </w:pPr>
            <w:r>
              <w:rPr>
                <w:rFonts w:ascii="Arial" w:cs="Arial" w:eastAsia="Arial" w:hAnsi="Arial"/>
                <w:sz w:val="18"/>
                <w:szCs w:val="18"/>
                <w:color w:val="auto"/>
              </w:rPr>
              <w:t>$378,317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October 31, 2007</w:t>
            </w:r>
          </w:p>
        </w:tc>
        <w:tc>
          <w:tcPr>
            <w:tcW w:w="34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Arial" w:cs="Arial" w:eastAsia="Arial" w:hAnsi="Arial"/>
                <w:sz w:val="18"/>
                <w:szCs w:val="18"/>
                <w:color w:val="auto"/>
                <w:w w:val="98"/>
              </w:rPr>
              <w:t>174,775</w:t>
            </w:r>
          </w:p>
        </w:tc>
        <w:tc>
          <w:tcPr>
            <w:tcW w:w="34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Arial" w:cs="Arial" w:eastAsia="Arial" w:hAnsi="Arial"/>
                <w:sz w:val="18"/>
                <w:szCs w:val="18"/>
                <w:color w:val="auto"/>
                <w:w w:val="98"/>
              </w:rPr>
              <w:t>108,914</w:t>
            </w:r>
          </w:p>
        </w:tc>
        <w:tc>
          <w:tcPr>
            <w:tcW w:w="34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96,445</w:t>
            </w:r>
          </w:p>
        </w:tc>
        <w:tc>
          <w:tcPr>
            <w:tcW w:w="36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color w:val="auto"/>
                <w:w w:val="95"/>
              </w:rPr>
              <w:t>380,134</w:t>
            </w:r>
          </w:p>
        </w:tc>
        <w:tc>
          <w:tcPr>
            <w:tcW w:w="3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380,134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SALES GROWTH INFORMATION</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Three months ended October 31,</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2008:</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Currency</w:t>
            </w:r>
          </w:p>
        </w:tc>
        <w:tc>
          <w:tcPr>
            <w:tcW w:w="340" w:type="dxa"/>
            <w:vAlign w:val="bottom"/>
          </w:tcPr>
          <w:p>
            <w:pPr>
              <w:spacing w:after="0"/>
              <w:rPr>
                <w:sz w:val="17"/>
                <w:szCs w:val="17"/>
                <w:color w:val="auto"/>
              </w:rPr>
            </w:pP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-0.3%</w:t>
            </w:r>
          </w:p>
        </w:tc>
        <w:tc>
          <w:tcPr>
            <w:tcW w:w="340" w:type="dxa"/>
            <w:vAlign w:val="bottom"/>
          </w:tcPr>
          <w:p>
            <w:pPr>
              <w:spacing w:after="0"/>
              <w:rPr>
                <w:sz w:val="17"/>
                <w:szCs w:val="17"/>
                <w:color w:val="auto"/>
              </w:rPr>
            </w:pP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-1.6%</w:t>
            </w:r>
          </w:p>
        </w:tc>
        <w:tc>
          <w:tcPr>
            <w:tcW w:w="340" w:type="dxa"/>
            <w:vAlign w:val="bottom"/>
          </w:tcPr>
          <w:p>
            <w:pPr>
              <w:spacing w:after="0"/>
              <w:rPr>
                <w:sz w:val="17"/>
                <w:szCs w:val="17"/>
                <w:color w:val="auto"/>
              </w:rPr>
            </w:pPr>
          </w:p>
        </w:tc>
        <w:tc>
          <w:tcPr>
            <w:tcW w:w="10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2.2%</w:t>
            </w:r>
          </w:p>
        </w:tc>
        <w:tc>
          <w:tcPr>
            <w:tcW w:w="360" w:type="dxa"/>
            <w:vAlign w:val="bottom"/>
          </w:tcPr>
          <w:p>
            <w:pPr>
              <w:spacing w:after="0"/>
              <w:rPr>
                <w:sz w:val="17"/>
                <w:szCs w:val="17"/>
                <w:color w:val="auto"/>
              </w:rPr>
            </w:pPr>
          </w:p>
        </w:tc>
        <w:tc>
          <w:tcPr>
            <w:tcW w:w="10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-0.1%</w:t>
            </w:r>
          </w:p>
        </w:tc>
        <w:tc>
          <w:tcPr>
            <w:tcW w:w="340" w:type="dxa"/>
            <w:vAlign w:val="bottom"/>
          </w:tcPr>
          <w:p>
            <w:pPr>
              <w:spacing w:after="0"/>
              <w:rPr>
                <w:sz w:val="17"/>
                <w:szCs w:val="17"/>
                <w:color w:val="auto"/>
              </w:rPr>
            </w:pPr>
          </w:p>
        </w:tc>
        <w:tc>
          <w:tcPr>
            <w:tcW w:w="10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tcPr>
          <w:p>
            <w:pPr>
              <w:ind w:left="40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SEGMENT PROFIT (LOSS)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October 31, 2008</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35,524</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31,138</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22,401</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89,063</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($2,307)</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2"/>
              <w:spacing w:after="0" w:line="202" w:lineRule="exact"/>
              <w:rPr>
                <w:sz w:val="20"/>
                <w:szCs w:val="20"/>
                <w:color w:val="auto"/>
              </w:rPr>
            </w:pPr>
            <w:r>
              <w:rPr>
                <w:rFonts w:ascii="Arial" w:cs="Arial" w:eastAsia="Arial" w:hAnsi="Arial"/>
                <w:sz w:val="18"/>
                <w:szCs w:val="18"/>
                <w:color w:val="auto"/>
              </w:rPr>
              <w:t>$ 86,756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October 31, 2007</w:t>
            </w:r>
          </w:p>
        </w:tc>
        <w:tc>
          <w:tcPr>
            <w:tcW w:w="340" w:type="dxa"/>
            <w:vAlign w:val="bottom"/>
          </w:tcPr>
          <w:p>
            <w:pPr>
              <w:spacing w:after="0"/>
              <w:rPr>
                <w:sz w:val="17"/>
                <w:szCs w:val="17"/>
                <w:color w:val="auto"/>
              </w:rPr>
            </w:pPr>
          </w:p>
        </w:tc>
        <w:tc>
          <w:tcPr>
            <w:tcW w:w="10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44,107</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29,900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19,390</w:t>
            </w:r>
          </w:p>
        </w:tc>
        <w:tc>
          <w:tcPr>
            <w:tcW w:w="360" w:type="dxa"/>
            <w:vAlign w:val="bottom"/>
          </w:tcPr>
          <w:p>
            <w:pPr>
              <w:spacing w:after="0"/>
              <w:rPr>
                <w:sz w:val="17"/>
                <w:szCs w:val="17"/>
                <w:color w:val="auto"/>
              </w:rPr>
            </w:pPr>
          </w:p>
        </w:tc>
        <w:tc>
          <w:tcPr>
            <w:tcW w:w="10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93,397</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($2,237)</w:t>
            </w:r>
          </w:p>
        </w:tc>
        <w:tc>
          <w:tcPr>
            <w:tcW w:w="280" w:type="dxa"/>
            <w:vAlign w:val="bottom"/>
          </w:tcPr>
          <w:p>
            <w:pPr>
              <w:spacing w:after="0"/>
              <w:rPr>
                <w:sz w:val="17"/>
                <w:szCs w:val="17"/>
                <w:color w:val="auto"/>
              </w:rPr>
            </w:pPr>
          </w:p>
        </w:tc>
        <w:tc>
          <w:tcPr>
            <w:tcW w:w="1140" w:type="dxa"/>
            <w:vAlign w:val="bottom"/>
            <w:gridSpan w:val="2"/>
          </w:tcPr>
          <w:p>
            <w:pPr>
              <w:jc w:val="right"/>
              <w:ind w:right="62"/>
              <w:spacing w:after="0" w:line="202" w:lineRule="exact"/>
              <w:rPr>
                <w:sz w:val="20"/>
                <w:szCs w:val="20"/>
                <w:color w:val="auto"/>
              </w:rPr>
            </w:pPr>
            <w:r>
              <w:rPr>
                <w:rFonts w:ascii="Arial" w:cs="Arial" w:eastAsia="Arial" w:hAnsi="Arial"/>
                <w:sz w:val="18"/>
                <w:szCs w:val="18"/>
                <w:color w:val="auto"/>
              </w:rPr>
              <w:t>91,160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i w:val="1"/>
                <w:iCs w:val="1"/>
                <w:color w:val="auto"/>
              </w:rPr>
              <w:t>Percentage increase (decrease)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-19.5%</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-4.6%</w:t>
            </w:r>
          </w:p>
        </w:tc>
        <w:tc>
          <w:tcPr>
            <w:tcW w:w="13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w:t>
            </w:r>
          </w:p>
        </w:tc>
        <w:tc>
          <w:tcPr>
            <w:tcW w:w="12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46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4"/>
                <w:szCs w:val="14"/>
                <w:color w:val="auto"/>
              </w:rPr>
              <w:t>October 31,</w:t>
            </w:r>
          </w:p>
        </w:tc>
        <w:tc>
          <w:tcPr>
            <w:tcW w:w="3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gridSpan w:val="2"/>
          </w:tcPr>
          <w:p>
            <w:pPr>
              <w:jc w:val="right"/>
              <w:ind w:right="134"/>
              <w:spacing w:after="0" w:line="157" w:lineRule="exact"/>
              <w:rPr>
                <w:sz w:val="20"/>
                <w:szCs w:val="20"/>
                <w:color w:val="auto"/>
              </w:rPr>
            </w:pPr>
            <w:r>
              <w:rPr>
                <w:rFonts w:ascii="Arial" w:cs="Arial" w:eastAsia="Arial" w:hAnsi="Arial"/>
                <w:sz w:val="14"/>
                <w:szCs w:val="14"/>
                <w:color w:val="auto"/>
              </w:rPr>
              <w:t>2008</w:t>
            </w:r>
          </w:p>
        </w:tc>
        <w:tc>
          <w:tcPr>
            <w:tcW w:w="280" w:type="dxa"/>
            <w:vAlign w:val="bottom"/>
          </w:tcPr>
          <w:p>
            <w:pPr>
              <w:spacing w:after="0"/>
              <w:rPr>
                <w:sz w:val="13"/>
                <w:szCs w:val="13"/>
                <w:color w:val="auto"/>
              </w:rPr>
            </w:pPr>
          </w:p>
        </w:tc>
        <w:tc>
          <w:tcPr>
            <w:tcW w:w="1140" w:type="dxa"/>
            <w:vAlign w:val="bottom"/>
            <w:gridSpan w:val="2"/>
          </w:tcPr>
          <w:p>
            <w:pPr>
              <w:jc w:val="right"/>
              <w:ind w:right="142"/>
              <w:spacing w:after="0" w:line="157"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profit for reportable segments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$ 89,063</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$ 93,397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Corporate and eliminations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(2,307)</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Administrative costs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(30,562)</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(32,822)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1,852</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(6,361)</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51,685</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51,736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(14,575)</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(15,366)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$ 37,110</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$ 36,370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5" w:name="page16"/>
    <w:bookmarkEnd w:id="15"/>
    <w:p>
      <w:pPr>
        <w:ind w:right="5540"/>
        <w:spacing w:after="0" w:line="271"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Fiscal 2008</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20" w:type="dxa"/>
            <w:vAlign w:val="bottom"/>
            <w:gridSpan w:val="2"/>
          </w:tcPr>
          <w:p>
            <w:pPr>
              <w:jc w:val="right"/>
              <w:ind w:right="960"/>
              <w:spacing w:after="0" w:line="155" w:lineRule="exact"/>
              <w:rPr>
                <w:sz w:val="20"/>
                <w:szCs w:val="20"/>
                <w:color w:val="auto"/>
              </w:rPr>
            </w:pPr>
            <w:r>
              <w:rPr>
                <w:rFonts w:ascii="Arial" w:cs="Arial" w:eastAsia="Arial" w:hAnsi="Arial"/>
                <w:sz w:val="14"/>
                <w:szCs w:val="14"/>
                <w:color w:val="auto"/>
              </w:rPr>
              <w:t>Q1</w:t>
            </w:r>
          </w:p>
        </w:tc>
        <w:tc>
          <w:tcPr>
            <w:tcW w:w="160" w:type="dxa"/>
            <w:vAlign w:val="bottom"/>
          </w:tcPr>
          <w:p>
            <w:pPr>
              <w:spacing w:after="0"/>
              <w:rPr>
                <w:sz w:val="13"/>
                <w:szCs w:val="13"/>
                <w:color w:val="auto"/>
              </w:rPr>
            </w:pPr>
          </w:p>
        </w:tc>
        <w:tc>
          <w:tcPr>
            <w:tcW w:w="8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Q2</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179"/>
              <w:spacing w:after="0" w:line="155" w:lineRule="exact"/>
              <w:rPr>
                <w:sz w:val="20"/>
                <w:szCs w:val="20"/>
                <w:color w:val="auto"/>
              </w:rPr>
            </w:pPr>
            <w:r>
              <w:rPr>
                <w:rFonts w:ascii="Arial" w:cs="Arial" w:eastAsia="Arial" w:hAnsi="Arial"/>
                <w:sz w:val="14"/>
                <w:szCs w:val="14"/>
                <w:color w:val="auto"/>
              </w:rPr>
              <w:t>Q3</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Q4</w:t>
            </w:r>
          </w:p>
        </w:tc>
        <w:tc>
          <w:tcPr>
            <w:tcW w:w="340" w:type="dxa"/>
            <w:vAlign w:val="bottom"/>
          </w:tcPr>
          <w:p>
            <w:pPr>
              <w:spacing w:after="0"/>
              <w:rPr>
                <w:sz w:val="13"/>
                <w:szCs w:val="13"/>
                <w:color w:val="auto"/>
              </w:rPr>
            </w:pPr>
          </w:p>
        </w:tc>
        <w:tc>
          <w:tcPr>
            <w:tcW w:w="78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1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8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260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$ 36,370</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$ 36,370</w:t>
            </w:r>
          </w:p>
        </w:tc>
      </w:tr>
      <w:tr>
        <w:trPr>
          <w:trHeight w:val="203"/>
        </w:trPr>
        <w:tc>
          <w:tcPr>
            <w:tcW w:w="3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260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6,720</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6,720</w:t>
            </w:r>
          </w:p>
        </w:tc>
      </w:tr>
      <w:tr>
        <w:trPr>
          <w:trHeight w:val="203"/>
        </w:trPr>
        <w:tc>
          <w:tcPr>
            <w:tcW w:w="398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260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15,366</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15,366</w:t>
            </w:r>
          </w:p>
        </w:tc>
      </w:tr>
      <w:tr>
        <w:trPr>
          <w:trHeight w:val="203"/>
        </w:trPr>
        <w:tc>
          <w:tcPr>
            <w:tcW w:w="3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7"/>
                <w:szCs w:val="17"/>
                <w:color w:val="auto"/>
              </w:rPr>
            </w:pPr>
          </w:p>
        </w:tc>
        <w:tc>
          <w:tcPr>
            <w:tcW w:w="1420" w:type="dxa"/>
            <w:vAlign w:val="bottom"/>
            <w:tcBorders>
              <w:bottom w:val="single" w:sz="8" w:color="auto"/>
            </w:tcBorders>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14,168</w:t>
            </w: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14,168</w:t>
            </w:r>
          </w:p>
        </w:tc>
      </w:tr>
      <w:tr>
        <w:trPr>
          <w:trHeight w:val="426"/>
        </w:trPr>
        <w:tc>
          <w:tcPr>
            <w:tcW w:w="398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2600" w:type="dxa"/>
            <w:vAlign w:val="bottom"/>
            <w:gridSpan w:val="3"/>
          </w:tcPr>
          <w:p>
            <w:pPr>
              <w:jc w:val="right"/>
              <w:ind w:right="720"/>
              <w:spacing w:after="0"/>
              <w:rPr>
                <w:sz w:val="20"/>
                <w:szCs w:val="20"/>
                <w:color w:val="auto"/>
              </w:rPr>
            </w:pPr>
            <w:r>
              <w:rPr>
                <w:rFonts w:ascii="Arial" w:cs="Arial" w:eastAsia="Arial" w:hAnsi="Arial"/>
                <w:sz w:val="18"/>
                <w:szCs w:val="18"/>
                <w:color w:val="auto"/>
              </w:rPr>
              <w:t>$ 72,624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$ 72,624</w:t>
            </w:r>
          </w:p>
        </w:tc>
      </w:tr>
      <w:tr>
        <w:trPr>
          <w:trHeight w:val="351"/>
        </w:trPr>
        <w:tc>
          <w:tcPr>
            <w:tcW w:w="3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Fiscal 2009</w:t>
            </w: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20" w:type="dxa"/>
            <w:vAlign w:val="bottom"/>
            <w:gridSpan w:val="2"/>
          </w:tcPr>
          <w:p>
            <w:pPr>
              <w:jc w:val="right"/>
              <w:ind w:right="960"/>
              <w:spacing w:after="0" w:line="155" w:lineRule="exact"/>
              <w:rPr>
                <w:sz w:val="20"/>
                <w:szCs w:val="20"/>
                <w:color w:val="auto"/>
              </w:rPr>
            </w:pPr>
            <w:r>
              <w:rPr>
                <w:rFonts w:ascii="Arial" w:cs="Arial" w:eastAsia="Arial" w:hAnsi="Arial"/>
                <w:sz w:val="14"/>
                <w:szCs w:val="14"/>
                <w:color w:val="auto"/>
              </w:rPr>
              <w:t>Q1</w:t>
            </w:r>
          </w:p>
        </w:tc>
        <w:tc>
          <w:tcPr>
            <w:tcW w:w="160" w:type="dxa"/>
            <w:vAlign w:val="bottom"/>
          </w:tcPr>
          <w:p>
            <w:pPr>
              <w:spacing w:after="0"/>
              <w:rPr>
                <w:sz w:val="13"/>
                <w:szCs w:val="13"/>
                <w:color w:val="auto"/>
              </w:rPr>
            </w:pPr>
          </w:p>
        </w:tc>
        <w:tc>
          <w:tcPr>
            <w:tcW w:w="8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Q2</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179"/>
              <w:spacing w:after="0" w:line="155" w:lineRule="exact"/>
              <w:rPr>
                <w:sz w:val="20"/>
                <w:szCs w:val="20"/>
                <w:color w:val="auto"/>
              </w:rPr>
            </w:pPr>
            <w:r>
              <w:rPr>
                <w:rFonts w:ascii="Arial" w:cs="Arial" w:eastAsia="Arial" w:hAnsi="Arial"/>
                <w:sz w:val="14"/>
                <w:szCs w:val="14"/>
                <w:color w:val="auto"/>
              </w:rPr>
              <w:t>Q3</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Q4</w:t>
            </w:r>
          </w:p>
        </w:tc>
        <w:tc>
          <w:tcPr>
            <w:tcW w:w="340" w:type="dxa"/>
            <w:vAlign w:val="bottom"/>
          </w:tcPr>
          <w:p>
            <w:pPr>
              <w:spacing w:after="0"/>
              <w:rPr>
                <w:sz w:val="13"/>
                <w:szCs w:val="13"/>
                <w:color w:val="auto"/>
              </w:rPr>
            </w:pPr>
          </w:p>
        </w:tc>
        <w:tc>
          <w:tcPr>
            <w:tcW w:w="78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1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8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260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$ 37,110</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$ 37,110</w:t>
            </w:r>
          </w:p>
        </w:tc>
      </w:tr>
      <w:tr>
        <w:trPr>
          <w:trHeight w:val="203"/>
        </w:trPr>
        <w:tc>
          <w:tcPr>
            <w:tcW w:w="3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260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6,361</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6,361</w:t>
            </w:r>
          </w:p>
        </w:tc>
      </w:tr>
      <w:tr>
        <w:trPr>
          <w:trHeight w:val="203"/>
        </w:trPr>
        <w:tc>
          <w:tcPr>
            <w:tcW w:w="398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260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14,575</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14,575</w:t>
            </w:r>
          </w:p>
        </w:tc>
      </w:tr>
      <w:tr>
        <w:trPr>
          <w:trHeight w:val="203"/>
        </w:trPr>
        <w:tc>
          <w:tcPr>
            <w:tcW w:w="3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7"/>
                <w:szCs w:val="17"/>
                <w:color w:val="auto"/>
              </w:rPr>
            </w:pPr>
          </w:p>
        </w:tc>
        <w:tc>
          <w:tcPr>
            <w:tcW w:w="1420" w:type="dxa"/>
            <w:vAlign w:val="bottom"/>
            <w:tcBorders>
              <w:bottom w:val="single" w:sz="8" w:color="auto"/>
            </w:tcBorders>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13,712</w:t>
            </w: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13,712</w:t>
            </w:r>
          </w:p>
        </w:tc>
      </w:tr>
      <w:tr>
        <w:trPr>
          <w:trHeight w:val="426"/>
        </w:trPr>
        <w:tc>
          <w:tcPr>
            <w:tcW w:w="398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2600" w:type="dxa"/>
            <w:vAlign w:val="bottom"/>
            <w:gridSpan w:val="3"/>
          </w:tcPr>
          <w:p>
            <w:pPr>
              <w:jc w:val="right"/>
              <w:ind w:right="720"/>
              <w:spacing w:after="0"/>
              <w:rPr>
                <w:sz w:val="20"/>
                <w:szCs w:val="20"/>
                <w:color w:val="auto"/>
              </w:rPr>
            </w:pPr>
            <w:r>
              <w:rPr>
                <w:rFonts w:ascii="Arial" w:cs="Arial" w:eastAsia="Arial" w:hAnsi="Arial"/>
                <w:sz w:val="18"/>
                <w:szCs w:val="18"/>
                <w:color w:val="auto"/>
              </w:rPr>
              <w:t>$ 71,758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$ 71,758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00" w:hanging="452"/>
        <w:spacing w:after="0" w:line="23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14"/>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5"/>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3"/>
    </w:lvl>
  </w:abstractNum>
  <w:abstractNum w:abstractNumId="4">
    <w:nsid w:val="3D1B58BA"/>
    <w:multiLevelType w:val="hybridMultilevel"/>
    <w:lvl w:ilvl="0">
      <w:lvlJc w:val="left"/>
      <w:lvlText w:val="%1."/>
      <w:numFmt w:val="decimal"/>
      <w:start w:val="6"/>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2019-12-13T14:19:46Z</dcterms:created>
  <dcterms:modified xsi:type="dcterms:W3CDTF">2019-12-13T14:19:46Z</dcterms:modified>
</cp:coreProperties>
</file>