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460" w:right="179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April 30, 2010</w:t>
      </w:r>
    </w:p>
    <w:p>
      <w:pPr>
        <w:spacing w:after="0" w:line="18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460"/>
        <w:spacing w:after="0"/>
        <w:tabs>
          <w:tab w:leader="none" w:pos="4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1-14959</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20" w:type="dxa"/>
            <w:vAlign w:val="bottom"/>
          </w:tcPr>
          <w:p>
            <w:pPr>
              <w:ind w:left="1820"/>
              <w:spacing w:after="0"/>
              <w:rPr>
                <w:sz w:val="20"/>
                <w:szCs w:val="20"/>
                <w:color w:val="auto"/>
              </w:rPr>
            </w:pPr>
            <w:r>
              <w:rPr>
                <w:rFonts w:ascii="Arial" w:cs="Arial" w:eastAsia="Arial" w:hAnsi="Arial"/>
                <w:sz w:val="18"/>
                <w:szCs w:val="18"/>
                <w:b w:val="1"/>
                <w:bCs w:val="1"/>
                <w:color w:val="auto"/>
              </w:rPr>
              <w:t>Wisconsin</w:t>
            </w:r>
          </w:p>
        </w:tc>
        <w:tc>
          <w:tcPr>
            <w:tcW w:w="490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1"/>
              </w:rPr>
              <w:t>39-0178960</w:t>
            </w:r>
          </w:p>
        </w:tc>
      </w:tr>
      <w:tr>
        <w:trPr>
          <w:trHeight w:val="209"/>
        </w:trPr>
        <w:tc>
          <w:tcPr>
            <w:tcW w:w="442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(State or other jurisdiction of</w:t>
            </w:r>
          </w:p>
        </w:tc>
        <w:tc>
          <w:tcPr>
            <w:tcW w:w="460" w:type="dxa"/>
            <w:vAlign w:val="bottom"/>
          </w:tcPr>
          <w:p>
            <w:pPr>
              <w:spacing w:after="0"/>
              <w:rPr>
                <w:sz w:val="18"/>
                <w:szCs w:val="18"/>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tcPr>
          <w:p>
            <w:pPr>
              <w:ind w:left="1120"/>
              <w:spacing w:after="0"/>
              <w:rPr>
                <w:sz w:val="20"/>
                <w:szCs w:val="20"/>
                <w:color w:val="auto"/>
              </w:rPr>
            </w:pPr>
            <w:r>
              <w:rPr>
                <w:rFonts w:ascii="Arial" w:cs="Arial" w:eastAsia="Arial" w:hAnsi="Arial"/>
                <w:sz w:val="18"/>
                <w:szCs w:val="18"/>
                <w:color w:val="auto"/>
              </w:rPr>
              <w:t>incorporation or organization)</w:t>
            </w:r>
          </w:p>
        </w:tc>
        <w:tc>
          <w:tcPr>
            <w:tcW w:w="4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6555 West Good Hope Road, Milwaukee, Wisconsin 53223</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(Zip Code)</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(414) 358-6600</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0"/>
          <w:szCs w:val="20"/>
          <w:color w:val="auto"/>
        </w:rPr>
      </w:pPr>
    </w:p>
    <w:p>
      <w:pPr>
        <w:jc w:val="both"/>
        <w:ind w:left="340" w:right="55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5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4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49" w:lineRule="exact"/>
        <w:rPr>
          <w:sz w:val="20"/>
          <w:szCs w:val="20"/>
          <w:color w:val="auto"/>
        </w:rPr>
      </w:pPr>
    </w:p>
    <w:p>
      <w:pPr>
        <w:ind w:left="340"/>
        <w:spacing w:after="0" w:line="207" w:lineRule="exact"/>
        <w:tabs>
          <w:tab w:leader="none" w:pos="3040" w:val="left"/>
          <w:tab w:leader="none" w:pos="5240" w:val="left"/>
          <w:tab w:leader="none" w:pos="74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85" w:lineRule="exact"/>
        <w:rPr>
          <w:sz w:val="20"/>
          <w:szCs w:val="20"/>
          <w:color w:val="auto"/>
        </w:rPr>
      </w:pPr>
    </w:p>
    <w:p>
      <w:pPr>
        <w:jc w:val="center"/>
        <w:ind w:right="479"/>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24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APPLICABLE ONLY TO CORPORATE ISSUERS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9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As of May 31, 2010, there were outstanding 48,965,216 shares of Class A Nonvoting Common Stock and 3,538,628 shares of Class B Voting Common Stock. The Class B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115570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132715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791210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color w:val="auto"/>
        </w:rPr>
        <w:t>FORM 10-Q</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gridSpan w:val="8"/>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 Financial Information</w:t>
              </w:r>
            </w:hyperlink>
          </w:p>
        </w:tc>
        <w:tc>
          <w:tcPr>
            <w:tcW w:w="6120" w:type="dxa"/>
            <w:vAlign w:val="bottom"/>
            <w:gridSpan w:val="9"/>
            <w:vMerge w:val="restart"/>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2200" w:type="dxa"/>
            <w:vAlign w:val="bottom"/>
            <w:tcBorders>
              <w:bottom w:val="single" w:sz="8" w:color="0000EE"/>
            </w:tcBorders>
            <w:gridSpan w:val="8"/>
            <w:vMerge w:val="continue"/>
          </w:tcPr>
          <w:p>
            <w:pPr>
              <w:spacing w:after="0"/>
              <w:rPr>
                <w:sz w:val="14"/>
                <w:szCs w:val="14"/>
                <w:color w:val="auto"/>
              </w:rPr>
            </w:pPr>
          </w:p>
        </w:tc>
        <w:tc>
          <w:tcPr>
            <w:tcW w:w="6120" w:type="dxa"/>
            <w:vAlign w:val="bottom"/>
            <w:gridSpan w:val="9"/>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 (Unaudited)</w:t>
              </w:r>
            </w:hyperlink>
          </w:p>
        </w:tc>
        <w:tc>
          <w:tcPr>
            <w:tcW w:w="514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498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2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420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92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tcPr>
          <w:p>
            <w:pPr>
              <w:jc w:val="cente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7600" w:type="dxa"/>
            <w:vAlign w:val="bottom"/>
            <w:gridSpan w:val="13"/>
          </w:tcPr>
          <w:p>
            <w:pPr>
              <w:ind w:left="40"/>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0000EE"/>
            </w:tcBorders>
            <w:gridSpan w:val="2"/>
          </w:tcPr>
          <w:p>
            <w:pPr>
              <w:jc w:val="cente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6480" w:type="dxa"/>
            <w:vAlign w:val="bottom"/>
            <w:tcBorders>
              <w:top w:val="single" w:sz="8" w:color="0000EE"/>
            </w:tcBorders>
            <w:gridSpan w:val="12"/>
          </w:tcPr>
          <w:p>
            <w:pPr>
              <w:ind w:left="40"/>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1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0000EE"/>
            </w:tcBorders>
            <w:gridSpan w:val="2"/>
          </w:tcPr>
          <w:p>
            <w:pPr>
              <w:jc w:val="cente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4380" w:type="dxa"/>
            <w:vAlign w:val="bottom"/>
            <w:tcBorders>
              <w:top w:val="single" w:sz="8" w:color="0000EE"/>
            </w:tcBorders>
            <w:gridSpan w:val="11"/>
          </w:tcPr>
          <w:p>
            <w:pPr>
              <w:ind w:left="40"/>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322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PART II. Other Information</w:t>
              </w:r>
            </w:hyperlink>
          </w:p>
        </w:tc>
        <w:tc>
          <w:tcPr>
            <w:tcW w:w="6320" w:type="dxa"/>
            <w:vAlign w:val="bottom"/>
            <w:gridSpan w:val="10"/>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2"/>
          </w:tcPr>
          <w:p>
            <w:pPr>
              <w:jc w:val="cente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640" w:type="dxa"/>
            <w:vAlign w:val="bottom"/>
            <w:tcBorders>
              <w:bottom w:val="single" w:sz="8" w:color="0000EE"/>
            </w:tcBorders>
            <w:gridSpan w:val="2"/>
          </w:tcPr>
          <w:p>
            <w:pPr>
              <w:ind w:left="40"/>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6960" w:type="dxa"/>
            <w:vAlign w:val="bottom"/>
            <w:gridSpan w:val="1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280" w:type="dxa"/>
            <w:vAlign w:val="bottom"/>
            <w:gridSpan w:val="16"/>
          </w:tcPr>
          <w:p>
            <w:pPr>
              <w:jc w:val="center"/>
              <w:ind w:right="7420"/>
              <w:spacing w:after="0"/>
              <w:rPr>
                <w:sz w:val="20"/>
                <w:szCs w:val="20"/>
                <w:color w:val="auto"/>
              </w:rPr>
            </w:pPr>
            <w:r>
              <w:rPr>
                <w:rFonts w:ascii="Arial" w:cs="Arial" w:eastAsia="Arial" w:hAnsi="Arial"/>
                <w:sz w:val="18"/>
                <w:szCs w:val="18"/>
                <w:color w:val="0000EE"/>
                <w:w w:val="91"/>
              </w:rPr>
              <w:t>Exhibit 31.1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742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280" w:type="dxa"/>
            <w:vAlign w:val="bottom"/>
            <w:gridSpan w:val="16"/>
          </w:tcPr>
          <w:p>
            <w:pPr>
              <w:jc w:val="center"/>
              <w:ind w:right="7420"/>
              <w:spacing w:after="0" w:line="196" w:lineRule="exact"/>
              <w:rPr>
                <w:sz w:val="20"/>
                <w:szCs w:val="20"/>
                <w:color w:val="auto"/>
              </w:rPr>
            </w:pPr>
            <w:r>
              <w:rPr>
                <w:rFonts w:ascii="Arial" w:cs="Arial" w:eastAsia="Arial" w:hAnsi="Arial"/>
                <w:sz w:val="18"/>
                <w:szCs w:val="18"/>
                <w:color w:val="0000EE"/>
                <w:w w:val="91"/>
              </w:rPr>
              <w:t>Exhibit 31.2</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648335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PART I. FINANCIAL INFORMATION</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ITEM 1. FINANCIAL STATEMENTS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3"/>
        </w:trPr>
        <w:tc>
          <w:tcPr>
            <w:tcW w:w="34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BRADY CORPORATION AND SUBSIDIARIES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34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8"/>
                <w:szCs w:val="18"/>
                <w:b w:val="1"/>
                <w:bCs w:val="1"/>
                <w:color w:val="auto"/>
              </w:rPr>
              <w:t>April 30, 2010</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5"/>
              </w:rPr>
              <w:t>July 31, 2009</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(Unaudited)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0" w:type="dxa"/>
            <w:vAlign w:val="bottom"/>
            <w:shd w:val="clear" w:color="auto" w:fill="CCEEFF"/>
          </w:tcPr>
          <w:p>
            <w:pPr>
              <w:jc w:val="center"/>
              <w:ind w:right="1210"/>
              <w:spacing w:after="0"/>
              <w:rPr>
                <w:sz w:val="20"/>
                <w:szCs w:val="20"/>
                <w:color w:val="auto"/>
              </w:rPr>
            </w:pPr>
            <w:r>
              <w:rPr>
                <w:rFonts w:ascii="Arial" w:cs="Arial" w:eastAsia="Arial" w:hAnsi="Arial"/>
                <w:sz w:val="18"/>
                <w:szCs w:val="18"/>
                <w:b w:val="1"/>
                <w:bCs w:val="1"/>
                <w:color w:val="auto"/>
                <w:w w:val="91"/>
              </w:rPr>
              <w:t>ASSETS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207,106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188,156</w:t>
            </w: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Accounts receivable, less allowance for losses ($7,649 and $7,931, respectively)</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210,778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191,189</w:t>
            </w: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ind w:left="400"/>
              <w:spacing w:after="0"/>
              <w:rPr>
                <w:sz w:val="20"/>
                <w:szCs w:val="20"/>
                <w:color w:val="auto"/>
              </w:rPr>
            </w:pPr>
            <w:r>
              <w:rPr>
                <w:rFonts w:ascii="Arial" w:cs="Arial" w:eastAsia="Arial" w:hAnsi="Arial"/>
                <w:sz w:val="18"/>
                <w:szCs w:val="18"/>
                <w:color w:val="auto"/>
              </w:rPr>
              <w:t>Finished products</w:t>
            </w:r>
          </w:p>
        </w:tc>
        <w:tc>
          <w:tcPr>
            <w:tcW w:w="22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52,325</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53,244</w:t>
            </w: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Work-in-process</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14,131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13,159</w:t>
            </w:r>
          </w:p>
        </w:tc>
      </w:tr>
      <w:tr>
        <w:trPr>
          <w:trHeight w:val="216"/>
        </w:trPr>
        <w:tc>
          <w:tcPr>
            <w:tcW w:w="340" w:type="dxa"/>
            <w:vAlign w:val="bottom"/>
          </w:tcPr>
          <w:p>
            <w:pPr>
              <w:spacing w:after="0"/>
              <w:rPr>
                <w:sz w:val="18"/>
                <w:szCs w:val="18"/>
                <w:color w:val="auto"/>
              </w:rPr>
            </w:pPr>
          </w:p>
        </w:tc>
        <w:tc>
          <w:tcPr>
            <w:tcW w:w="6820" w:type="dxa"/>
            <w:vAlign w:val="bottom"/>
            <w:gridSpan w:val="2"/>
          </w:tcPr>
          <w:p>
            <w:pPr>
              <w:ind w:left="400"/>
              <w:spacing w:after="0"/>
              <w:rPr>
                <w:sz w:val="20"/>
                <w:szCs w:val="20"/>
                <w:color w:val="auto"/>
              </w:rPr>
            </w:pPr>
            <w:r>
              <w:rPr>
                <w:rFonts w:ascii="Arial" w:cs="Arial" w:eastAsia="Arial" w:hAnsi="Arial"/>
                <w:sz w:val="18"/>
                <w:szCs w:val="18"/>
                <w:color w:val="auto"/>
              </w:rPr>
              <w:t>Raw materials and supplies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25,582</w:t>
            </w:r>
          </w:p>
        </w:tc>
        <w:tc>
          <w:tcPr>
            <w:tcW w:w="3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27,405</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inventories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92,038</w:t>
            </w:r>
          </w:p>
        </w:tc>
        <w:tc>
          <w:tcPr>
            <w:tcW w:w="3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93,808</w:t>
            </w: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41,171</w:t>
            </w:r>
          </w:p>
        </w:tc>
        <w:tc>
          <w:tcPr>
            <w:tcW w:w="3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36,274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551,093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509,427</w:t>
            </w:r>
          </w:p>
        </w:tc>
      </w:tr>
      <w:tr>
        <w:trPr>
          <w:trHeight w:val="216"/>
        </w:trPr>
        <w:tc>
          <w:tcPr>
            <w:tcW w:w="34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771,926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751,173</w:t>
            </w: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Other intangible assets</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108,992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115,754</w:t>
            </w: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37,259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36,374</w:t>
            </w: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20,853</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18,551</w:t>
            </w: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6,335</w:t>
            </w:r>
          </w:p>
        </w:tc>
      </w:tr>
      <w:tr>
        <w:trPr>
          <w:trHeight w:val="216"/>
        </w:trPr>
        <w:tc>
          <w:tcPr>
            <w:tcW w:w="340" w:type="dxa"/>
            <w:vAlign w:val="bottom"/>
          </w:tcPr>
          <w:p>
            <w:pPr>
              <w:spacing w:after="0"/>
              <w:rPr>
                <w:sz w:val="18"/>
                <w:szCs w:val="18"/>
                <w:color w:val="auto"/>
              </w:rPr>
            </w:pPr>
          </w:p>
        </w:tc>
        <w:tc>
          <w:tcPr>
            <w:tcW w:w="6820" w:type="dxa"/>
            <w:vAlign w:val="bottom"/>
            <w:gridSpan w:val="2"/>
          </w:tcPr>
          <w:p>
            <w:pPr>
              <w:ind w:left="400"/>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98,983</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96,968</w:t>
            </w: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288,961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283,301</w:t>
            </w:r>
          </w:p>
        </w:tc>
      </w:tr>
      <w:tr>
        <w:trPr>
          <w:trHeight w:val="216"/>
        </w:trPr>
        <w:tc>
          <w:tcPr>
            <w:tcW w:w="340" w:type="dxa"/>
            <w:vAlign w:val="bottom"/>
          </w:tcPr>
          <w:p>
            <w:pPr>
              <w:spacing w:after="0"/>
              <w:rPr>
                <w:sz w:val="18"/>
                <w:szCs w:val="18"/>
                <w:color w:val="auto"/>
              </w:rPr>
            </w:pPr>
          </w:p>
        </w:tc>
        <w:tc>
          <w:tcPr>
            <w:tcW w:w="6820" w:type="dxa"/>
            <w:vAlign w:val="bottom"/>
            <w:gridSpan w:val="2"/>
          </w:tcPr>
          <w:p>
            <w:pPr>
              <w:ind w:left="40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11,715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7,869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405,946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394,473</w:t>
            </w: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256,371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242,485</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Net property, plant and equipment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149,575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151,988</w:t>
            </w:r>
          </w:p>
        </w:tc>
      </w:tr>
      <w:tr>
        <w:trPr>
          <w:trHeight w:val="223"/>
        </w:trPr>
        <w:tc>
          <w:tcPr>
            <w:tcW w:w="34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1,639,698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1,583,267</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0" w:type="dxa"/>
            <w:vAlign w:val="bottom"/>
            <w:shd w:val="clear" w:color="auto" w:fill="CCEEFF"/>
          </w:tcPr>
          <w:p>
            <w:pPr>
              <w:jc w:val="center"/>
              <w:ind w:right="1210"/>
              <w:spacing w:after="0"/>
              <w:rPr>
                <w:sz w:val="20"/>
                <w:szCs w:val="20"/>
                <w:color w:val="auto"/>
              </w:rPr>
            </w:pPr>
            <w:r>
              <w:rPr>
                <w:rFonts w:ascii="Arial" w:cs="Arial" w:eastAsia="Arial" w:hAnsi="Arial"/>
                <w:sz w:val="18"/>
                <w:szCs w:val="18"/>
                <w:b w:val="1"/>
                <w:bCs w:val="1"/>
                <w:color w:val="auto"/>
              </w:rPr>
              <w:t>LIABILITIES AND STOCKHOLDERS’ INVESTMENT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83,218</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83,793</w:t>
            </w: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22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63,539</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36,313</w:t>
            </w: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6,262</w:t>
            </w: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Accrued income taxes</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5,615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5,964</w:t>
            </w: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47,321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45,247</w:t>
            </w: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Current maturities on long-term obligations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61,264</w:t>
            </w:r>
          </w:p>
        </w:tc>
        <w:tc>
          <w:tcPr>
            <w:tcW w:w="3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44,893</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222,472</w:t>
            </w:r>
          </w:p>
        </w:tc>
      </w:tr>
      <w:tr>
        <w:trPr>
          <w:trHeight w:val="216"/>
        </w:trPr>
        <w:tc>
          <w:tcPr>
            <w:tcW w:w="34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303,943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346,457</w:t>
            </w: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67,061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63,246</w:t>
            </w:r>
          </w:p>
        </w:tc>
      </w:tr>
      <w:tr>
        <w:trPr>
          <w:trHeight w:val="223"/>
        </w:trPr>
        <w:tc>
          <w:tcPr>
            <w:tcW w:w="340" w:type="dxa"/>
            <w:vAlign w:val="bottom"/>
          </w:tcPr>
          <w:p>
            <w:pPr>
              <w:spacing w:after="0"/>
              <w:rPr>
                <w:sz w:val="19"/>
                <w:szCs w:val="19"/>
                <w:color w:val="auto"/>
              </w:rPr>
            </w:pPr>
          </w:p>
        </w:tc>
        <w:tc>
          <w:tcPr>
            <w:tcW w:w="682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640,604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632,175</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8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Class A nonvoting common stock — Issued 51,261,487 and 51,261,487 shares,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820" w:type="dxa"/>
            <w:vAlign w:val="bottom"/>
            <w:gridSpan w:val="2"/>
          </w:tcPr>
          <w:p>
            <w:pPr>
              <w:ind w:left="400"/>
              <w:spacing w:after="0"/>
              <w:rPr>
                <w:sz w:val="20"/>
                <w:szCs w:val="20"/>
                <w:color w:val="auto"/>
              </w:rPr>
            </w:pPr>
            <w:r>
              <w:rPr>
                <w:rFonts w:ascii="Arial" w:cs="Arial" w:eastAsia="Arial" w:hAnsi="Arial"/>
                <w:sz w:val="18"/>
                <w:szCs w:val="18"/>
                <w:color w:val="auto"/>
              </w:rPr>
              <w:t>respectively and outstanding 48,943,143 and 48,780,560 shares, respectively</w:t>
            </w:r>
          </w:p>
        </w:tc>
        <w:tc>
          <w:tcPr>
            <w:tcW w:w="220" w:type="dxa"/>
            <w:vAlign w:val="bottom"/>
          </w:tcPr>
          <w:p>
            <w:pPr>
              <w:spacing w:after="0"/>
              <w:rPr>
                <w:sz w:val="20"/>
                <w:szCs w:val="20"/>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513</w:t>
            </w: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303,422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298,466</w:t>
            </w: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Earnings retained in the business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706,146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673,342</w:t>
            </w:r>
          </w:p>
        </w:tc>
      </w:tr>
      <w:tr>
        <w:trPr>
          <w:trHeight w:val="202"/>
        </w:trPr>
        <w:tc>
          <w:tcPr>
            <w:tcW w:w="340" w:type="dxa"/>
            <w:vAlign w:val="bottom"/>
          </w:tcPr>
          <w:p>
            <w:pPr>
              <w:spacing w:after="0"/>
              <w:rPr>
                <w:sz w:val="17"/>
                <w:szCs w:val="17"/>
                <w:color w:val="auto"/>
              </w:rPr>
            </w:pPr>
          </w:p>
        </w:tc>
        <w:tc>
          <w:tcPr>
            <w:tcW w:w="68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Treasury stock — 2,108,339 and 2,270,927 shares, of Class A nonvoting common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820" w:type="dxa"/>
            <w:vAlign w:val="bottom"/>
            <w:gridSpan w:val="2"/>
          </w:tcPr>
          <w:p>
            <w:pPr>
              <w:ind w:left="400"/>
              <w:spacing w:after="0"/>
              <w:rPr>
                <w:sz w:val="20"/>
                <w:szCs w:val="20"/>
                <w:color w:val="auto"/>
              </w:rPr>
            </w:pPr>
            <w:r>
              <w:rPr>
                <w:rFonts w:ascii="Arial" w:cs="Arial" w:eastAsia="Arial" w:hAnsi="Arial"/>
                <w:sz w:val="18"/>
                <w:szCs w:val="18"/>
                <w:color w:val="auto"/>
              </w:rPr>
              <w:t>stock, at cost</w:t>
            </w:r>
          </w:p>
        </w:tc>
        <w:tc>
          <w:tcPr>
            <w:tcW w:w="220" w:type="dxa"/>
            <w:vAlign w:val="bottom"/>
          </w:tcPr>
          <w:p>
            <w:pPr>
              <w:spacing w:after="0"/>
              <w:rPr>
                <w:sz w:val="20"/>
                <w:szCs w:val="20"/>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(64,844)</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(69,823)</w:t>
            </w: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56,998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53,051</w:t>
            </w: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(3,176)</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(4,492)</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stockholders’ investment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999,094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951,092</w:t>
            </w:r>
          </w:p>
        </w:tc>
      </w:tr>
      <w:tr>
        <w:trPr>
          <w:trHeight w:val="223"/>
        </w:trPr>
        <w:tc>
          <w:tcPr>
            <w:tcW w:w="34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1,639,698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1,583,267</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19"/>
          </w:cols>
          <w:pgMar w:left="240" w:top="405" w:right="1440" w:bottom="942"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942"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 Except Per Share Amounts)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8"/>
          </w:tcPr>
          <w:p>
            <w:pPr>
              <w:jc w:val="center"/>
              <w:ind w:right="500"/>
              <w:spacing w:after="0"/>
              <w:rPr>
                <w:sz w:val="20"/>
                <w:szCs w:val="20"/>
                <w:color w:val="auto"/>
              </w:rPr>
            </w:pPr>
            <w:r>
              <w:rPr>
                <w:rFonts w:ascii="Arial" w:cs="Arial" w:eastAsia="Arial" w:hAnsi="Arial"/>
                <w:sz w:val="18"/>
                <w:szCs w:val="18"/>
                <w:color w:val="auto"/>
                <w:w w:val="92"/>
              </w:rPr>
              <w:t>Three Months Ended April 30,</w:t>
            </w:r>
          </w:p>
        </w:tc>
        <w:tc>
          <w:tcPr>
            <w:tcW w:w="140" w:type="dxa"/>
            <w:vAlign w:val="bottom"/>
          </w:tcPr>
          <w:p>
            <w:pPr>
              <w:spacing w:after="0"/>
              <w:rPr>
                <w:sz w:val="18"/>
                <w:szCs w:val="18"/>
                <w:color w:val="auto"/>
              </w:rPr>
            </w:pPr>
          </w:p>
        </w:tc>
        <w:tc>
          <w:tcPr>
            <w:tcW w:w="2860" w:type="dxa"/>
            <w:vAlign w:val="bottom"/>
            <w:gridSpan w:val="8"/>
          </w:tcPr>
          <w:p>
            <w:pPr>
              <w:jc w:val="center"/>
              <w:ind w:right="340"/>
              <w:spacing w:after="0"/>
              <w:rPr>
                <w:sz w:val="20"/>
                <w:szCs w:val="20"/>
                <w:color w:val="auto"/>
              </w:rPr>
            </w:pPr>
            <w:r>
              <w:rPr>
                <w:rFonts w:ascii="Arial" w:cs="Arial" w:eastAsia="Arial" w:hAnsi="Arial"/>
                <w:sz w:val="18"/>
                <w:szCs w:val="18"/>
                <w:color w:val="auto"/>
                <w:w w:val="94"/>
              </w:rPr>
              <w:t>Nine Months Ended April 30,</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color w:val="auto"/>
                <w:w w:val="93"/>
              </w:rPr>
              <w:t>(Unaudited)</w:t>
            </w:r>
          </w:p>
        </w:tc>
        <w:tc>
          <w:tcPr>
            <w:tcW w:w="7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93"/>
              </w:rPr>
              <w:t>(Unaudited)</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w w:val="84"/>
              </w:rPr>
              <w:t>Percentage</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w w:val="84"/>
              </w:rPr>
              <w:t>Percentage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2009</w:t>
            </w:r>
          </w:p>
        </w:tc>
        <w:tc>
          <w:tcPr>
            <w:tcW w:w="2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2009</w:t>
            </w:r>
          </w:p>
        </w:tc>
        <w:tc>
          <w:tcPr>
            <w:tcW w:w="2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321,887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276,733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936,202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921,499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Cost of products sold</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161,690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142,560</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471,644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480,038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160,197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134,173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464,558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441,461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7,766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25,325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31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111,227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94,906</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328,638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302,776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Restructuring charge — (See Note L)</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4"/>
        </w:trPr>
        <w:tc>
          <w:tcPr>
            <w:tcW w:w="3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124,283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104,901</w:t>
            </w: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18.5%</w:t>
            </w: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369,185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351,377</w:t>
            </w: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5"/>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29,272</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90,084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 — net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989</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31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(5,147)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(6,307)</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(15,472)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(18,982)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23,954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72,245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7,193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5,994</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20,810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21,325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17,960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60,364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50,920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w w:val="99"/>
              </w:rPr>
              <w:t>Per Class A Nonvoting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316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0.45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0.34</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0.96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0.175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Per Class B Voting Common Share: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316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0.45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0.34</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0.95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0.175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outstanding (in thousands):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52,286</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52,642</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4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52,873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52,594</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52,971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52,961</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BRADY CORPORATION AND SUBSIDIARIES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CASH FLOWS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Nine Months Ended</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left="370"/>
              <w:spacing w:after="0"/>
              <w:rPr>
                <w:sz w:val="20"/>
                <w:szCs w:val="20"/>
                <w:color w:val="auto"/>
              </w:rPr>
            </w:pPr>
            <w:r>
              <w:rPr>
                <w:rFonts w:ascii="Arial" w:cs="Arial" w:eastAsia="Arial" w:hAnsi="Arial"/>
                <w:sz w:val="18"/>
                <w:szCs w:val="18"/>
                <w:color w:val="auto"/>
                <w:w w:val="96"/>
              </w:rPr>
              <w:t>April 30,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(Unaudited)</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2009</w:t>
            </w:r>
          </w:p>
        </w:tc>
        <w:tc>
          <w:tcPr>
            <w:tcW w:w="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60,364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50,920</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40,276</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40,672</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Non-cash portion of restructuring charges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2,229</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7,574</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6,281</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(4,582)</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881</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614</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8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(17,192)</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52,276</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3,887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16,793</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80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(5,273)</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(3,593)</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30,730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(73,381)</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80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(17,571)</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w:t>
            </w:r>
          </w:p>
        </w:tc>
      </w:tr>
      <w:tr>
        <w:trPr>
          <w:trHeight w:val="224"/>
        </w:trPr>
        <w:tc>
          <w:tcPr>
            <w:tcW w:w="340" w:type="dxa"/>
            <w:vAlign w:val="bottom"/>
          </w:tcPr>
          <w:p>
            <w:pPr>
              <w:spacing w:after="0"/>
              <w:rPr>
                <w:sz w:val="19"/>
                <w:szCs w:val="19"/>
                <w:color w:val="auto"/>
              </w:rPr>
            </w:pPr>
          </w:p>
        </w:tc>
        <w:tc>
          <w:tcPr>
            <w:tcW w:w="7000" w:type="dxa"/>
            <w:vAlign w:val="bottom"/>
            <w:gridSpan w:val="2"/>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118,154</w:t>
            </w: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77,029</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(30,431)</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price adjustment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3,514</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Payments of contingent consideration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(1,405)</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(20,927)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(16,035)</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1,197</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2,893</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(50,161)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(11,033)</w:t>
            </w:r>
          </w:p>
        </w:tc>
      </w:tr>
      <w:tr>
        <w:trPr>
          <w:trHeight w:val="432"/>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(27,560)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(26,910)</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3,494</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1,321</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Principal payments on debt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(26,143)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Purchase of treasury stock</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(40,267)</w:t>
            </w:r>
          </w:p>
        </w:tc>
      </w:tr>
      <w:tr>
        <w:trPr>
          <w:trHeight w:val="202"/>
        </w:trPr>
        <w:tc>
          <w:tcPr>
            <w:tcW w:w="340" w:type="dxa"/>
            <w:vAlign w:val="bottom"/>
          </w:tcPr>
          <w:p>
            <w:pPr>
              <w:spacing w:after="0"/>
              <w:rPr>
                <w:sz w:val="17"/>
                <w:szCs w:val="17"/>
                <w:color w:val="auto"/>
              </w:rPr>
            </w:pPr>
          </w:p>
        </w:tc>
        <w:tc>
          <w:tcPr>
            <w:tcW w:w="70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Income tax benefit from the exercise of stock options and deferred compensation</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distribution</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860</w:t>
            </w:r>
          </w:p>
        </w:tc>
      </w:tr>
      <w:tr>
        <w:trPr>
          <w:trHeight w:val="224"/>
        </w:trPr>
        <w:tc>
          <w:tcPr>
            <w:tcW w:w="340" w:type="dxa"/>
            <w:vAlign w:val="bottom"/>
          </w:tcPr>
          <w:p>
            <w:pPr>
              <w:spacing w:after="0"/>
              <w:rPr>
                <w:sz w:val="19"/>
                <w:szCs w:val="19"/>
                <w:color w:val="auto"/>
              </w:rPr>
            </w:pPr>
          </w:p>
        </w:tc>
        <w:tc>
          <w:tcPr>
            <w:tcW w:w="7000" w:type="dxa"/>
            <w:vAlign w:val="bottom"/>
            <w:gridSpan w:val="2"/>
          </w:tcPr>
          <w:p>
            <w:pPr>
              <w:ind w:left="100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(50,027)</w:t>
            </w: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(64,999)</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(26,451)</w:t>
            </w: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18,950</w:t>
            </w: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(25,454)</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188,156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258,355</w:t>
            </w: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207,106</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232,901</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net of capitalized interest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18,217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21,899</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Income taxes, net of refunds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18,296</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32,995</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Fair value of assets acquired, net of cash and goodwill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15,366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Liabilities assumed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(5,201)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20,266</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paid for acquisitions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30,431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Nine Months Ended April 30, 2010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share and per share amounts)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A — Basis of Presentation</w:t>
      </w:r>
    </w:p>
    <w:p>
      <w:pPr>
        <w:spacing w:after="0" w:line="185"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2010 and July 3l, 2009, its results of operations for the three and nine months ended April 30, 2010 and 2009, and its cash flows for the nine months ended April 30, 2010 and 2009. The condensed consolidated balance sheet as of July 31, 2009,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54"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2009.</w:t>
      </w:r>
    </w:p>
    <w:p>
      <w:pPr>
        <w:spacing w:after="0" w:line="166"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Company has reclassified certain prior year financial statement amounts to conform to their current year presentation. The Company reclassified the “Deferred income taxes” as a separate line item, previously included in the “Other” Operating activities line item on the Condensed Consolidated Statements of Cash Flows for the nine months ended April 30, 2009. This reclassification had no effect on net cash provided by operating activities, total assets, net income, or earnings per share.</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B — Summary of Significant Accounting Policies</w:t>
      </w:r>
    </w:p>
    <w:p>
      <w:pPr>
        <w:spacing w:after="0" w:line="185"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i w:val="1"/>
          <w:iCs w:val="1"/>
          <w:color w:val="auto"/>
        </w:rPr>
        <w:t xml:space="preserve">Cash Equivalents </w:t>
      </w:r>
      <w:r>
        <w:rPr>
          <w:rFonts w:ascii="Arial" w:cs="Arial" w:eastAsia="Arial" w:hAnsi="Arial"/>
          <w:sz w:val="17"/>
          <w:szCs w:val="17"/>
          <w:color w:val="auto"/>
        </w:rPr>
        <w:t>— The Company considers all highly liquid investments with original maturities of three months or less</w:t>
      </w:r>
      <w:r>
        <w:rPr>
          <w:rFonts w:ascii="Arial" w:cs="Arial" w:eastAsia="Arial" w:hAnsi="Arial"/>
          <w:sz w:val="17"/>
          <w:szCs w:val="17"/>
          <w:i w:val="1"/>
          <w:iCs w:val="1"/>
          <w:color w:val="auto"/>
        </w:rPr>
        <w:t xml:space="preserve"> </w:t>
      </w:r>
      <w:r>
        <w:rPr>
          <w:rFonts w:ascii="Arial" w:cs="Arial" w:eastAsia="Arial" w:hAnsi="Arial"/>
          <w:sz w:val="17"/>
          <w:szCs w:val="17"/>
          <w:color w:val="auto"/>
        </w:rPr>
        <w:t>when acquired to be cash equivalents, which are recorded at cost. The Company’s cash equivalents include variable rate demand note (“VRDN”) securities issued by various agencies that include a put feature to the original issuer or the issuer’s agent. The Company’s VRDN investments are generally federal tax-exempt instruments of high credit quality, secured by direct-pay letters of credit from major financial institutions. These investments have variables rates tied to short-term interest rates. Interest rates are reset weekly and these VRDN investments can be tendered for sale upon notice (generally no longer than seven days). Although the Company’s VRDN securities are issued and rated as long-term securities (with maturities through 2029), they are priced and traded as short-term investments.</w:t>
      </w:r>
    </w:p>
    <w:p>
      <w:pPr>
        <w:spacing w:after="0" w:line="15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classifies the variable rate demand note securities with put features, where the issuer holds the obligation, as cash equivalents. The investments are carried at cost or par value, which approximates the fair value. As of April 30, 2010, the recorded value of the VRDNs held by the Company was $36.4 million and there were no realized or unrealized gains or losses related to the Company’s securities. As of April 30, 2010, all VRDNs held by the Company were classified as “cash and cash equivalents” on the Condensed Consolidated Balance Sheets.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C — Goodwill and Intangible Assets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the carrying amount of goodwill for the nine months ended April 30, 2010,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Americas</w:t>
            </w:r>
          </w:p>
        </w:tc>
        <w:tc>
          <w:tcPr>
            <w:tcW w:w="38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Europe</w:t>
            </w:r>
          </w:p>
        </w:tc>
        <w:tc>
          <w:tcPr>
            <w:tcW w:w="340" w:type="dxa"/>
            <w:vAlign w:val="bottom"/>
          </w:tcPr>
          <w:p>
            <w:pPr>
              <w:spacing w:after="0"/>
              <w:rPr>
                <w:sz w:val="20"/>
                <w:szCs w:val="20"/>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Asia-Pacific</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410,135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166,251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174,787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751,173</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Current year additions</w:t>
            </w:r>
          </w:p>
        </w:tc>
        <w:tc>
          <w:tcPr>
            <w:tcW w:w="100" w:type="dxa"/>
            <w:vAlign w:val="bottom"/>
          </w:tcPr>
          <w:p>
            <w:pPr>
              <w:spacing w:after="0"/>
              <w:rPr>
                <w:sz w:val="18"/>
                <w:szCs w:val="18"/>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13,370</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6,896</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20,266</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(7,844)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6,430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Balance as of April 30, 2010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425,406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165,303</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181,217</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771,926</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Goodwill increased $20,753 during the nine months ended April 30, 2010 due to the recent acquisition activity and the net effects of foreign currency translation. Of the $20,753 increase in goodwill, $778 resulted from the acquisition of certain assets of Welco, a division of Welconstruct Group Limited (“Welco”) in the first quarter of fiscal 2010, $13,370 resulted from the acquisition of Stickolor Industria e Comerciao de Auto Adesivos Ltda. (“Stickolor”) in the second quarter of fiscal 2010, and $6,118 resulted from the acquisition of Securimed SAS (“Securimed”) in the third quarter of fiscal 2010. Goodwill also increased $487 during the nine months ended April 30, 2010 due to the net effect of foreign currency translation.</w:t>
      </w:r>
    </w:p>
    <w:p>
      <w:pPr>
        <w:sectPr>
          <w:pgSz w:w="11900" w:h="16838" w:orient="portrait"/>
          <w:cols w:equalWidth="0" w:num="1">
            <w:col w:w="10219"/>
          </w:cols>
          <w:pgMar w:left="240" w:top="419" w:right="1440" w:bottom="1037"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37"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accounting guidance for goodwill and other intangible assets. The net book value of these assets was as follows: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rPr>
              <w:t>April 30, 2010</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July 31, 2009</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1380" w:type="dxa"/>
            <w:vAlign w:val="bottom"/>
          </w:tcPr>
          <w:p>
            <w:pPr>
              <w:spacing w:after="0"/>
              <w:rPr>
                <w:sz w:val="16"/>
                <w:szCs w:val="16"/>
                <w:color w:val="auto"/>
              </w:rPr>
            </w:pPr>
          </w:p>
        </w:tc>
        <w:tc>
          <w:tcPr>
            <w:tcW w:w="11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38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Amortization</w:t>
            </w:r>
          </w:p>
        </w:tc>
        <w:tc>
          <w:tcPr>
            <w:tcW w:w="120" w:type="dxa"/>
            <w:vAlign w:val="bottom"/>
          </w:tcPr>
          <w:p>
            <w:pPr>
              <w:spacing w:after="0"/>
              <w:rPr>
                <w:sz w:val="18"/>
                <w:szCs w:val="18"/>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Period</w:t>
            </w:r>
          </w:p>
        </w:tc>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Book</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760" w:type="dxa"/>
            <w:vAlign w:val="bottom"/>
            <w:gridSpan w:val="3"/>
          </w:tcPr>
          <w:p>
            <w:pPr>
              <w:spacing w:after="0"/>
              <w:rPr>
                <w:sz w:val="20"/>
                <w:szCs w:val="20"/>
                <w:color w:val="auto"/>
              </w:rPr>
            </w:pPr>
            <w:r>
              <w:rPr>
                <w:rFonts w:ascii="Arial" w:cs="Arial" w:eastAsia="Arial" w:hAnsi="Arial"/>
                <w:sz w:val="18"/>
                <w:szCs w:val="18"/>
                <w:b w:val="1"/>
                <w:bCs w:val="1"/>
                <w:color w:val="auto"/>
                <w:w w:val="93"/>
              </w:rPr>
              <w:t>Net Book</w:t>
            </w:r>
          </w:p>
        </w:tc>
      </w:tr>
      <w:tr>
        <w:trPr>
          <w:trHeight w:val="234"/>
        </w:trPr>
        <w:tc>
          <w:tcPr>
            <w:tcW w:w="138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Amount</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(Years)</w:t>
            </w:r>
          </w:p>
        </w:tc>
        <w:tc>
          <w:tcPr>
            <w:tcW w:w="8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Amount</w:t>
            </w: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660" w:type="dxa"/>
            <w:vAlign w:val="bottom"/>
            <w:gridSpan w:val="2"/>
          </w:tcPr>
          <w:p>
            <w:pPr>
              <w:ind w:left="40"/>
              <w:spacing w:after="0"/>
              <w:rPr>
                <w:sz w:val="20"/>
                <w:szCs w:val="20"/>
                <w:color w:val="auto"/>
              </w:rPr>
            </w:pPr>
            <w:r>
              <w:rPr>
                <w:rFonts w:ascii="Arial" w:cs="Arial" w:eastAsia="Arial" w:hAnsi="Arial"/>
                <w:sz w:val="18"/>
                <w:szCs w:val="18"/>
                <w:b w:val="1"/>
                <w:bCs w:val="1"/>
                <w:color w:val="auto"/>
              </w:rPr>
              <w:t>Value</w:t>
            </w:r>
          </w:p>
        </w:tc>
      </w:tr>
      <w:tr>
        <w:trPr>
          <w:trHeight w:val="195"/>
        </w:trPr>
        <w:tc>
          <w:tcPr>
            <w:tcW w:w="1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Amortized other</w:t>
            </w: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1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1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1380" w:type="dxa"/>
            <w:vAlign w:val="bottom"/>
          </w:tcPr>
          <w:p>
            <w:pPr>
              <w:ind w:left="200"/>
              <w:spacing w:after="0"/>
              <w:rPr>
                <w:sz w:val="20"/>
                <w:szCs w:val="20"/>
                <w:color w:val="auto"/>
              </w:rPr>
            </w:pPr>
            <w:r>
              <w:rPr>
                <w:rFonts w:ascii="Arial" w:cs="Arial" w:eastAsia="Arial" w:hAnsi="Arial"/>
                <w:sz w:val="18"/>
                <w:szCs w:val="18"/>
                <w:color w:val="auto"/>
              </w:rPr>
              <w:t>Patents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9,151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(7,658)</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1,493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8,976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1,811</w:t>
            </w:r>
          </w:p>
        </w:tc>
      </w:tr>
      <w:tr>
        <w:trPr>
          <w:trHeight w:val="202"/>
        </w:trPr>
        <w:tc>
          <w:tcPr>
            <w:tcW w:w="1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Trademarks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other</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8,880</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(5,552)</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7,703</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(5,121)</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2,582</w:t>
            </w:r>
          </w:p>
        </w:tc>
      </w:tr>
      <w:tr>
        <w:trPr>
          <w:trHeight w:val="202"/>
        </w:trPr>
        <w:tc>
          <w:tcPr>
            <w:tcW w:w="1380" w:type="dxa"/>
            <w:vAlign w:val="bottom"/>
          </w:tcPr>
          <w:p>
            <w:pPr>
              <w:ind w:left="200"/>
              <w:spacing w:after="0" w:line="201" w:lineRule="exact"/>
              <w:rPr>
                <w:sz w:val="20"/>
                <w:szCs w:val="20"/>
                <w:color w:val="auto"/>
              </w:rPr>
            </w:pPr>
            <w:r>
              <w:rPr>
                <w:rFonts w:ascii="Arial" w:cs="Arial" w:eastAsia="Arial" w:hAnsi="Arial"/>
                <w:sz w:val="18"/>
                <w:szCs w:val="18"/>
                <w:color w:val="auto"/>
              </w:rPr>
              <w:t>Customer</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380" w:type="dxa"/>
            <w:vAlign w:val="bottom"/>
          </w:tcPr>
          <w:p>
            <w:pPr>
              <w:ind w:left="400"/>
              <w:spacing w:after="0"/>
              <w:rPr>
                <w:sz w:val="20"/>
                <w:szCs w:val="20"/>
                <w:color w:val="auto"/>
              </w:rPr>
            </w:pPr>
            <w:r>
              <w:rPr>
                <w:rFonts w:ascii="Arial" w:cs="Arial" w:eastAsia="Arial" w:hAnsi="Arial"/>
                <w:sz w:val="18"/>
                <w:szCs w:val="18"/>
                <w:color w:val="auto"/>
                <w:w w:val="94"/>
              </w:rPr>
              <w:t>relationships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153,478</w:t>
            </w:r>
          </w:p>
        </w:tc>
        <w:tc>
          <w:tcPr>
            <w:tcW w:w="24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(91,775)</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61,703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144,625</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(76,912)</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67,713</w:t>
            </w:r>
          </w:p>
        </w:tc>
      </w:tr>
      <w:tr>
        <w:trPr>
          <w:trHeight w:val="202"/>
        </w:trPr>
        <w:tc>
          <w:tcPr>
            <w:tcW w:w="1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Non-compete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agreements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11,981</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(10,829)</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11,502</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(9,656)</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1,846</w:t>
            </w:r>
          </w:p>
        </w:tc>
      </w:tr>
      <w:tr>
        <w:trPr>
          <w:trHeight w:val="216"/>
        </w:trPr>
        <w:tc>
          <w:tcPr>
            <w:tcW w:w="1380" w:type="dxa"/>
            <w:vAlign w:val="bottom"/>
          </w:tcPr>
          <w:p>
            <w:pPr>
              <w:ind w:left="200"/>
              <w:spacing w:after="0"/>
              <w:rPr>
                <w:sz w:val="20"/>
                <w:szCs w:val="20"/>
                <w:color w:val="auto"/>
              </w:rPr>
            </w:pPr>
            <w:r>
              <w:rPr>
                <w:rFonts w:ascii="Arial" w:cs="Arial" w:eastAsia="Arial" w:hAnsi="Arial"/>
                <w:sz w:val="18"/>
                <w:szCs w:val="18"/>
                <w:color w:val="auto"/>
              </w:rPr>
              <w:t>Other</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3,310</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(3,298)</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3,311</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02"/>
        </w:trPr>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Unamortized</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other intangible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1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138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41,304</w:t>
            </w:r>
          </w:p>
        </w:tc>
        <w:tc>
          <w:tcPr>
            <w:tcW w:w="2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41,304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41,787</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41,787</w:t>
            </w:r>
          </w:p>
        </w:tc>
      </w:tr>
      <w:tr>
        <w:trPr>
          <w:trHeight w:val="27"/>
        </w:trPr>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228,104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(119,112)</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108,992</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217,904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115,754</w:t>
            </w:r>
          </w:p>
        </w:tc>
      </w:tr>
      <w:tr>
        <w:trPr>
          <w:trHeight w:val="20"/>
        </w:trPr>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The value of goodwill and other intangible assets in the Condensed Consolidated Balance Sheet at April 30, 2010, differs from the value assigned to them in the allocation of purchase price due to the effect of fluctuations in the exchange rates used to translate financial statements into the United States Dollar between the date of acquisition and April 30, 2010. The acquisitions completed during the nine months ended April 30, 2010 contributed $7,970 and $1,340 to the increase in the customer relationships and amortizable trademarks, respectively. See Note N, “Acquisitions” for further discussion.</w:t>
      </w:r>
    </w:p>
    <w:p>
      <w:pPr>
        <w:spacing w:after="0" w:line="13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Amortization expense on intangible assets was $5,160 and $5,559 for the three-month periods ended April 30, 2010 and 2009, respectively and $16,395 and $17,089 for the nine-month periods ended April 30, 2010 and 2009, respectively. Annual amortization is projected to be $23,329, $20,290, $13,243, $9,989 and $5,197 for the years ending July 31, 2010, 2011, 2012, 2013 and 2014, respectively.</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D — Comprehensive Income (Loss)</w:t>
      </w:r>
    </w:p>
    <w:p>
      <w:pPr>
        <w:spacing w:after="0" w:line="198"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Total comprehensive income (loss), which was comprised of net income, foreign currency adjustments, net unrealized gains and losses from cash flow hedges and net investment hedges, the unrealized gain on the post-retirement medical, dental, and vision plans, and their related tax effects amounted to $21,984 and $32,867 for the three months ended April 30, 2010 and 2009, respectively and $64,311 and ($71,761) for the nine months ended April 30, 2010 and 2009, respectively. The fluctuation in total comprehensive income for the three and nine months ended April 30, 2010 as compared to the same period in the previous year was primarily the result of change in the U.S. dollar against other currencies and the change in net income.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E — Net Income Per Common Share</w:t>
      </w:r>
    </w:p>
    <w:p>
      <w:pPr>
        <w:spacing w:after="0" w:line="185"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In June 2008, the Financial Accounting Standards Board (“FASB”) issued accounting guidance addressing whether instruments granted in share-based payment transactions are participating securities prior to vesting, and therefore need to be included in the earnings allocation in computing earnings per share. This guidance requires that all outstanding unvested share-based payment awards that contain rights to non-forfeitable dividends be considered participating securities in undistributed earnings with common shareholders. The Company adopted the guidance during the first quarter of fiscal 2010. As a result of the adoption, the dividends on the Company’s performance-based restricted shares, granted in fiscal 2008, are included in the basic EPS calculations for all periods presented. The inclusion has not materially impacted the earnings per share for the three and nine months ended April 30, 2010 and 2009.</w:t>
      </w:r>
    </w:p>
    <w:p>
      <w:pPr>
        <w:spacing w:after="0" w:line="15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68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April 30,</w:t>
            </w:r>
          </w:p>
        </w:tc>
        <w:tc>
          <w:tcPr>
            <w:tcW w:w="2340" w:type="dxa"/>
            <w:vAlign w:val="bottom"/>
            <w:gridSpan w:val="6"/>
          </w:tcPr>
          <w:p>
            <w:pPr>
              <w:spacing w:after="0"/>
              <w:rPr>
                <w:sz w:val="20"/>
                <w:szCs w:val="20"/>
                <w:color w:val="auto"/>
              </w:rPr>
            </w:pPr>
            <w:r>
              <w:rPr>
                <w:rFonts w:ascii="Arial" w:cs="Arial" w:eastAsia="Arial" w:hAnsi="Arial"/>
                <w:sz w:val="18"/>
                <w:szCs w:val="18"/>
                <w:b w:val="1"/>
                <w:bCs w:val="1"/>
                <w:color w:val="auto"/>
                <w:w w:val="95"/>
              </w:rPr>
              <w:t>Nine Months Ended April 30,</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00" w:type="dxa"/>
            <w:vAlign w:val="bottom"/>
          </w:tcPr>
          <w:p>
            <w:pPr>
              <w:ind w:left="200"/>
              <w:spacing w:after="0" w:line="201" w:lineRule="exact"/>
              <w:rPr>
                <w:sz w:val="20"/>
                <w:szCs w:val="20"/>
                <w:color w:val="auto"/>
              </w:rPr>
            </w:pPr>
            <w:r>
              <w:rPr>
                <w:rFonts w:ascii="Arial" w:cs="Arial" w:eastAsia="Arial" w:hAnsi="Arial"/>
                <w:sz w:val="18"/>
                <w:szCs w:val="18"/>
                <w:color w:val="auto"/>
                <w:w w:val="97"/>
              </w:rPr>
              <w:t>Net income (numerator for basic and diluted Class A</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400"/>
              <w:spacing w:after="0"/>
              <w:rPr>
                <w:sz w:val="20"/>
                <w:szCs w:val="20"/>
                <w:color w:val="auto"/>
              </w:rPr>
            </w:pPr>
            <w:r>
              <w:rPr>
                <w:rFonts w:ascii="Arial" w:cs="Arial" w:eastAsia="Arial" w:hAnsi="Arial"/>
                <w:sz w:val="18"/>
                <w:szCs w:val="18"/>
                <w:color w:val="auto"/>
              </w:rPr>
              <w:t>net income per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23,695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17,960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60,364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50,920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400"/>
              <w:spacing w:after="0"/>
              <w:rPr>
                <w:sz w:val="20"/>
                <w:szCs w:val="20"/>
                <w:color w:val="auto"/>
              </w:rPr>
            </w:pPr>
            <w:r>
              <w:rPr>
                <w:rFonts w:ascii="Arial" w:cs="Arial" w:eastAsia="Arial" w:hAnsi="Arial"/>
                <w:sz w:val="18"/>
                <w:szCs w:val="18"/>
                <w:color w:val="auto"/>
              </w:rPr>
              <w:t>Restricted stock dividends</w:t>
            </w:r>
          </w:p>
        </w:tc>
        <w:tc>
          <w:tcPr>
            <w:tcW w:w="20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Numerator for basic and diluted Class A net income</w:t>
            </w: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per share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23,658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17,924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60,253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50,812</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200"/>
              <w:spacing w:after="0"/>
              <w:rPr>
                <w:sz w:val="20"/>
                <w:szCs w:val="20"/>
                <w:color w:val="auto"/>
              </w:rPr>
            </w:pPr>
            <w:r>
              <w:rPr>
                <w:rFonts w:ascii="Arial" w:cs="Arial" w:eastAsia="Arial" w:hAnsi="Arial"/>
                <w:sz w:val="18"/>
                <w:szCs w:val="18"/>
                <w:color w:val="auto"/>
              </w:rPr>
              <w:t>Less: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Preferential dividends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23"/>
        </w:trPr>
        <w:tc>
          <w:tcPr>
            <w:tcW w:w="4300" w:type="dxa"/>
            <w:vAlign w:val="bottom"/>
          </w:tcPr>
          <w:p>
            <w:pPr>
              <w:ind w:left="400"/>
              <w:spacing w:after="0"/>
              <w:rPr>
                <w:sz w:val="20"/>
                <w:szCs w:val="20"/>
                <w:color w:val="auto"/>
              </w:rPr>
            </w:pPr>
            <w:r>
              <w:rPr>
                <w:rFonts w:ascii="Arial" w:cs="Arial" w:eastAsia="Arial" w:hAnsi="Arial"/>
                <w:sz w:val="18"/>
                <w:szCs w:val="18"/>
                <w:color w:val="auto"/>
              </w:rPr>
              <w:t>Preferential dividends on dilutive stock options</w:t>
            </w:r>
          </w:p>
        </w:tc>
        <w:tc>
          <w:tcPr>
            <w:tcW w:w="20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Numerator for basic and diluted Class B net income</w:t>
            </w: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per share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23,658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17,924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59,426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49,978</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Denominator for basic net income per share for both</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A and Class B</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52,427</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52,286</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52,378</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52,642</w:t>
            </w:r>
          </w:p>
        </w:tc>
        <w:tc>
          <w:tcPr>
            <w:tcW w:w="0" w:type="dxa"/>
            <w:vAlign w:val="bottom"/>
          </w:tcPr>
          <w:p>
            <w:pPr>
              <w:spacing w:after="0"/>
              <w:rPr>
                <w:sz w:val="1"/>
                <w:szCs w:val="1"/>
                <w:color w:val="auto"/>
              </w:rPr>
            </w:pPr>
          </w:p>
        </w:tc>
      </w:tr>
      <w:tr>
        <w:trPr>
          <w:trHeight w:val="223"/>
        </w:trPr>
        <w:tc>
          <w:tcPr>
            <w:tcW w:w="4300" w:type="dxa"/>
            <w:vAlign w:val="bottom"/>
          </w:tcPr>
          <w:p>
            <w:pPr>
              <w:ind w:left="200"/>
              <w:spacing w:after="0"/>
              <w:rPr>
                <w:sz w:val="20"/>
                <w:szCs w:val="20"/>
                <w:color w:val="auto"/>
              </w:rPr>
            </w:pPr>
            <w:r>
              <w:rPr>
                <w:rFonts w:ascii="Arial" w:cs="Arial" w:eastAsia="Arial" w:hAnsi="Arial"/>
                <w:sz w:val="18"/>
                <w:szCs w:val="18"/>
                <w:color w:val="auto"/>
              </w:rPr>
              <w:t>Plus: Effect of dilutive stock options</w:t>
            </w:r>
          </w:p>
        </w:tc>
        <w:tc>
          <w:tcPr>
            <w:tcW w:w="20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593</w:t>
            </w: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Denominator for diluted net income per share for</w:t>
            </w: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both Class A and Class B</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52,873</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52,594</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52,971</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52,961</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Class A Nonvoting Common Stock net income per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30"/>
        </w:trPr>
        <w:tc>
          <w:tcPr>
            <w:tcW w:w="4300" w:type="dxa"/>
            <w:vAlign w:val="bottom"/>
          </w:tcPr>
          <w:p>
            <w:pPr>
              <w:ind w:left="40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0.45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0.34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2"/>
        </w:trPr>
        <w:tc>
          <w:tcPr>
            <w:tcW w:w="4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Class B Voting Common Stock net income per share: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0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0.45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0.34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Options to purchase approximately 2,800,000 and 2,700,000 shares of Class A Nonvoting Common Stock for the three and nine months ended April 30, 2010, respectively, and 2,920,000 and 2,058,000 shares of Class A Nonvoting Common Stock for the three and nine months ended April 30, 2009, respectively, were not included in the computations of diluted net income per share because the option exercise price was greater than the average market price of the common shares and, therefore, the effect would be anti-dilutive.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F — Segment Information</w:t>
      </w:r>
    </w:p>
    <w:p>
      <w:pPr>
        <w:spacing w:after="0" w:line="198"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and acquisitions. Segment profit or loss does not include certain administrative costs, such as the cost of finance, information technology, human resources and other administration, which are managed as global functions. Restructuring charges, stock options, interest, investment and other income and income taxes are also excluded when evaluating performance.</w:t>
      </w:r>
    </w:p>
    <w:p>
      <w:pPr>
        <w:spacing w:after="0" w:line="138"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11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Intersegment sales and transfers are recorded at cost plus a standard percentage markup. Intercompany profit is eliminated in consolidation. It is not practicable to disclose enterprise-wide revenue from external customers on the basis of product or service.</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Following is a summary of segment information for the three and nine months ended April 30, 2010 and 2009:</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9"/>
              </w:rPr>
              <w:t>Corporate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And</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Americas</w:t>
            </w:r>
          </w:p>
        </w:tc>
        <w:tc>
          <w:tcPr>
            <w:tcW w:w="8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Europe</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Asia-Pacific</w:t>
            </w: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Regions</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Eliminations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Totals</w:t>
            </w: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April 30, 2010:</w:t>
            </w: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$ 144,413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98,152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79,322</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$ 321,887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$ 321,887</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11,624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4,443</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(16,858)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Segment profit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33,858</w:t>
            </w:r>
          </w:p>
        </w:tc>
        <w:tc>
          <w:tcPr>
            <w:tcW w:w="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27,472</w:t>
            </w:r>
          </w:p>
        </w:tc>
        <w:tc>
          <w:tcPr>
            <w:tcW w:w="2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12,775</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74,105</w:t>
            </w: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(3,558)</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70,547</w:t>
            </w:r>
          </w:p>
        </w:tc>
      </w:tr>
      <w:tr>
        <w:trPr>
          <w:trHeight w:val="202"/>
        </w:trPr>
        <w:tc>
          <w:tcPr>
            <w:tcW w:w="3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April 30, 2009:</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$ 125,688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85,172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65,873</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$ 276,733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$ 276,733</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9,842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12,813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(12,813)</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Segment profit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28,540</w:t>
            </w:r>
          </w:p>
        </w:tc>
        <w:tc>
          <w:tcPr>
            <w:tcW w:w="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23,773</w:t>
            </w:r>
          </w:p>
        </w:tc>
        <w:tc>
          <w:tcPr>
            <w:tcW w:w="2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6,979</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59,292</w:t>
            </w: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(1,717)</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57,575</w:t>
            </w:r>
          </w:p>
        </w:tc>
      </w:tr>
      <w:tr>
        <w:trPr>
          <w:trHeight w:val="202"/>
        </w:trPr>
        <w:tc>
          <w:tcPr>
            <w:tcW w:w="3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April 30, 2010:</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$ 402,255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289,101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244,846</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$ 936,202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$ 936,202</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32,657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3,367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13,344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49,368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(49,368)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Segment profit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90,205</w:t>
            </w:r>
          </w:p>
        </w:tc>
        <w:tc>
          <w:tcPr>
            <w:tcW w:w="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78,281</w:t>
            </w:r>
          </w:p>
        </w:tc>
        <w:tc>
          <w:tcPr>
            <w:tcW w:w="2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38,589</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207,075</w:t>
            </w: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(10,161)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196,914</w:t>
            </w:r>
          </w:p>
        </w:tc>
      </w:tr>
      <w:tr>
        <w:trPr>
          <w:trHeight w:val="202"/>
        </w:trPr>
        <w:tc>
          <w:tcPr>
            <w:tcW w:w="3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April 30, 2009:</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$ 409,573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280,589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231,337</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$ 921,499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$ 921,499</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33,759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15,488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52,585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(52,585)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Segment profit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86,104</w:t>
            </w:r>
          </w:p>
        </w:tc>
        <w:tc>
          <w:tcPr>
            <w:tcW w:w="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77,857</w:t>
            </w:r>
          </w:p>
        </w:tc>
        <w:tc>
          <w:tcPr>
            <w:tcW w:w="2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33,502</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197,463</w:t>
            </w: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(6,631)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190,832</w:t>
            </w:r>
          </w:p>
        </w:tc>
      </w:tr>
    </w:tbl>
    <w:p>
      <w:pPr>
        <w:spacing w:after="0" w:line="147"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Following is a reconciliation of segment profit to net income for the three months and nine months ended April 30, 2010 and 2009.</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5"/>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5"/>
              </w:rPr>
              <w:t>Nine months ended:</w:t>
            </w:r>
          </w:p>
        </w:tc>
      </w:tr>
      <w:tr>
        <w:trPr>
          <w:trHeight w:val="234"/>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April 30,</w:t>
            </w:r>
          </w:p>
        </w:tc>
        <w:tc>
          <w:tcPr>
            <w:tcW w:w="7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2009</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2009</w:t>
            </w:r>
          </w:p>
        </w:tc>
        <w:tc>
          <w:tcPr>
            <w:tcW w:w="80" w:type="dxa"/>
            <w:vAlign w:val="bottom"/>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74,105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59,292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207,075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197,463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(3,558)</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(1,717)</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(10,161)</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(6,631)</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20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(32,286)</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(26,074)</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(91,944)</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(77,472)</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(2,347)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(9,597)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(23,276)</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Investment and other income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989</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1,273</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1,143</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(5,147)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(15,472)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(18,982)</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30,888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23,954</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81,174</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72,245</w:t>
            </w:r>
          </w:p>
        </w:tc>
        <w:tc>
          <w:tcPr>
            <w:tcW w:w="8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(7,193)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(20,810)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(21,325)</w:t>
            </w:r>
          </w:p>
        </w:tc>
      </w:tr>
      <w:tr>
        <w:trPr>
          <w:trHeight w:val="223"/>
        </w:trPr>
        <w:tc>
          <w:tcPr>
            <w:tcW w:w="44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17,960</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60,364</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50,920</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G — Stock-Based Compensation</w:t>
      </w:r>
    </w:p>
    <w:p>
      <w:pPr>
        <w:spacing w:after="0" w:line="198"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The Company has an incentive stock plan under which the Board of Directors may grant nonqualified stock options to 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that vest upon meeting certain financial performance conditions over the vesting schedule described above; these options are referred to herein as “performance-based” options. Performance-based options expire 10 years from the date of grant. The Company also granted restricted shares that have an issuance price equal to the fair market value of the underlying stock at the date of grant. The restricted shares vest at the end of a five-year period and upon meeting certain financial performance conditions; these shares are referred to herein as “performance-based restricted shares.”</w:t>
      </w:r>
    </w:p>
    <w:p>
      <w:pPr>
        <w:spacing w:after="0" w:line="12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As of April 30, 2010, the Company has remaining 5,108,870 shares of Class A Nonvoting Common Stock for outstanding stock options and restricted shares and 2,228,500 shares of Class A Nonvoting Common Stock for future issuance of stock options and restricted shares under the various plans. The Company uses treasury stock or will issue new Class A Nonvoting Common Stock to deliver shares under these plans.</w:t>
      </w:r>
    </w:p>
    <w:p>
      <w:pPr>
        <w:spacing w:after="0" w:line="146"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The Company recognizes the compensation cost of all share-based awards on a straight-line basis over the vesting period of the award. Total stock compensation expense recognized by the Company during the three months ended April 30, 2010 and 2009 was $2,418 ($1,475 net of taxes) and $1,972 ($1,203 net of taxes), respectively, and expense recognized during the nine months ended April 30, 2010 and 2009 was $7,574 ($4,620 net of taxes) and $6,281 ($3,831 net of taxes), respectively. As of April 30, 2010, total unrecognized compensation cost related to share-based compensation awards was $15,024 pre-tax, net of estimated forfeitures, which the Company expects to recognize over a weighted-average period of 2.2 years.</w:t>
      </w:r>
    </w:p>
    <w:p>
      <w:pPr>
        <w:spacing w:after="0" w:line="13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has estimated the fair value of its service-based and performance-based option awards granted during the nine months ended April 30, 2010 and 2009 using the Black-Scholes option valuation model. The weighted-average assumptions used in the Black-Scholes valuation model are reflected in the following table:</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4"/>
          </w:tcPr>
          <w:p>
            <w:pPr>
              <w:jc w:val="right"/>
              <w:ind w:right="840"/>
              <w:spacing w:after="0"/>
              <w:rPr>
                <w:sz w:val="20"/>
                <w:szCs w:val="20"/>
                <w:color w:val="auto"/>
              </w:rPr>
            </w:pPr>
            <w:r>
              <w:rPr>
                <w:rFonts w:ascii="Arial" w:cs="Arial" w:eastAsia="Arial" w:hAnsi="Arial"/>
                <w:sz w:val="18"/>
                <w:szCs w:val="18"/>
                <w:color w:val="auto"/>
              </w:rPr>
              <w:t>Nine Months Ended</w:t>
            </w:r>
          </w:p>
        </w:tc>
        <w:tc>
          <w:tcPr>
            <w:tcW w:w="300" w:type="dxa"/>
            <w:vAlign w:val="bottom"/>
          </w:tcPr>
          <w:p>
            <w:pPr>
              <w:spacing w:after="0"/>
              <w:rPr>
                <w:sz w:val="18"/>
                <w:szCs w:val="18"/>
                <w:color w:val="auto"/>
              </w:rPr>
            </w:pPr>
          </w:p>
        </w:tc>
        <w:tc>
          <w:tcPr>
            <w:tcW w:w="2200" w:type="dxa"/>
            <w:vAlign w:val="bottom"/>
            <w:gridSpan w:val="4"/>
          </w:tcPr>
          <w:p>
            <w:pPr>
              <w:jc w:val="right"/>
              <w:ind w:right="560"/>
              <w:spacing w:after="0"/>
              <w:rPr>
                <w:sz w:val="20"/>
                <w:szCs w:val="20"/>
                <w:color w:val="auto"/>
              </w:rPr>
            </w:pPr>
            <w:r>
              <w:rPr>
                <w:rFonts w:ascii="Arial" w:cs="Arial" w:eastAsia="Arial" w:hAnsi="Arial"/>
                <w:sz w:val="18"/>
                <w:szCs w:val="18"/>
                <w:color w:val="auto"/>
              </w:rPr>
              <w:t>Nine Months Ended</w:t>
            </w:r>
          </w:p>
        </w:tc>
      </w:tr>
      <w:tr>
        <w:trPr>
          <w:trHeight w:val="230"/>
        </w:trPr>
        <w:tc>
          <w:tcPr>
            <w:tcW w:w="3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4"/>
          </w:tcPr>
          <w:p>
            <w:pPr>
              <w:jc w:val="right"/>
              <w:ind w:right="1040"/>
              <w:spacing w:after="0"/>
              <w:rPr>
                <w:sz w:val="20"/>
                <w:szCs w:val="20"/>
                <w:color w:val="auto"/>
              </w:rPr>
            </w:pPr>
            <w:r>
              <w:rPr>
                <w:rFonts w:ascii="Arial" w:cs="Arial" w:eastAsia="Arial" w:hAnsi="Arial"/>
                <w:sz w:val="18"/>
                <w:szCs w:val="18"/>
                <w:color w:val="auto"/>
              </w:rPr>
              <w:t>April 30, 2010</w:t>
            </w:r>
          </w:p>
        </w:tc>
        <w:tc>
          <w:tcPr>
            <w:tcW w:w="300" w:type="dxa"/>
            <w:vAlign w:val="bottom"/>
          </w:tcPr>
          <w:p>
            <w:pPr>
              <w:spacing w:after="0"/>
              <w:rPr>
                <w:sz w:val="20"/>
                <w:szCs w:val="20"/>
                <w:color w:val="auto"/>
              </w:rPr>
            </w:pPr>
          </w:p>
        </w:tc>
        <w:tc>
          <w:tcPr>
            <w:tcW w:w="2200" w:type="dxa"/>
            <w:vAlign w:val="bottom"/>
            <w:gridSpan w:val="4"/>
          </w:tcPr>
          <w:p>
            <w:pPr>
              <w:jc w:val="right"/>
              <w:ind w:right="760"/>
              <w:spacing w:after="0"/>
              <w:rPr>
                <w:sz w:val="20"/>
                <w:szCs w:val="20"/>
                <w:color w:val="auto"/>
              </w:rPr>
            </w:pPr>
            <w:r>
              <w:rPr>
                <w:rFonts w:ascii="Arial" w:cs="Arial" w:eastAsia="Arial" w:hAnsi="Arial"/>
                <w:sz w:val="18"/>
                <w:szCs w:val="18"/>
                <w:color w:val="auto"/>
              </w:rPr>
              <w:t>April 30, 2009</w:t>
            </w:r>
          </w:p>
        </w:tc>
      </w:tr>
      <w:tr>
        <w:trPr>
          <w:trHeight w:val="195"/>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Performance-</w:t>
            </w:r>
          </w:p>
        </w:tc>
        <w:tc>
          <w:tcPr>
            <w:tcW w:w="3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6"/>
              </w:rPr>
              <w:t>Performance-</w:t>
            </w:r>
          </w:p>
        </w:tc>
        <w:tc>
          <w:tcPr>
            <w:tcW w:w="80" w:type="dxa"/>
            <w:vAlign w:val="bottom"/>
          </w:tcPr>
          <w:p>
            <w:pPr>
              <w:spacing w:after="0"/>
              <w:rPr>
                <w:sz w:val="16"/>
                <w:szCs w:val="16"/>
                <w:color w:val="auto"/>
              </w:rPr>
            </w:pPr>
          </w:p>
        </w:tc>
      </w:tr>
      <w:tr>
        <w:trPr>
          <w:trHeight w:val="216"/>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color w:val="auto"/>
              </w:rPr>
              <w:t>Service-Based</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Based Option</w:t>
            </w:r>
          </w:p>
        </w:tc>
        <w:tc>
          <w:tcPr>
            <w:tcW w:w="1460" w:type="dxa"/>
            <w:vAlign w:val="bottom"/>
            <w:gridSpan w:val="3"/>
          </w:tcPr>
          <w:p>
            <w:pPr>
              <w:ind w:left="20"/>
              <w:spacing w:after="0"/>
              <w:rPr>
                <w:sz w:val="20"/>
                <w:szCs w:val="20"/>
                <w:color w:val="auto"/>
              </w:rPr>
            </w:pPr>
            <w:r>
              <w:rPr>
                <w:rFonts w:ascii="Arial" w:cs="Arial" w:eastAsia="Arial" w:hAnsi="Arial"/>
                <w:sz w:val="18"/>
                <w:szCs w:val="18"/>
                <w:color w:val="auto"/>
              </w:rPr>
              <w:t>Service-Based</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Based Option</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Black-Scholes Option Valuation Assumptions</w:t>
            </w:r>
          </w:p>
        </w:tc>
        <w:tc>
          <w:tcPr>
            <w:tcW w:w="2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auto"/>
              </w:rPr>
              <w:t>Option Awards</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Awards</w:t>
            </w:r>
          </w:p>
        </w:tc>
        <w:tc>
          <w:tcPr>
            <w:tcW w:w="1460" w:type="dxa"/>
            <w:vAlign w:val="bottom"/>
            <w:gridSpan w:val="3"/>
          </w:tcPr>
          <w:p>
            <w:pPr>
              <w:spacing w:after="0"/>
              <w:rPr>
                <w:sz w:val="20"/>
                <w:szCs w:val="20"/>
                <w:color w:val="auto"/>
              </w:rPr>
            </w:pPr>
            <w:r>
              <w:rPr>
                <w:rFonts w:ascii="Arial" w:cs="Arial" w:eastAsia="Arial" w:hAnsi="Arial"/>
                <w:sz w:val="18"/>
                <w:szCs w:val="18"/>
                <w:color w:val="auto"/>
              </w:rPr>
              <w:t>Option Awards</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Awards</w:t>
            </w:r>
          </w:p>
        </w:tc>
      </w:tr>
      <w:tr>
        <w:trPr>
          <w:trHeight w:val="20"/>
        </w:trPr>
        <w:tc>
          <w:tcPr>
            <w:tcW w:w="3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5.95</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5.96</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39.85%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38.72%</w:t>
            </w: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36.07%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Weighted-average market value of underlying stock</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at grant date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28.73</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21.26</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28.73</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28.73</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21.26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Weighted-average fair value of options granted</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during the period</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8.78</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bl>
    <w:p>
      <w:pPr>
        <w:spacing w:after="0" w:line="16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the grant.</w:t>
      </w:r>
    </w:p>
    <w:p>
      <w:pPr>
        <w:spacing w:after="0" w:line="153"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Effective February 17, 2010, the Compensation Committee of the Board of Directors of the Company approved an amendment to the performance-based stock options issued on August 1, 2005. Pursuant to the amendment, the term of the performance-based stock options has been extended to ten years from five years resulting in an incremental expense of $354 ($216 net of taxes), which was recorded in the quarter ended April 30, 2010. Also, the amendment provides that during the extension period, executives may exercise the performance-based stock options following a termination only if the termination is as a result of the executive’s death or disability or qualifies as a retirement.</w:t>
      </w:r>
    </w:p>
    <w:p>
      <w:pPr>
        <w:spacing w:after="0" w:line="151"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The Company granted 210,000 performance-based restricted shares during fiscal 2008, with a grant price and fair value of $32.83. The Company did not grant any performance-based restricted shares during the nine months ended April 30, 2010. As of April 30, 2010, all of the performance-based restricted shares granted in fiscal 2008 remain outstanding.</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granted 525,000 performance-based options during the nine months ended April 30, 2010, with a weighted average exercise price of $28.73 and a weighted average fair value of $8.96. The Company also granted 901,000 service-based options during the nine months ended April 30, 2010, with a weighted average exercise price of $28.73 and a weighted average fair value of $8.78.</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summary of stock option activity under the Company’s share-based compensation plans for the nine months ended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April 30, 2010 is presented below:</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Weighted</w:t>
            </w: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Remaining</w:t>
            </w: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Average</w:t>
            </w: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Contractual</w:t>
            </w: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Options</w:t>
            </w:r>
          </w:p>
        </w:tc>
        <w:tc>
          <w:tcPr>
            <w:tcW w:w="2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Shares</w:t>
            </w:r>
          </w:p>
        </w:tc>
        <w:tc>
          <w:tcPr>
            <w:tcW w:w="340" w:type="dxa"/>
            <w:vAlign w:val="bottom"/>
            <w:gridSpan w:val="2"/>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Exercise Price</w:t>
            </w: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Term</w:t>
            </w:r>
          </w:p>
        </w:tc>
        <w:tc>
          <w:tcPr>
            <w:tcW w:w="8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July 31, 2009</w:t>
            </w:r>
          </w:p>
        </w:tc>
        <w:tc>
          <w:tcPr>
            <w:tcW w:w="2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3,980,606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3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New grants</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1,426,000</w:t>
            </w: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28.73</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(214,436)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18.49</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Forfeited or expired</w:t>
            </w:r>
          </w:p>
        </w:tc>
        <w:tc>
          <w:tcPr>
            <w:tcW w:w="280" w:type="dxa"/>
            <w:vAlign w:val="bottom"/>
          </w:tcPr>
          <w:p>
            <w:pPr>
              <w:spacing w:after="0"/>
              <w:rPr>
                <w:sz w:val="19"/>
                <w:szCs w:val="19"/>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(83,300)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32.60</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2010</w:t>
            </w:r>
          </w:p>
        </w:tc>
        <w:tc>
          <w:tcPr>
            <w:tcW w:w="2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5,108,870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28.29</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38,014</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Exercisable at April 30, 2010</w:t>
            </w: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28.34</w:t>
            </w:r>
          </w:p>
        </w:tc>
        <w:tc>
          <w:tcPr>
            <w:tcW w:w="12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3,104,089</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There were 3,104,089 and 2,862,146 options exercisable with a weighted average exercise price of $28.34 and $27.24 at April 30, 2010 and 2009, respectively. The cash received from the exercise of options during the quarters ended April 30, 2010 and 2009 was $1,822 and $45, respectively. The cash received from the exercise of options during the nine months ended April 30, 2010 and 2009 was $3,494 and $1,479, respectively. The tax benefit on stock options exercised during the quarter ended April 30, 2010 was $462. The tax benefit on stock options exercised during the quarter ended April 30, 2009 was not significant. The tax benefit on options exercised during the nine months ended April 30, 2010 and 2009 was $845 and $533, respectively.</w:t>
      </w:r>
    </w:p>
    <w:p>
      <w:pPr>
        <w:spacing w:after="0" w:line="14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total intrinsic value of options exercised during the nine months ended April 30, 2010 and 2009, based upon the average market price during the period, was $2,660 and $1,730, respectively. The total fair value of stock options vested during the nine months ended April 30, 2010 and 2009 was $5,294 and $6,419, respectively.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H — Stockholders’ Investment</w:t>
      </w:r>
    </w:p>
    <w:p>
      <w:pPr>
        <w:spacing w:after="0" w:line="185"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In March 2008, the Company announced that the Board of Directors of the Company authorized a share repurchase plan for up to 1 million shares of the Company’s Class A Nonvoting Common Stock. The share repurchase plan was implemented by purchasing shares on the open market or in privately negotiated transactions, with repurchased shares available for use in connection with the Company’s stock-based plans and for other corporate purposes. During the nine months ended April 30, 2009, the Company acquired 650,864 shares of its Class A Nonvoting Common Stock authorized for repurchase under this plan for $21,539. Share repurchases under this plan were completed in the quarter ended October 31, 2008.</w:t>
      </w:r>
    </w:p>
    <w:p>
      <w:pPr>
        <w:spacing w:after="0" w:line="124"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In September 2008, the Company announced that the Board of Directors of the Company authorized a share repurchase plan for up to 1 million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 During the nine months ended April 30, 2009, the Company acquired 693,800 shares of its Class A Nonvoting Common Stock under this plan for $18,728. No shares were purchased under the Company’s share repurchase plan during the three months ended April 30, 2009. No shares were repurchased during the quarter ended April 30, 2010 or during the nine months ended April 30, 2010. As of April 30, 2010, there remained 306,200 shares available to purchase in connection with this share repurchase plan.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I — Employee Benefit Plans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provides postretirement medical, dental and vision benefits for eligible regular full and part-time domestic employees (including spouses) outlined by the plan.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49"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The Company funds benefit costs on a pay-as-you-go basis. There have been no changes to the components of net periodic benefit cost or the amount that the Company expects to fund in fiscal 2010 from those reported in Note 3 to the consolidated financial statements included in the Company’s latest annual report on Form 10-K for the year ended July 31, 2009.</w:t>
      </w:r>
    </w:p>
    <w:p>
      <w:pPr>
        <w:sectPr>
          <w:pgSz w:w="11900" w:h="16838" w:orient="portrait"/>
          <w:cols w:equalWidth="0" w:num="1">
            <w:col w:w="10219"/>
          </w:cols>
          <w:pgMar w:left="240" w:top="419" w:right="1440" w:bottom="1159"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59"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J — Fair Value Measurements</w:t>
      </w:r>
    </w:p>
    <w:p>
      <w:pPr>
        <w:spacing w:after="0" w:line="198"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The Company adopted new accounting guidance on fair value measurements on August 1, 2008 as it relates to financial assets and liabilities. The Company adopted the new accounting guidance on fair value measurements for its nonfinancial assets and liabilities on August 1, 2009. The accounting guidance applies to other accounting pronouncements that require or permit fair value measurements, defines fair value based upon an exit price model, establishes a framework for measuring fair value, and expands the applicable disclosure requirements. The accounting guidance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127"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 Company also adopted new guidance on disclosure requirements for fair value measurements on February 1, 2010. The guidance requires previous fair value hierarchy disclosures to be further disaggregated by class of assets and liabilities. A class is often a subset of assets or liabilities within a line item in the statement of financial position. In addition, significant transfers between Levels 1 and 2 of the fair value hierarchy are required to be disclosed. The adoption did not have an impact on the Condensed Consolidated Financial Statements of the Company. In addition, the fair value disclosure amendments also require more detailed disclosures of the changes in Level 3 instruments. These changes will not become effective until interim and annual periods beginning after December 15, 2010 and are not expected to have an impact on the Condensed Consolidated Financial Statements of the Company.</w:t>
      </w:r>
    </w:p>
    <w:p>
      <w:pPr>
        <w:spacing w:after="0" w:line="13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accounting guidance on fair value measurements establishes a fair market value hierarchy for the pricing inputs used to measure fair market value. The Company’s assets and liabilities measured at fair market value are classified in one of the following categories:</w:t>
      </w:r>
    </w:p>
    <w:p>
      <w:pPr>
        <w:spacing w:after="0" w:line="154" w:lineRule="exact"/>
        <w:rPr>
          <w:sz w:val="20"/>
          <w:szCs w:val="20"/>
          <w:color w:val="auto"/>
        </w:rPr>
      </w:pPr>
    </w:p>
    <w:p>
      <w:pPr>
        <w:jc w:val="both"/>
        <w:ind w:left="1080" w:right="559"/>
        <w:spacing w:after="0" w:line="25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quoted market prices in active markets for identical instruments as of the reporting date. At April 30, 2010 and July 31, 2009, $9,061 and $8,239 of the mutual funds held for the Company’s deferred compensation plans were valued using Level 1 pricing inputs. The Company’s deferred compensation investments are included in “Other assets” on the accompanying Condensed Consolidated Balance Sheets.</w:t>
      </w:r>
    </w:p>
    <w:p>
      <w:pPr>
        <w:spacing w:after="0" w:line="148" w:lineRule="exact"/>
        <w:rPr>
          <w:sz w:val="20"/>
          <w:szCs w:val="20"/>
          <w:color w:val="auto"/>
        </w:rPr>
      </w:pPr>
    </w:p>
    <w:p>
      <w:pPr>
        <w:jc w:val="both"/>
        <w:ind w:left="1080" w:right="559"/>
        <w:spacing w:after="0" w:line="287"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Assets or liabilities for which fair value is based on valuation models for which pricing inputs were either directly or indirectly observable. At April 30, 2010 and July 31, 2009, $276 and $248, respectively, of the Company’s forward exchange contracts designated as cash flow hedges were valued using Level 2 pricing inputs and are included in “Other current liabilities,” on the accompanying Condensed Consolidated Balance Sheets. At April 30, 2010, $165 of the Company’s forward exchange contracts designated as cash flow hedges were valued using Level 2 pricing inputs and are included in “Prepaid expenses and other current assets,” on the accompanying Condensed Consolidated Balance Sheets. At April 30, 2010, $1,362 of the Company’s forward exchange contracts designated as net investment hedges were valued using Level 2 pricing inputs and are included in “Prepaid expenses and other current assets,” on the accompanying Condensed Consolidated Balance Sheet. At July 31, 2009, $130 of the Company’s forward contracts not designated as hedging instruments were valued using Level 2 pricing inputs and are included in “Prepaid expenses and other current assets,” on the accompanying Condensed Consolidated Balance Sheet.</w:t>
      </w:r>
    </w:p>
    <w:p>
      <w:pPr>
        <w:spacing w:after="0" w:line="132" w:lineRule="exact"/>
        <w:rPr>
          <w:sz w:val="20"/>
          <w:szCs w:val="20"/>
          <w:color w:val="auto"/>
        </w:rPr>
      </w:pPr>
    </w:p>
    <w:p>
      <w:pPr>
        <w:jc w:val="both"/>
        <w:ind w:left="1080" w:right="559"/>
        <w:spacing w:after="0" w:line="279" w:lineRule="auto"/>
        <w:rPr>
          <w:sz w:val="20"/>
          <w:szCs w:val="20"/>
          <w:color w:val="auto"/>
        </w:rPr>
      </w:pPr>
      <w:r>
        <w:rPr>
          <w:rFonts w:ascii="Arial" w:cs="Arial" w:eastAsia="Arial" w:hAnsi="Arial"/>
          <w:sz w:val="17"/>
          <w:szCs w:val="17"/>
          <w:color w:val="auto"/>
        </w:rPr>
        <w:t>The fair values of Level 2 derivatives, which consist of cash flow hedges and net investment hedges, are primarily determined based on the present value of future cash flows using external models that use observable inputs, such as interest rates, yield curves and foreign currency exchange rates. See Note M, “Derivatives and Hedging Activities” for additional information regarding the Company’s hedging and derivatives activities.</w:t>
      </w:r>
    </w:p>
    <w:p>
      <w:pPr>
        <w:spacing w:after="0" w:line="144" w:lineRule="exact"/>
        <w:rPr>
          <w:sz w:val="20"/>
          <w:szCs w:val="20"/>
          <w:color w:val="auto"/>
        </w:rPr>
      </w:pPr>
    </w:p>
    <w:p>
      <w:pPr>
        <w:jc w:val="both"/>
        <w:ind w:left="1080" w:right="559"/>
        <w:spacing w:after="0" w:line="264"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valuation models with significant unobservable pricing inputs and which result in the use of management estimates. As of April 30, 2010 and July 30, 2010, none of the Company’s assets or liabilities were valued using Level 3 pricing inputs.</w:t>
      </w:r>
    </w:p>
    <w:p>
      <w:pPr>
        <w:spacing w:after="0" w:line="141"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nine months ended April 30, 2010 and 2009.</w:t>
      </w:r>
    </w:p>
    <w:p>
      <w:pPr>
        <w:spacing w:after="0" w:line="13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Company’s financial instruments, other than those presented in the disclosures above, include cash, accounts receivable, accounts payable, accrued liabilities and short-term and long-term debt. The fair values of cash, accounts receivable, accounts payable, accrued liabilities and short-term debt approximated carrying values because of the short-term nature of these instruments.</w:t>
      </w:r>
    </w:p>
    <w:p>
      <w:pPr>
        <w:spacing w:after="0" w:line="160"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The estimated fair value of the Company’s long-term obligations, based on the quoted market prices for similar issues and on the current rates offered for debt of similar maturities, was $378,045 and $412,678 at April 30, 2010 and July 31, 2009, respectively, as compared to the carrying value of $365,207 and $391,350 at April 30, 2010 and July 31, 2009, respectively.</w:t>
      </w:r>
    </w:p>
    <w:p>
      <w:pPr>
        <w:spacing w:after="0" w:line="10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Disclosures for nonfinancial assets and liabilities that are measured at fair value, but are recognized and disclosed at fair value on a nonrecurring basis, were required prospectively beginning August 1, 2009. During the three and nine months ended April 30, 2010, the Company had no significant measurements of assets or liabilities at fair value on a nonrecurring basis subsequent to their initial recognition other than the acquisitions of Welco, Stickolor, and Securimed. See Note N, “Acquisitions” for further information.</w:t>
      </w:r>
    </w:p>
    <w:p>
      <w:pPr>
        <w:sectPr>
          <w:pgSz w:w="11900" w:h="16838" w:orient="portrait"/>
          <w:cols w:equalWidth="0" w:num="1">
            <w:col w:w="10219"/>
          </w:cols>
          <w:pgMar w:left="240" w:top="419" w:right="1440" w:bottom="487"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487"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K: New Accounting Pronouncements</w:t>
      </w:r>
    </w:p>
    <w:p>
      <w:pPr>
        <w:spacing w:after="0" w:line="198"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In October 2009, the FASB issued new accounting guidance that provides amendments to the criteria for separating consideration in multiple-deliverable revenue arrangements. As a result of these amendments, multiple-deliverable revenue arrangements will be separated in more circumstances than under existing GAAP. Expanded disclosures of qualitative and quantitative information regarding application of the multiple-deliverable revenue arrangement guidance are also required under the guidance. The guidance is effective for the Company on August 1, 2010. The Company may elect to adopt the provisions prospectively to new or materially modified arrangements beginning on the effective date or retrospectively for all periods presented. Based on the Company’s evaluation, the new guidance does not have a material impact on the Company’s consolidated results of operations and financial condition.</w:t>
      </w:r>
    </w:p>
    <w:p>
      <w:pPr>
        <w:spacing w:after="0" w:line="138" w:lineRule="exact"/>
        <w:rPr>
          <w:sz w:val="20"/>
          <w:szCs w:val="20"/>
          <w:color w:val="auto"/>
        </w:rPr>
      </w:pPr>
    </w:p>
    <w:p>
      <w:pPr>
        <w:jc w:val="both"/>
        <w:ind w:left="340" w:right="559" w:firstLine="280"/>
        <w:spacing w:after="0" w:line="271" w:lineRule="auto"/>
        <w:rPr>
          <w:sz w:val="20"/>
          <w:szCs w:val="20"/>
          <w:color w:val="auto"/>
        </w:rPr>
      </w:pPr>
      <w:r>
        <w:rPr>
          <w:rFonts w:ascii="Arial" w:cs="Arial" w:eastAsia="Arial" w:hAnsi="Arial"/>
          <w:sz w:val="17"/>
          <w:szCs w:val="17"/>
          <w:color w:val="auto"/>
        </w:rPr>
        <w:t>In March 2010, the FASB ratified a consensus of the FASB Emerging Issues Task Force that recognizes the milestone method as an acceptable revenue recognition method for substantive milestones in research or development arrangements. This consensus would require its provisions be met in order for an entity to recognize consideration that is contingent upon achievement of a substantive milestone as revenue in its entirety in the period in which the milestone is achieved. In addition, this consensus would require disclosure of certain information with respect to arrangements that contain milestones. The guidance is effective on a prospective basis for milestones achieved in fiscal years, and interim periods within those years, beginning on or after June 15, 2010. Based on the Company’s evaluation, the new guidance does not have a material impact on the Company’s consolidated results of operations and financial condition.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L: Restructuring</w:t>
      </w:r>
    </w:p>
    <w:p>
      <w:pPr>
        <w:spacing w:after="0" w:line="198"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In fiscal 2009, in response to the global economic downturn, the Company took several measures to address its cost structure. In addition to a company-wide salary freeze and decreased discretionary spending, the Company reduced its workforce by 25%. The Company reduced its workforce through voluntary and involuntary separation programs, voluntary retirement programs, and facility consolidations. As a result of these actions, the Company recorded restructuring charges of $25,849 in fiscal 2009. The restructuring charges included $20,911 of employee separation costs, $2,101 of non-cash fixed asset write-offs, $1,194 of other facility closure related costs, $1,275 of contract termination costs, and $368 of non-cash stock option expense.</w:t>
      </w:r>
    </w:p>
    <w:p>
      <w:pPr>
        <w:spacing w:after="0" w:line="124"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The Company continued executing its restructuring actions that were announced in fiscal 2009 during the nine months ended April 30, 2010. As a result of these actions, the Company recorded restructuring charges of $2,347 and $9,597 during the three and nine months ended April 30, 2010, respectively. The year-to-date restructuring charges consisted of $6,566 of employee separation costs, $1,455 of non-cash fixed asset write-offs, $1,432 of other facility closure related costs, and $144 of contract termination costs. Of the $9,597 of restructuring charges recorded during the nine months ended April 30, 2010, $3,253 was incurred in the Americas, $3,964 was incurred in Europe, and $2,380 was incurred in Asia-Pacific. The charges for employee separation costs consisted of severance pay, outplacement services, medical and other related benefits. The costs related to these restructuring activities have been recorded on the condensed consolidated statements of income as restructuring charges. The Company expects the majority of the remaining cash payments to be made within the next twelve months.</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reconciliation of the Company’s restructuring activity for fiscal 2010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Employee Related</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Asset Write-offs</w:t>
            </w:r>
          </w:p>
        </w:tc>
        <w:tc>
          <w:tcPr>
            <w:tcW w:w="16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July 31, 2009</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4,445</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Restructuring charge</w:t>
            </w:r>
          </w:p>
        </w:tc>
        <w:tc>
          <w:tcPr>
            <w:tcW w:w="5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2,581</w:t>
            </w:r>
          </w:p>
        </w:tc>
        <w:tc>
          <w:tcPr>
            <w:tcW w:w="4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write-offs</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5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(2,930)</w:t>
            </w:r>
          </w:p>
        </w:tc>
        <w:tc>
          <w:tcPr>
            <w:tcW w:w="4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October 31, 2009</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4,096</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Restructuring charge</w:t>
            </w:r>
          </w:p>
        </w:tc>
        <w:tc>
          <w:tcPr>
            <w:tcW w:w="5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2,235</w:t>
            </w:r>
          </w:p>
        </w:tc>
        <w:tc>
          <w:tcPr>
            <w:tcW w:w="4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1,029</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write-offs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5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(2,985)</w:t>
            </w:r>
          </w:p>
        </w:tc>
        <w:tc>
          <w:tcPr>
            <w:tcW w:w="4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January 31, 2010</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3,346</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200"/>
              <w:spacing w:after="0"/>
              <w:rPr>
                <w:sz w:val="20"/>
                <w:szCs w:val="20"/>
                <w:color w:val="auto"/>
              </w:rPr>
            </w:pPr>
            <w:r>
              <w:rPr>
                <w:rFonts w:ascii="Arial" w:cs="Arial" w:eastAsia="Arial" w:hAnsi="Arial"/>
                <w:sz w:val="18"/>
                <w:szCs w:val="18"/>
                <w:color w:val="auto"/>
              </w:rPr>
              <w:t>Restructuring charge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1,751</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write-offs</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5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(1,856)</w:t>
            </w:r>
          </w:p>
        </w:tc>
        <w:tc>
          <w:tcPr>
            <w:tcW w:w="4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(942)</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April 30, 2010</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3,241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M: Derivatives and Hedging Activities</w:t>
      </w:r>
    </w:p>
    <w:p>
      <w:pPr>
        <w:spacing w:after="0" w:line="198"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The Company primarily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12 months, which qualify as cash flow hedges under the accounting guidance for derivative instruments and hedging activities. The primary objective of the Company’s foreign currency exchange risk management is to minimize the impact of currency movements due to products purchased in other than the respective subsidiaries’ functional currency. To achieve this objective, the Company hedges a portion of known exposures using forward foreign exchange currency contracts. As of April 30, 2010, the notional amount of outstanding forward contacts designated as cash flow hedges was $7,097.</w:t>
      </w:r>
    </w:p>
    <w:p>
      <w:pPr>
        <w:spacing w:after="0" w:line="15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significant for the nine months ended April 30, 2010 and 2009.</w:t>
      </w:r>
    </w:p>
    <w:p>
      <w:pPr>
        <w:spacing w:after="0" w:line="148"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Company hedges a portion of known exposure using forward exchange contracts. Main exposures are related to transactions denominated in the British Pound, the Euro, Canadian Dollar, Australian Dollar, Singapore Dollar, Swedish Krona, Danish Krone, Japanese Yen, and the Korean Won. Generally, these risk management transactions will involve the use of foreign currency derivatives to protect against exposure resulting from sales and identified inventory or other asset purchases.</w:t>
      </w:r>
    </w:p>
    <w:p>
      <w:pPr>
        <w:spacing w:after="0" w:line="127"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April 30, 2010 and July 31, 2009, unrealized losses of $155 and $35 have been included in OCI, respectively. All balances are expected to be reclassified from OCI to earnings during the next twelve months when the hedged transactions impact earnings.</w:t>
      </w:r>
    </w:p>
    <w:p>
      <w:pPr>
        <w:spacing w:after="0" w:line="138"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At April 30, 2010, the Company had $165 of forward exchange contracts designated as cash flow hedges included in “Prepaid expenses and other current assets” on the accompanying Condensed Consolidated Balance Sheet. At July 31, 2009, $130 of the Company’s forward exchange contracts not designated as hedging instruments were included in “Prepaid expenses and other current assets,” on the accompanying Condensed Consolidated Balance Sheet. At April 30, 2010 and July 31, 2009, the Company had $276 and $248, of forward exchange contracts designated as hedge instruments included in “Other current liabilities” on the accompanying Condensed Consolidated Balance Sheet, respectively. At April 30, 2010 and July 31, 2009, the U.S. dollar equivalent of these outstanding forward foreign exchange contracts totaled $7,097 and $21,793, respectively, including contracts to sell Euros, Canadian Dollars, Australian Dollars, British Pounds, U.S. Dollars, and Danish Krone.</w:t>
      </w:r>
    </w:p>
    <w:p>
      <w:pPr>
        <w:spacing w:after="0" w:line="126"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During fiscal 2010, the Company also used forward foreign exchange currency contracts designated as hedge instruments to hedge portions of the Company’s net investments in European foreign operations. For hedges that meet the effectiveness requirements, the net gains or losses attributable to changes in spot exchange rates are recorded in cumulative translation within other comprehensive income. Any ineffective portions are to be recognized in earnings. Recognition in earnings of amounts previously recorded in cumulative translation is limited to circumstances such as complete or substantially complete liquidation of the net investment in the hedged foreign operation. At April 30, 2010, the Company had $1,362 of forward foreign exchange currency contracts designated as net investment hedges included in “Prepaid expenses and other current assets” on the accompanying Condensed Consolidated Balance Sheet. The forward foreign exchange currency contacts settled on May 13, 2010 and the balance of the hedge will remain in OCI. As of April 30, 2010, the notional amount of forward foreign exchange currency contracts designated as net investment hedges was $101,162.</w:t>
      </w:r>
    </w:p>
    <w:p>
      <w:pPr>
        <w:spacing w:after="0" w:line="200" w:lineRule="exact"/>
        <w:rPr>
          <w:sz w:val="20"/>
          <w:szCs w:val="20"/>
          <w:color w:val="auto"/>
        </w:rPr>
      </w:pPr>
    </w:p>
    <w:p>
      <w:pPr>
        <w:spacing w:after="0" w:line="3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Asset Derivatives</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Liability Derivatives</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Borders>
              <w:bottom w:val="single" w:sz="8" w:color="auto"/>
            </w:tcBorders>
            <w:gridSpan w:val="4"/>
          </w:tcPr>
          <w:p>
            <w:pPr>
              <w:jc w:val="right"/>
              <w:ind w:right="268"/>
              <w:spacing w:after="0" w:line="142" w:lineRule="exact"/>
              <w:rPr>
                <w:sz w:val="20"/>
                <w:szCs w:val="20"/>
                <w:color w:val="auto"/>
              </w:rPr>
            </w:pPr>
            <w:r>
              <w:rPr>
                <w:rFonts w:ascii="Arial" w:cs="Arial" w:eastAsia="Arial" w:hAnsi="Arial"/>
                <w:sz w:val="14"/>
                <w:szCs w:val="14"/>
                <w:b w:val="1"/>
                <w:bCs w:val="1"/>
                <w:color w:val="auto"/>
              </w:rPr>
              <w:t>30-Apr-10</w:t>
            </w:r>
          </w:p>
        </w:tc>
        <w:tc>
          <w:tcPr>
            <w:tcW w:w="280" w:type="dxa"/>
            <w:vAlign w:val="bottom"/>
          </w:tcPr>
          <w:p>
            <w:pPr>
              <w:spacing w:after="0"/>
              <w:rPr>
                <w:sz w:val="12"/>
                <w:szCs w:val="12"/>
                <w:color w:val="auto"/>
              </w:rPr>
            </w:pPr>
          </w:p>
        </w:tc>
        <w:tc>
          <w:tcPr>
            <w:tcW w:w="1340" w:type="dxa"/>
            <w:vAlign w:val="bottom"/>
            <w:tcBorders>
              <w:bottom w:val="single" w:sz="8" w:color="auto"/>
            </w:tcBorders>
            <w:gridSpan w:val="4"/>
          </w:tcPr>
          <w:p>
            <w:pPr>
              <w:jc w:val="right"/>
              <w:ind w:right="308"/>
              <w:spacing w:after="0" w:line="142" w:lineRule="exact"/>
              <w:rPr>
                <w:sz w:val="20"/>
                <w:szCs w:val="20"/>
                <w:color w:val="auto"/>
              </w:rPr>
            </w:pPr>
            <w:r>
              <w:rPr>
                <w:rFonts w:ascii="Arial" w:cs="Arial" w:eastAsia="Arial" w:hAnsi="Arial"/>
                <w:sz w:val="14"/>
                <w:szCs w:val="14"/>
                <w:b w:val="1"/>
                <w:bCs w:val="1"/>
                <w:color w:val="auto"/>
              </w:rPr>
              <w:t>31-Jul-09</w:t>
            </w:r>
          </w:p>
        </w:tc>
        <w:tc>
          <w:tcPr>
            <w:tcW w:w="300" w:type="dxa"/>
            <w:vAlign w:val="bottom"/>
          </w:tcPr>
          <w:p>
            <w:pPr>
              <w:spacing w:after="0"/>
              <w:rPr>
                <w:sz w:val="12"/>
                <w:szCs w:val="12"/>
                <w:color w:val="auto"/>
              </w:rPr>
            </w:pPr>
          </w:p>
        </w:tc>
        <w:tc>
          <w:tcPr>
            <w:tcW w:w="1340" w:type="dxa"/>
            <w:vAlign w:val="bottom"/>
            <w:tcBorders>
              <w:bottom w:val="single" w:sz="8" w:color="auto"/>
            </w:tcBorders>
            <w:gridSpan w:val="4"/>
          </w:tcPr>
          <w:p>
            <w:pPr>
              <w:jc w:val="right"/>
              <w:ind w:right="288"/>
              <w:spacing w:after="0" w:line="142" w:lineRule="exact"/>
              <w:rPr>
                <w:sz w:val="20"/>
                <w:szCs w:val="20"/>
                <w:color w:val="auto"/>
              </w:rPr>
            </w:pPr>
            <w:r>
              <w:rPr>
                <w:rFonts w:ascii="Arial" w:cs="Arial" w:eastAsia="Arial" w:hAnsi="Arial"/>
                <w:sz w:val="14"/>
                <w:szCs w:val="14"/>
                <w:b w:val="1"/>
                <w:bCs w:val="1"/>
                <w:color w:val="auto"/>
              </w:rPr>
              <w:t>30-Apr-10</w:t>
            </w:r>
          </w:p>
        </w:tc>
        <w:tc>
          <w:tcPr>
            <w:tcW w:w="300" w:type="dxa"/>
            <w:vAlign w:val="bottom"/>
          </w:tcPr>
          <w:p>
            <w:pPr>
              <w:spacing w:after="0"/>
              <w:rPr>
                <w:sz w:val="12"/>
                <w:szCs w:val="12"/>
                <w:color w:val="auto"/>
              </w:rPr>
            </w:pPr>
          </w:p>
        </w:tc>
        <w:tc>
          <w:tcPr>
            <w:tcW w:w="1340" w:type="dxa"/>
            <w:vAlign w:val="bottom"/>
            <w:tcBorders>
              <w:bottom w:val="single" w:sz="8" w:color="auto"/>
            </w:tcBorders>
            <w:gridSpan w:val="4"/>
          </w:tcPr>
          <w:p>
            <w:pPr>
              <w:jc w:val="right"/>
              <w:ind w:right="308"/>
              <w:spacing w:after="0" w:line="142" w:lineRule="exact"/>
              <w:rPr>
                <w:sz w:val="20"/>
                <w:szCs w:val="20"/>
                <w:color w:val="auto"/>
              </w:rPr>
            </w:pPr>
            <w:r>
              <w:rPr>
                <w:rFonts w:ascii="Arial" w:cs="Arial" w:eastAsia="Arial" w:hAnsi="Arial"/>
                <w:sz w:val="14"/>
                <w:szCs w:val="14"/>
                <w:b w:val="1"/>
                <w:bCs w:val="1"/>
                <w:color w:val="auto"/>
              </w:rPr>
              <w:t>31-Jul-09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Balance</w:t>
            </w:r>
          </w:p>
        </w:tc>
        <w:tc>
          <w:tcPr>
            <w:tcW w:w="80" w:type="dxa"/>
            <w:vAlign w:val="bottom"/>
          </w:tcPr>
          <w:p>
            <w:pPr>
              <w:spacing w:after="0"/>
              <w:rPr>
                <w:sz w:val="10"/>
                <w:szCs w:val="10"/>
                <w:color w:val="auto"/>
              </w:rPr>
            </w:pPr>
          </w:p>
        </w:tc>
        <w:tc>
          <w:tcPr>
            <w:tcW w:w="7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w:t>
            </w:r>
          </w:p>
        </w:tc>
        <w:tc>
          <w:tcPr>
            <w:tcW w:w="8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Balance</w:t>
            </w:r>
          </w:p>
        </w:tc>
        <w:tc>
          <w:tcPr>
            <w:tcW w:w="80" w:type="dxa"/>
            <w:vAlign w:val="bottom"/>
          </w:tcPr>
          <w:p>
            <w:pPr>
              <w:spacing w:after="0"/>
              <w:rPr>
                <w:sz w:val="10"/>
                <w:szCs w:val="10"/>
                <w:color w:val="auto"/>
              </w:rPr>
            </w:pPr>
          </w:p>
        </w:tc>
        <w:tc>
          <w:tcPr>
            <w:tcW w:w="7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Fair</w:t>
            </w:r>
          </w:p>
        </w:tc>
        <w:tc>
          <w:tcPr>
            <w:tcW w:w="8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Balance</w:t>
            </w:r>
          </w:p>
        </w:tc>
        <w:tc>
          <w:tcPr>
            <w:tcW w:w="80" w:type="dxa"/>
            <w:vAlign w:val="bottom"/>
          </w:tcPr>
          <w:p>
            <w:pPr>
              <w:spacing w:after="0"/>
              <w:rPr>
                <w:sz w:val="10"/>
                <w:szCs w:val="10"/>
                <w:color w:val="auto"/>
              </w:rPr>
            </w:pPr>
          </w:p>
        </w:tc>
        <w:tc>
          <w:tcPr>
            <w:tcW w:w="7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8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Balance</w:t>
            </w:r>
          </w:p>
        </w:tc>
        <w:tc>
          <w:tcPr>
            <w:tcW w:w="80" w:type="dxa"/>
            <w:vAlign w:val="bottom"/>
          </w:tcPr>
          <w:p>
            <w:pPr>
              <w:spacing w:after="0"/>
              <w:rPr>
                <w:sz w:val="10"/>
                <w:szCs w:val="10"/>
                <w:color w:val="auto"/>
              </w:rPr>
            </w:pPr>
          </w:p>
        </w:tc>
        <w:tc>
          <w:tcPr>
            <w:tcW w:w="5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Derivatives designated as hedging instruments</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Sheet</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Sheet</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Sheet</w:t>
            </w: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40" w:type="dxa"/>
            <w:vAlign w:val="bottom"/>
            <w:gridSpan w:val="2"/>
            <w:vMerge w:val="continue"/>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Location</w:t>
            </w:r>
          </w:p>
        </w:tc>
        <w:tc>
          <w:tcPr>
            <w:tcW w:w="8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Value</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Location</w:t>
            </w:r>
          </w:p>
        </w:tc>
        <w:tc>
          <w:tcPr>
            <w:tcW w:w="8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Value</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Location</w:t>
            </w:r>
          </w:p>
        </w:tc>
        <w:tc>
          <w:tcPr>
            <w:tcW w:w="80" w:type="dxa"/>
            <w:vAlign w:val="bottom"/>
          </w:tcPr>
          <w:p>
            <w:pPr>
              <w:spacing w:after="0"/>
              <w:rPr>
                <w:sz w:val="14"/>
                <w:szCs w:val="14"/>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Location</w:t>
            </w:r>
          </w:p>
        </w:tc>
        <w:tc>
          <w:tcPr>
            <w:tcW w:w="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 hedges</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040" w:type="dxa"/>
            <w:vAlign w:val="bottom"/>
            <w:gridSpan w:val="2"/>
          </w:tcPr>
          <w:p>
            <w:pPr>
              <w:spacing w:after="0" w:line="130" w:lineRule="exact"/>
              <w:rPr>
                <w:sz w:val="20"/>
                <w:szCs w:val="20"/>
                <w:color w:val="auto"/>
              </w:rPr>
            </w:pPr>
            <w:r>
              <w:rPr>
                <w:rFonts w:ascii="Arial" w:cs="Arial" w:eastAsia="Arial" w:hAnsi="Arial"/>
                <w:sz w:val="14"/>
                <w:szCs w:val="14"/>
                <w:color w:val="auto"/>
              </w:rPr>
              <w:t>Foreign exchange contracts</w:t>
            </w:r>
          </w:p>
        </w:tc>
        <w:tc>
          <w:tcPr>
            <w:tcW w:w="80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1"/>
              </w:rPr>
              <w:t>Prepaid</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1"/>
              </w:rPr>
              <w:t>Prepaid</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expenses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expenses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and other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and other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Other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current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current</w:t>
            </w:r>
          </w:p>
        </w:tc>
        <w:tc>
          <w:tcPr>
            <w:tcW w:w="80" w:type="dxa"/>
            <w:vAlign w:val="bottom"/>
          </w:tcPr>
          <w:p>
            <w:pPr>
              <w:spacing w:after="0"/>
              <w:rPr>
                <w:sz w:val="12"/>
                <w:szCs w:val="12"/>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current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current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color w:val="auto"/>
                <w:w w:val="83"/>
              </w:rPr>
              <w:t>assets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165</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83"/>
              </w:rPr>
              <w:t>assets</w:t>
            </w: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rPr>
              <w:t>liabilities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276</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rPr>
              <w:t>liabilities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investment hedges</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040" w:type="dxa"/>
            <w:vAlign w:val="bottom"/>
            <w:gridSpan w:val="2"/>
          </w:tcPr>
          <w:p>
            <w:pPr>
              <w:spacing w:after="0" w:line="130" w:lineRule="exact"/>
              <w:rPr>
                <w:sz w:val="20"/>
                <w:szCs w:val="20"/>
                <w:color w:val="auto"/>
              </w:rPr>
            </w:pPr>
            <w:r>
              <w:rPr>
                <w:rFonts w:ascii="Arial" w:cs="Arial" w:eastAsia="Arial" w:hAnsi="Arial"/>
                <w:sz w:val="14"/>
                <w:szCs w:val="14"/>
                <w:color w:val="auto"/>
              </w:rPr>
              <w:t>Foreign exchange contracts</w:t>
            </w:r>
          </w:p>
        </w:tc>
        <w:tc>
          <w:tcPr>
            <w:tcW w:w="80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1"/>
              </w:rPr>
              <w:t>Prepaid</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1"/>
              </w:rPr>
              <w:t>Prepaid</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expenses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expenses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and other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and other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Other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current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current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current</w:t>
            </w:r>
          </w:p>
        </w:tc>
        <w:tc>
          <w:tcPr>
            <w:tcW w:w="80" w:type="dxa"/>
            <w:vAlign w:val="bottom"/>
          </w:tcPr>
          <w:p>
            <w:pPr>
              <w:spacing w:after="0"/>
              <w:rPr>
                <w:sz w:val="12"/>
                <w:szCs w:val="12"/>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current</w:t>
            </w:r>
          </w:p>
        </w:tc>
        <w:tc>
          <w:tcPr>
            <w:tcW w:w="80" w:type="dxa"/>
            <w:vAlign w:val="bottom"/>
          </w:tcPr>
          <w:p>
            <w:pPr>
              <w:spacing w:after="0"/>
              <w:rPr>
                <w:sz w:val="12"/>
                <w:szCs w:val="12"/>
                <w:color w:val="auto"/>
              </w:rPr>
            </w:pPr>
          </w:p>
        </w:tc>
        <w:tc>
          <w:tcPr>
            <w:tcW w:w="5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4"/>
        </w:trPr>
        <w:tc>
          <w:tcPr>
            <w:tcW w:w="2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color w:val="auto"/>
                <w:w w:val="83"/>
              </w:rPr>
              <w:t>assets</w:t>
            </w:r>
          </w:p>
        </w:tc>
        <w:tc>
          <w:tcPr>
            <w:tcW w:w="8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1,362</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83"/>
              </w:rPr>
              <w:t>assets</w:t>
            </w:r>
          </w:p>
        </w:tc>
        <w:tc>
          <w:tcPr>
            <w:tcW w:w="8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rPr>
              <w:t>liabilities</w:t>
            </w: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rPr>
              <w:t>liabilities</w:t>
            </w:r>
          </w:p>
        </w:tc>
        <w:tc>
          <w:tcPr>
            <w:tcW w:w="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04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derivatives designated as hedging</w:t>
            </w: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4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instruments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1,527</w:t>
            </w: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276</w:t>
            </w: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not designated as hedging</w:t>
            </w: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040" w:type="dxa"/>
            <w:vAlign w:val="bottom"/>
            <w:gridSpan w:val="2"/>
            <w:vMerge w:val="continue"/>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3040" w:type="dxa"/>
            <w:vAlign w:val="bottom"/>
            <w:gridSpan w:val="2"/>
          </w:tcPr>
          <w:p>
            <w:pPr>
              <w:ind w:left="200"/>
              <w:spacing w:after="0"/>
              <w:rPr>
                <w:sz w:val="20"/>
                <w:szCs w:val="20"/>
                <w:color w:val="auto"/>
              </w:rPr>
            </w:pPr>
            <w:r>
              <w:rPr>
                <w:rFonts w:ascii="Arial" w:cs="Arial" w:eastAsia="Arial" w:hAnsi="Arial"/>
                <w:sz w:val="14"/>
                <w:szCs w:val="14"/>
                <w:b w:val="1"/>
                <w:bCs w:val="1"/>
                <w:color w:val="auto"/>
              </w:rPr>
              <w:t>instruments</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 hedges</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040" w:type="dxa"/>
            <w:vAlign w:val="bottom"/>
            <w:gridSpan w:val="2"/>
          </w:tcPr>
          <w:p>
            <w:pPr>
              <w:spacing w:after="0" w:line="130" w:lineRule="exact"/>
              <w:rPr>
                <w:sz w:val="20"/>
                <w:szCs w:val="20"/>
                <w:color w:val="auto"/>
              </w:rPr>
            </w:pPr>
            <w:r>
              <w:rPr>
                <w:rFonts w:ascii="Arial" w:cs="Arial" w:eastAsia="Arial" w:hAnsi="Arial"/>
                <w:sz w:val="14"/>
                <w:szCs w:val="14"/>
                <w:color w:val="auto"/>
              </w:rPr>
              <w:t>Foreign exchange contracts</w:t>
            </w:r>
          </w:p>
        </w:tc>
        <w:tc>
          <w:tcPr>
            <w:tcW w:w="80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1"/>
              </w:rPr>
              <w:t>Prepaid</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1"/>
              </w:rPr>
              <w:t>Prepaid</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expenses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expenses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and other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and other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Other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current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current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current</w:t>
            </w:r>
          </w:p>
        </w:tc>
        <w:tc>
          <w:tcPr>
            <w:tcW w:w="80" w:type="dxa"/>
            <w:vAlign w:val="bottom"/>
          </w:tcPr>
          <w:p>
            <w:pPr>
              <w:spacing w:after="0"/>
              <w:rPr>
                <w:sz w:val="12"/>
                <w:szCs w:val="12"/>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current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color w:val="auto"/>
                <w:w w:val="83"/>
              </w:rPr>
              <w:t>assets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83"/>
              </w:rPr>
              <w:t>assets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130</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rPr>
              <w:t>liabilities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vMerge w:val="continue"/>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rPr>
              <w:t>liabilities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04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derivatives not designated as hedging</w:t>
            </w: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4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instruments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130</w:t>
            </w: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pre-tax effects of derivative instruments designated as cash flow hedges and net investment hedges on the Condensed Consolidated Statements of Income consisted of the following:</w:t>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Amount of Gain or (Loss)</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spacing w:after="0"/>
              <w:rPr>
                <w:sz w:val="20"/>
                <w:szCs w:val="20"/>
                <w:color w:val="auto"/>
              </w:rPr>
            </w:pPr>
            <w:r>
              <w:rPr>
                <w:rFonts w:ascii="Arial" w:cs="Arial" w:eastAsia="Arial" w:hAnsi="Arial"/>
                <w:sz w:val="14"/>
                <w:szCs w:val="14"/>
                <w:b w:val="1"/>
                <w:bCs w:val="1"/>
                <w:color w:val="auto"/>
              </w:rPr>
              <w:t>Amount of Gain or (Loss)</w:t>
            </w: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Amount of Gain or (Loss)</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Derivative (Effective</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Derivative (Ineffective</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Portion)</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w:t>
            </w:r>
          </w:p>
        </w:tc>
        <w:tc>
          <w:tcPr>
            <w:tcW w:w="1740" w:type="dxa"/>
            <w:vAlign w:val="bottom"/>
            <w:gridSpan w:val="6"/>
          </w:tcPr>
          <w:p>
            <w:pPr>
              <w:spacing w:after="0"/>
              <w:rPr>
                <w:sz w:val="20"/>
                <w:szCs w:val="20"/>
                <w:color w:val="auto"/>
              </w:rPr>
            </w:pPr>
            <w:r>
              <w:rPr>
                <w:rFonts w:ascii="Arial" w:cs="Arial" w:eastAsia="Arial" w:hAnsi="Arial"/>
                <w:sz w:val="14"/>
                <w:szCs w:val="14"/>
                <w:b w:val="1"/>
                <w:bCs w:val="1"/>
                <w:color w:val="auto"/>
                <w:w w:val="99"/>
              </w:rPr>
              <w:t>Income (Effective Portion)</w:t>
            </w: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3"/>
              </w:rPr>
              <w:t>Portion)</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Gain or (Loss)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Location of</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Nine</w:t>
            </w:r>
          </w:p>
        </w:tc>
        <w:tc>
          <w:tcPr>
            <w:tcW w:w="80" w:type="dxa"/>
            <w:vAlign w:val="bottom"/>
          </w:tcPr>
          <w:p>
            <w:pPr>
              <w:spacing w:after="0"/>
              <w:rPr>
                <w:sz w:val="12"/>
                <w:szCs w:val="12"/>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Nine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80" w:type="dxa"/>
            <w:vAlign w:val="bottom"/>
          </w:tcPr>
          <w:p>
            <w:pPr>
              <w:spacing w:after="0"/>
              <w:rPr>
                <w:sz w:val="12"/>
                <w:szCs w:val="12"/>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Nine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8"/>
              </w:rPr>
              <w:t>Nine</w:t>
            </w:r>
          </w:p>
        </w:tc>
        <w:tc>
          <w:tcPr>
            <w:tcW w:w="80" w:type="dxa"/>
            <w:vAlign w:val="bottom"/>
          </w:tcPr>
          <w:p>
            <w:pPr>
              <w:spacing w:after="0"/>
              <w:rPr>
                <w:sz w:val="12"/>
                <w:szCs w:val="12"/>
                <w:color w:val="auto"/>
              </w:rPr>
            </w:pPr>
          </w:p>
        </w:tc>
        <w:tc>
          <w:tcPr>
            <w:tcW w:w="4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Nine</w:t>
            </w:r>
          </w:p>
        </w:tc>
        <w:tc>
          <w:tcPr>
            <w:tcW w:w="0" w:type="dxa"/>
            <w:vAlign w:val="bottom"/>
          </w:tcPr>
          <w:p>
            <w:pPr>
              <w:spacing w:after="0"/>
              <w:rPr>
                <w:sz w:val="1"/>
                <w:szCs w:val="1"/>
                <w:color w:val="auto"/>
              </w:rPr>
            </w:pPr>
          </w:p>
        </w:tc>
      </w:tr>
      <w:tr>
        <w:trPr>
          <w:trHeight w:val="149"/>
        </w:trPr>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From</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Nine</w:t>
            </w: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Gain or (Loss)</w:t>
            </w: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Cash Flow</w:t>
            </w:r>
          </w:p>
        </w:tc>
        <w:tc>
          <w:tcPr>
            <w:tcW w:w="10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months</w:t>
            </w:r>
          </w:p>
        </w:tc>
        <w:tc>
          <w:tcPr>
            <w:tcW w:w="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months</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months</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months</w:t>
            </w:r>
          </w:p>
        </w:tc>
        <w:tc>
          <w:tcPr>
            <w:tcW w:w="52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months</w:t>
            </w:r>
          </w:p>
        </w:tc>
        <w:tc>
          <w:tcPr>
            <w:tcW w:w="0" w:type="dxa"/>
            <w:vAlign w:val="bottom"/>
          </w:tcPr>
          <w:p>
            <w:pPr>
              <w:spacing w:after="0"/>
              <w:rPr>
                <w:sz w:val="1"/>
                <w:szCs w:val="1"/>
                <w:color w:val="auto"/>
              </w:rPr>
            </w:pPr>
          </w:p>
        </w:tc>
      </w:tr>
      <w:tr>
        <w:trPr>
          <w:trHeight w:val="149"/>
        </w:trPr>
        <w:tc>
          <w:tcPr>
            <w:tcW w:w="1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&amp; Net</w:t>
            </w:r>
          </w:p>
        </w:tc>
        <w:tc>
          <w:tcPr>
            <w:tcW w:w="10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ended</w:t>
            </w:r>
          </w:p>
        </w:tc>
        <w:tc>
          <w:tcPr>
            <w:tcW w:w="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ended</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OCI into</w:t>
            </w:r>
          </w:p>
        </w:tc>
        <w:tc>
          <w:tcPr>
            <w:tcW w:w="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ended</w:t>
            </w: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months</w:t>
            </w: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Income on</w:t>
            </w:r>
          </w:p>
        </w:tc>
        <w:tc>
          <w:tcPr>
            <w:tcW w:w="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ended</w:t>
            </w:r>
          </w:p>
        </w:tc>
        <w:tc>
          <w:tcPr>
            <w:tcW w:w="5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1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April</w:t>
            </w:r>
          </w:p>
        </w:tc>
        <w:tc>
          <w:tcPr>
            <w:tcW w:w="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April</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April</w:t>
            </w: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ended</w:t>
            </w: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April</w:t>
            </w:r>
          </w:p>
        </w:tc>
        <w:tc>
          <w:tcPr>
            <w:tcW w:w="5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April</w:t>
            </w:r>
          </w:p>
        </w:tc>
        <w:tc>
          <w:tcPr>
            <w:tcW w:w="0" w:type="dxa"/>
            <w:vAlign w:val="bottom"/>
          </w:tcPr>
          <w:p>
            <w:pPr>
              <w:spacing w:after="0"/>
              <w:rPr>
                <w:sz w:val="1"/>
                <w:szCs w:val="1"/>
                <w:color w:val="auto"/>
              </w:rPr>
            </w:pPr>
          </w:p>
        </w:tc>
      </w:tr>
      <w:tr>
        <w:trPr>
          <w:trHeight w:val="149"/>
        </w:trPr>
        <w:tc>
          <w:tcPr>
            <w:tcW w:w="1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Hedging</w:t>
            </w:r>
          </w:p>
        </w:tc>
        <w:tc>
          <w:tcPr>
            <w:tcW w:w="100" w:type="dxa"/>
            <w:vAlign w:val="bottom"/>
          </w:tcPr>
          <w:p>
            <w:pPr>
              <w:spacing w:after="0"/>
              <w:rPr>
                <w:sz w:val="12"/>
                <w:szCs w:val="12"/>
                <w:color w:val="auto"/>
              </w:rPr>
            </w:pPr>
          </w:p>
        </w:tc>
        <w:tc>
          <w:tcPr>
            <w:tcW w:w="58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30,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30,</w:t>
            </w:r>
          </w:p>
        </w:tc>
        <w:tc>
          <w:tcPr>
            <w:tcW w:w="14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(Effective</w:t>
            </w:r>
          </w:p>
        </w:tc>
        <w:tc>
          <w:tcPr>
            <w:tcW w:w="80" w:type="dxa"/>
            <w:vAlign w:val="bottom"/>
          </w:tcPr>
          <w:p>
            <w:pPr>
              <w:spacing w:after="0"/>
              <w:rPr>
                <w:sz w:val="12"/>
                <w:szCs w:val="12"/>
                <w:color w:val="auto"/>
              </w:rPr>
            </w:pPr>
          </w:p>
        </w:tc>
        <w:tc>
          <w:tcPr>
            <w:tcW w:w="62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April 30,</w:t>
            </w: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(Ineffective</w:t>
            </w:r>
          </w:p>
        </w:tc>
        <w:tc>
          <w:tcPr>
            <w:tcW w:w="80" w:type="dxa"/>
            <w:vAlign w:val="bottom"/>
          </w:tcPr>
          <w:p>
            <w:pPr>
              <w:spacing w:after="0"/>
              <w:rPr>
                <w:sz w:val="12"/>
                <w:szCs w:val="12"/>
                <w:color w:val="auto"/>
              </w:rPr>
            </w:pPr>
          </w:p>
        </w:tc>
        <w:tc>
          <w:tcPr>
            <w:tcW w:w="86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Relationships</w:t>
            </w:r>
          </w:p>
        </w:tc>
        <w:tc>
          <w:tcPr>
            <w:tcW w:w="10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Portion)</w:t>
            </w:r>
          </w:p>
        </w:tc>
        <w:tc>
          <w:tcPr>
            <w:tcW w:w="80" w:type="dxa"/>
            <w:vAlign w:val="bottom"/>
          </w:tcPr>
          <w:p>
            <w:pPr>
              <w:spacing w:after="0"/>
              <w:rPr>
                <w:sz w:val="14"/>
                <w:szCs w:val="14"/>
                <w:color w:val="auto"/>
              </w:rPr>
            </w:pPr>
          </w:p>
        </w:tc>
        <w:tc>
          <w:tcPr>
            <w:tcW w:w="620" w:type="dxa"/>
            <w:vAlign w:val="bottom"/>
          </w:tcPr>
          <w:p>
            <w:pPr>
              <w:jc w:val="right"/>
              <w:ind w:right="128"/>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2009</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Portion)</w:t>
            </w:r>
          </w:p>
        </w:tc>
        <w:tc>
          <w:tcPr>
            <w:tcW w:w="80" w:type="dxa"/>
            <w:vAlign w:val="bottom"/>
          </w:tcPr>
          <w:p>
            <w:pPr>
              <w:spacing w:after="0"/>
              <w:rPr>
                <w:sz w:val="14"/>
                <w:szCs w:val="14"/>
                <w:color w:val="auto"/>
              </w:rPr>
            </w:pPr>
          </w:p>
        </w:tc>
        <w:tc>
          <w:tcPr>
            <w:tcW w:w="860" w:type="dxa"/>
            <w:vAlign w:val="bottom"/>
          </w:tcPr>
          <w:p>
            <w:pPr>
              <w:jc w:val="right"/>
              <w:ind w:right="248"/>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 Hedges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340" w:type="dxa"/>
            <w:vAlign w:val="bottom"/>
            <w:gridSpan w:val="2"/>
          </w:tcPr>
          <w:p>
            <w:pPr>
              <w:spacing w:after="0" w:line="130" w:lineRule="exact"/>
              <w:rPr>
                <w:sz w:val="20"/>
                <w:szCs w:val="20"/>
                <w:color w:val="auto"/>
              </w:rPr>
            </w:pPr>
            <w:r>
              <w:rPr>
                <w:rFonts w:ascii="Arial" w:cs="Arial" w:eastAsia="Arial" w:hAnsi="Arial"/>
                <w:sz w:val="14"/>
                <w:szCs w:val="14"/>
                <w:color w:val="auto"/>
              </w:rPr>
              <w:t>Foreign exchange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340" w:type="dxa"/>
            <w:vAlign w:val="bottom"/>
            <w:gridSpan w:val="2"/>
          </w:tcPr>
          <w:p>
            <w:pPr>
              <w:ind w:left="200"/>
              <w:spacing w:after="0"/>
              <w:rPr>
                <w:sz w:val="20"/>
                <w:szCs w:val="20"/>
                <w:color w:val="auto"/>
              </w:rPr>
            </w:pPr>
            <w:r>
              <w:rPr>
                <w:rFonts w:ascii="Arial" w:cs="Arial" w:eastAsia="Arial" w:hAnsi="Arial"/>
                <w:sz w:val="14"/>
                <w:szCs w:val="14"/>
                <w:color w:val="auto"/>
              </w:rPr>
              <w:t>contracts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1,716</w:t>
            </w:r>
          </w:p>
        </w:tc>
        <w:tc>
          <w:tcPr>
            <w:tcW w:w="1340" w:type="dxa"/>
            <w:vAlign w:val="bottom"/>
            <w:gridSpan w:val="2"/>
          </w:tcPr>
          <w:p>
            <w:pPr>
              <w:spacing w:after="0"/>
              <w:rPr>
                <w:sz w:val="20"/>
                <w:szCs w:val="20"/>
                <w:color w:val="auto"/>
              </w:rPr>
            </w:pPr>
            <w:r>
              <w:rPr>
                <w:rFonts w:ascii="Arial" w:cs="Arial" w:eastAsia="Arial" w:hAnsi="Arial"/>
                <w:sz w:val="14"/>
                <w:szCs w:val="14"/>
                <w:color w:val="auto"/>
              </w:rPr>
              <w:t>Cost of Goods Sold</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gridSpan w:val="2"/>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(1,027)</w:t>
            </w:r>
          </w:p>
        </w:tc>
        <w:tc>
          <w:tcPr>
            <w:tcW w:w="1440" w:type="dxa"/>
            <w:vAlign w:val="bottom"/>
            <w:gridSpan w:val="2"/>
          </w:tcPr>
          <w:p>
            <w:pPr>
              <w:spacing w:after="0"/>
              <w:rPr>
                <w:sz w:val="20"/>
                <w:szCs w:val="20"/>
                <w:color w:val="auto"/>
              </w:rPr>
            </w:pPr>
            <w:r>
              <w:rPr>
                <w:rFonts w:ascii="Arial" w:cs="Arial" w:eastAsia="Arial" w:hAnsi="Arial"/>
                <w:sz w:val="14"/>
                <w:szCs w:val="14"/>
                <w:color w:val="auto"/>
              </w:rPr>
              <w:t>Cost of Goods Sold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34"/>
        </w:trPr>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34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Net Investment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4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Hedges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40" w:type="dxa"/>
            <w:vAlign w:val="bottom"/>
            <w:gridSpan w:val="2"/>
          </w:tcPr>
          <w:p>
            <w:pPr>
              <w:spacing w:after="0" w:line="130" w:lineRule="exact"/>
              <w:rPr>
                <w:sz w:val="20"/>
                <w:szCs w:val="20"/>
                <w:color w:val="auto"/>
              </w:rPr>
            </w:pPr>
            <w:r>
              <w:rPr>
                <w:rFonts w:ascii="Arial" w:cs="Arial" w:eastAsia="Arial" w:hAnsi="Arial"/>
                <w:sz w:val="14"/>
                <w:szCs w:val="14"/>
                <w:color w:val="auto"/>
              </w:rPr>
              <w:t>Foreign exchange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40" w:type="dxa"/>
            <w:vAlign w:val="bottom"/>
            <w:gridSpan w:val="2"/>
          </w:tcPr>
          <w:p>
            <w:pPr>
              <w:ind w:left="200"/>
              <w:spacing w:after="0"/>
              <w:rPr>
                <w:sz w:val="20"/>
                <w:szCs w:val="20"/>
                <w:color w:val="auto"/>
              </w:rPr>
            </w:pPr>
            <w:r>
              <w:rPr>
                <w:rFonts w:ascii="Arial" w:cs="Arial" w:eastAsia="Arial" w:hAnsi="Arial"/>
                <w:sz w:val="14"/>
                <w:szCs w:val="14"/>
                <w:color w:val="auto"/>
              </w:rPr>
              <w:t>contracts</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1,326</w:t>
            </w: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1,716</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(1,027)</w:t>
            </w: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pre-tax effects of derivative instruments not designated as hedge instruments on the Condensed Consolidated Statements of Income consisted of the following:</w:t>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6"/>
          </w:tcPr>
          <w:p>
            <w:pPr>
              <w:ind w:left="20"/>
              <w:spacing w:after="0"/>
              <w:rPr>
                <w:sz w:val="20"/>
                <w:szCs w:val="20"/>
                <w:color w:val="auto"/>
              </w:rPr>
            </w:pPr>
            <w:r>
              <w:rPr>
                <w:rFonts w:ascii="Arial" w:cs="Arial" w:eastAsia="Arial" w:hAnsi="Arial"/>
                <w:sz w:val="14"/>
                <w:szCs w:val="14"/>
                <w:b w:val="1"/>
                <w:bCs w:val="1"/>
                <w:color w:val="auto"/>
              </w:rPr>
              <w:t>Amount of Gain or (Loss) Recognized in</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Location of Gain or (Loss)</w:t>
            </w:r>
          </w:p>
        </w:tc>
        <w:tc>
          <w:tcPr>
            <w:tcW w:w="120" w:type="dxa"/>
            <w:vAlign w:val="bottom"/>
          </w:tcPr>
          <w:p>
            <w:pPr>
              <w:spacing w:after="0"/>
              <w:rPr>
                <w:sz w:val="14"/>
                <w:szCs w:val="14"/>
                <w:color w:val="auto"/>
              </w:rPr>
            </w:pPr>
          </w:p>
        </w:tc>
        <w:tc>
          <w:tcPr>
            <w:tcW w:w="2720" w:type="dxa"/>
            <w:vAlign w:val="bottom"/>
            <w:gridSpan w:val="6"/>
          </w:tcPr>
          <w:p>
            <w:pPr>
              <w:ind w:left="600"/>
              <w:spacing w:after="0"/>
              <w:rPr>
                <w:sz w:val="20"/>
                <w:szCs w:val="20"/>
                <w:color w:val="auto"/>
              </w:rPr>
            </w:pPr>
            <w:r>
              <w:rPr>
                <w:rFonts w:ascii="Arial" w:cs="Arial" w:eastAsia="Arial" w:hAnsi="Arial"/>
                <w:sz w:val="14"/>
                <w:szCs w:val="14"/>
                <w:b w:val="1"/>
                <w:bCs w:val="1"/>
                <w:color w:val="auto"/>
              </w:rPr>
              <w:t>Income on Derivative</w:t>
            </w:r>
          </w:p>
        </w:tc>
        <w:tc>
          <w:tcPr>
            <w:tcW w:w="0" w:type="dxa"/>
            <w:vAlign w:val="bottom"/>
          </w:tcPr>
          <w:p>
            <w:pPr>
              <w:spacing w:after="0"/>
              <w:rPr>
                <w:sz w:val="1"/>
                <w:szCs w:val="1"/>
                <w:color w:val="auto"/>
              </w:rPr>
            </w:pPr>
          </w:p>
        </w:tc>
      </w:tr>
      <w:tr>
        <w:trPr>
          <w:trHeight w:val="119"/>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80" w:type="dxa"/>
            <w:vAlign w:val="bottom"/>
          </w:tcPr>
          <w:p>
            <w:pPr>
              <w:spacing w:after="0"/>
              <w:rPr>
                <w:sz w:val="10"/>
                <w:szCs w:val="10"/>
                <w:color w:val="auto"/>
              </w:rPr>
            </w:pPr>
          </w:p>
        </w:tc>
        <w:tc>
          <w:tcPr>
            <w:tcW w:w="18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Recognized in Income</w:t>
            </w:r>
          </w:p>
        </w:tc>
        <w:tc>
          <w:tcPr>
            <w:tcW w:w="158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Nine months ended</w:t>
            </w:r>
          </w:p>
        </w:tc>
        <w:tc>
          <w:tcPr>
            <w:tcW w:w="11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Nine months ended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on Derivative</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April 30, 2010</w:t>
            </w:r>
          </w:p>
        </w:tc>
        <w:tc>
          <w:tcPr>
            <w:tcW w:w="40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April 30, 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Foreign exchange contracts</w:t>
            </w:r>
          </w:p>
        </w:tc>
        <w:tc>
          <w:tcPr>
            <w:tcW w:w="18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Other income (expense)</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ind w:left="92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800"/>
              <w:spacing w:after="0" w:line="142" w:lineRule="exact"/>
              <w:rPr>
                <w:sz w:val="20"/>
                <w:szCs w:val="20"/>
                <w:color w:val="auto"/>
              </w:rPr>
            </w:pPr>
            <w:r>
              <w:rPr>
                <w:rFonts w:ascii="Arial" w:cs="Arial" w:eastAsia="Arial" w:hAnsi="Arial"/>
                <w:sz w:val="14"/>
                <w:szCs w:val="14"/>
                <w:color w:val="auto"/>
                <w:w w:val="97"/>
              </w:rPr>
              <w:t>(402)</w:t>
            </w:r>
          </w:p>
        </w:tc>
        <w:tc>
          <w:tcPr>
            <w:tcW w:w="0" w:type="dxa"/>
            <w:vAlign w:val="bottom"/>
          </w:tcPr>
          <w:p>
            <w:pPr>
              <w:spacing w:after="0"/>
              <w:rPr>
                <w:sz w:val="1"/>
                <w:szCs w:val="1"/>
                <w:color w:val="auto"/>
              </w:rPr>
            </w:pPr>
          </w:p>
        </w:tc>
      </w:tr>
      <w:tr>
        <w:trPr>
          <w:trHeight w:val="156"/>
        </w:trPr>
        <w:tc>
          <w:tcPr>
            <w:tcW w:w="448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ind w:left="920"/>
              <w:spacing w:after="0" w:line="155" w:lineRule="exact"/>
              <w:rPr>
                <w:sz w:val="20"/>
                <w:szCs w:val="20"/>
                <w:color w:val="auto"/>
              </w:rPr>
            </w:pPr>
            <w:r>
              <w:rPr>
                <w:rFonts w:ascii="Arial" w:cs="Arial" w:eastAsia="Arial" w:hAnsi="Arial"/>
                <w:sz w:val="14"/>
                <w:szCs w:val="14"/>
                <w:b w:val="1"/>
                <w:bCs w:val="1"/>
                <w:color w:val="auto"/>
                <w:w w:val="85"/>
              </w:rPr>
              <w:t>—</w:t>
            </w:r>
          </w:p>
        </w:tc>
        <w:tc>
          <w:tcPr>
            <w:tcW w:w="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73"/>
              </w:rPr>
              <w:t>(402)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N — Acquisitions</w:t>
      </w:r>
    </w:p>
    <w:p>
      <w:pPr>
        <w:spacing w:after="0" w:line="185"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On March 31, 2010, the Company acquired Securimed SAS (“Securimed”), based in Coudekerque, France for $10,132. Securimed is a leading French supplier and distributor of customized first-aid kits and supplies, and related healthcare products including personal protection, disinfection and hygiene products, diagnosis materials, and products for emergency response. The Securimed business is included in the Company’s Europe segment. The purchase price allocation resulted in $6,118 assigned to goodwill, $2,480 assigned to customer relationships, and $705 assigned to trademark. The amounts assigned to the trademark and customer relationships are being amortized over 10 and 5 years, respectively. The Company expects the acquisition to facilitate growth of the direct marketing business through multi-channel sales resulting in added value to the Company’s customers.</w:t>
      </w:r>
    </w:p>
    <w:p>
      <w:pPr>
        <w:spacing w:after="0" w:line="152"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On December 23, 2009, the Company acquired Stickolor Industria e Comercio de Auto Adesivos Ltda. (“Stickolor”), based in Saõ Paulo, Brazil for $18,459. Stickolor manufactures screen-printed custom labels, overlays and nameplates for automobiles, tractors, motorcycles, electronics, white goods and general industrial markets. The Stickolor business is included in the Company’s Americas segment. The purchase price allocation resulted in $13,370 assigned to goodwill, $4,989 assigned to customer relationships, and $55 assigned to trademark. The amounts assigned to the trademark and customer relationships are being amortized over 3 and 7 years, respectively. The Company expects the acquisition to further strengthen its position in the industrial identification market in Brazil and enhance its screen printing capabilities, as well as facilitate its growth into complementary markets in the region including automotive, agricultural equipment, and major appliances.</w:t>
      </w:r>
    </w:p>
    <w:p>
      <w:pPr>
        <w:spacing w:after="0" w:line="13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On October 9, 2009, the Company acquired certain assets of the Welco division of Welconstruct Group Limited, based in the United Kingdom for $1,840. The Welco division conducts a direct marketing business consisting of sales of storage, handling, office and workplace products, and equipment via catalog and the internet to industrial and commercial markets under the name and title “Welco.” The purchase price allocation resulted in $778 assigned to goodwill, $501 assigned to customer relationships, and $580 assigned to trademark. The amounts assigned to the trademark and customer relationships are being amortized over 10 and 6 years, respectively. The Company expects the acquisition to facilitate growth of the direct marketing business through multi-channel sales.</w:t>
      </w:r>
    </w:p>
    <w:p>
      <w:pPr>
        <w:spacing w:after="0" w:line="14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results of the operations of the acquired business have been included since the respective dates of acquisition in the accompanying condensed consolidated financial statements. The Company is continuing to evaluate the initial purchase price allocations for the acquisitions completed within the past 12 months and will adjust the allocations as additional information relative to the fair value of assets and liabilities of the acquired businesses becomes known. Pro forma information related to the acquisitions during the nine months ended April 30, 2010 is not included because the impact on the Company’s consolidated results of operations is considered to be immaterial.</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O — Subsequent Events</w:t>
      </w:r>
    </w:p>
    <w:p>
      <w:pPr>
        <w:spacing w:after="0" w:line="198"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On May 18, 2010, the Board of Directors declared a quarterly cash dividend to shareholders of the Company’s Class A Common Stock of $0.175 per share payable on July 30, 2010 to shareholders of record at the close of business on July 9, 2010.</w:t>
      </w:r>
    </w:p>
    <w:p>
      <w:pPr>
        <w:spacing w:after="0" w:line="83"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On May 13, 2010, the Company completed a private placement of €75,000 (approximately $95,000 USD) aggregate principal amount of senior unsecured notes to accredited institutional investors. The €75,000 of senior notes consists of €30,000 aggregate principal amount of 3.71% Series 2010-A Senior Notes, due May 13, 2017 and €45,000 aggregate principal amount of 4.24% Series 2010-A Senior Notes, due May 13, 2020. These unsecured notes were issued pursuant to a Note Purchase Agreement, dated as of May 13, 2010. The Company intends to use the net proceeds of the private placement to refinance existing debt, to fund future acquisitions, and for general corporate purposes. The foreign currency denominated debt will also hedge portions of the Company’s net investments in European foreign operations.</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Overview</w:t>
      </w:r>
    </w:p>
    <w:p>
      <w:pPr>
        <w:spacing w:after="0" w:line="185"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Brady is an international manufacturer and marketer of identification solutions and specialty materials that identify and protect premises, products, and people. Its products include high-performance labels and signs, printing systems and software, safety devices, precision die-cut materials, and label-application and data-collection systems. Founded in 1914, the Company serves customers in manufacturing, electrical, telecommunications, electronics, construction, laboratory, education, governmental, public utility, computer, transportation and a variety of other industries. The Company manufactures and sells products domestically and internationally through multiple channels including distributor sales, direct sales, mail-order catalogs, telemarketing, retail and electronic access through the Internet. The Company believes that its reputation for innovation, commitment to quality and service, and dedicated employees have made it a world leader in the markets it serves. The Company operates manufacturing or distribution facilities in Australia, Belgium, Brazil, Canada, China, France, Germany, India, Italy, Japan, Malaysia, Mexico, the Netherlands, Norway, Poland, Singapore, South Korea, Sweden, Thailand, the United Kingdom and the United States. Brady sells through subsidiaries or sales offices in these countries, with additional sales through a dedicated team of international sales representatives in Hong Kong, the Philippines, Slovakia, Spain, Taiwan, Turkey, and the United Arab Emirates and further markets its products to parts of Eastern Europe, the Middle East, Africa, South America, and Russia.</w:t>
      </w:r>
    </w:p>
    <w:p>
      <w:pPr>
        <w:spacing w:after="0" w:line="145"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Sales for the quarter ended April 30, 2010, increased 16.3% to $321.9 million, compared to $276.7 million in the same period of fiscal 2009. Of the increase in sales, organic sales increased 8.5%, acquisitions added 2.0% and the effects of fluctuations in the exchange rates used to translate financial results into the United States dollar increased sales 5.8%. Net income for the quarter ended April 30, 2010, was $23.7 million or $0.45 per diluted Class A Nonvoting Common Share, up 31.9% and 32.4%, respectively, from $18.0 million or $0.34 per diluted Class A Nonvoting Common Share reported in the third quarter of last fiscal year. Net income before restructuring-related expenses for the quarter ended April 30, 2010 was $25.4 million, or $0.48 per diluted Class A Nonvoting Common Share, an increase of 29.6% from $19.6 million or $0.37 per diluted Class A Nonvoting Common Share for the quarter ended April 30, 2009.</w:t>
      </w:r>
    </w:p>
    <w:p>
      <w:pPr>
        <w:spacing w:after="0" w:line="152"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Sales for the nine months ended April 30, 2010, increased 1.6% to $936.2 million, compared to $921.5 million in the same period of fiscal 2009. Of the increase in sales, organic sales declined 3.1%, acquisitions added 0.9% and the effects of fluctuations in the exchange rates used to translate financial results into the United States dollar increased sales 3.8%. Net income for the nine months ended April 30, 2010, was $60.4 million or $1.14 per diluted Class A Nonvoting Common Share, up 18.5% and 18.8%, respectively, from $50.9 million or $0.96 per diluted Class A Nonvoting Common Share reported in the same period of the prior fiscal year. Net income before restructuring-related expenses for the nine months ended April 30, 2010 was $67.3 million or $1.27 per diluted Class A Nonvoting Common Share, a decrease of 0.6% from $67.7 million, or $1.28 per diluted Class A Nonvoting Common Share, for the nine months ended April 30, 2009.</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Results of Operations</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comparability of the operating results for the three and nine months ended April 30, 2010, to the same periods of the prior year has been impacted by the following acquisitions completed in fiscal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Acquisitions</w:t>
            </w:r>
          </w:p>
        </w:tc>
        <w:tc>
          <w:tcPr>
            <w:tcW w:w="260" w:type="dxa"/>
            <w:vAlign w:val="bottom"/>
          </w:tcPr>
          <w:p>
            <w:pPr>
              <w:spacing w:after="0"/>
              <w:rPr>
                <w:sz w:val="20"/>
                <w:szCs w:val="20"/>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Segment</w:t>
            </w:r>
          </w:p>
        </w:tc>
        <w:tc>
          <w:tcPr>
            <w:tcW w:w="280" w:type="dxa"/>
            <w:vAlign w:val="bottom"/>
          </w:tcPr>
          <w:p>
            <w:pPr>
              <w:spacing w:after="0"/>
              <w:rPr>
                <w:sz w:val="20"/>
                <w:szCs w:val="20"/>
                <w:color w:val="auto"/>
              </w:rPr>
            </w:pP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1"/>
              </w:rPr>
              <w:t>Date Completed</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Welconstruct Group Limited (“Welco”)</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October 2009</w:t>
            </w:r>
          </w:p>
        </w:tc>
      </w:tr>
      <w:tr>
        <w:trPr>
          <w:trHeight w:val="432"/>
        </w:trPr>
        <w:tc>
          <w:tcPr>
            <w:tcW w:w="6400" w:type="dxa"/>
            <w:vAlign w:val="bottom"/>
          </w:tcPr>
          <w:p>
            <w:pPr>
              <w:spacing w:after="0"/>
              <w:rPr>
                <w:sz w:val="20"/>
                <w:szCs w:val="20"/>
                <w:color w:val="auto"/>
              </w:rPr>
            </w:pPr>
            <w:r>
              <w:rPr>
                <w:rFonts w:ascii="Arial" w:cs="Arial" w:eastAsia="Arial" w:hAnsi="Arial"/>
                <w:sz w:val="18"/>
                <w:szCs w:val="18"/>
                <w:color w:val="auto"/>
              </w:rPr>
              <w:t>Stickolor Industria e Comerciao de Auto Adesivos Ltda. (“Stickolor”)</w:t>
            </w:r>
          </w:p>
        </w:tc>
        <w:tc>
          <w:tcPr>
            <w:tcW w:w="2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Americas</w:t>
            </w:r>
          </w:p>
        </w:tc>
        <w:tc>
          <w:tcPr>
            <w:tcW w:w="28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99"/>
              </w:rPr>
              <w:t>December 2009</w:t>
            </w:r>
          </w:p>
        </w:tc>
      </w:tr>
      <w:tr>
        <w:trPr>
          <w:trHeight w:val="216"/>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Securimed SAS (“Securimed”)</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March 2010</w:t>
            </w:r>
          </w:p>
        </w:tc>
      </w:tr>
    </w:tbl>
    <w:p>
      <w:pPr>
        <w:spacing w:after="0" w:line="175"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Sales for the three months ended April 30, 2010, increased 16.3% compared to the same period in fiscal 2009. The increase was comprised of an increase in organic sales of 8.5%, an increase of 2.0% due to the acquisitions listed in the above table, and an increase of 5.8% due to the effect of currencies on sales. The increase in organic sales in the quarter was primarily the result of the global economic improvement. Organic sales were positively impacted during the third quarter of fiscal 2010 across each of the Company’s three segments, with increases of 9.7%, 6.1%, and 9.4% for the Americas, Europe, and Asia-Pacific segments, respectively. The organic sales increase experienced in the Americas was due primarily to strong Brady brand sales growth and new products positively received with end—users and distributors. The increase in Europe’s organic sales was positively impacted during the quarter by the increases in the direct marketing businesses and the electronics industries. The increase in organic sales for the Asia-Pacific segment was due to the continued focus on proprietary engineered solutions for high-end consumer electronics and the continued growth in the MRO business from a growing base of channel partners.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Sales for the nine months ended April 30, 2010, increased 1.6% compared to the same period in fiscal 2009. The increase was comprised of an increase of 0.9% due to the acquisitions listed above, an increase of 3.8% due to the effect of currencies on sales, partially offset by a decline in organic sales of 3.1%. The decrease in organic sales was due to declines of 4.3% in the Americas, 3.4% in Europe, and 0.7% in Asia-Pacific. The decrease in the Company’s organic sales was primarily driven by the global economic recession. The decline in organic sales in the Americas segment was primarily driven by weakness in the manufacturing and construction sector. Organic sales were adversely impacted in the Europe and Asia-Pacific segments due to the declines experienced in the electronics industries, primarily during the first quarter of fiscal 2010.</w:t>
      </w:r>
    </w:p>
    <w:p>
      <w:pPr>
        <w:spacing w:after="0" w:line="14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Gross margin as a percentage of sales increased to 49.8% from 48.5% for the quarter and to 49.6% from 47.9% for the nine months ended April 30, 2010, compared to the same periods of the previous year. The increase in gross margin as a percentage of sales for the three and nine months ended April 30, 2010 was primarily the result of increased sales volumes, as well as the cost savings generated from the reduction of contract labor, restructuring activities that took place during fiscal 2009 and continued in fiscal 2010, and efficiencies gained from the implementation of the Brady Business Performance System (“BBPS”) throughout the Company.</w:t>
      </w:r>
    </w:p>
    <w:p>
      <w:pPr>
        <w:spacing w:after="0" w:line="153"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Research and development (“R&amp;D”) expenses increased 37.9% to $10.7 million for the quarter and 22.2% to $31.0 million for the nine months ended April 30, 2010, compared to $7.8 million and $25.3 million for the same periods in the prior year, respectively. The increase was due to the return of incentive compensation expenses during fiscal 2010, as well as the Company’s commitment to new product development. As a percentage of sales, R&amp;D expenses represented a higher percentage of sales, increasing to 3.3% in the third quarter of fiscal 2010 from 2.8% in the third quarter of fiscal 2009, and increased to 3.3% in the first nine months of fiscal 2010 compared to 2.7% in the first nine months of fiscal 2009, reflective of the Company’s commitment to new product development.</w:t>
      </w:r>
    </w:p>
    <w:p>
      <w:pPr>
        <w:spacing w:after="0" w:line="14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Selling, general and administrative (“SG&amp;A”) expenses increased 17.2% to $111.2 million for the three months ended April 30, 2010, compared to $94.9 million for the same period in the prior year and 8.5% to $328.6 million for the nine months ended April 30, 2010, compared to $302.8 million for the same period in the prior year. The increase in the SG&amp;A was primarily due to the return of incentive compensation expenses during fiscal 2010, as well as the effects of the fluctuations in the exchange rates used to translate financial results into the United States dollar. Also, in the third quarter of fiscal 2009, the Company experienced a reduction in SG&amp;A due to the reversal of previously accrued bonuses not paid in the prior year. As a percentage of sales, SG&amp;A expenses increased to 34.6% from 34.3% for the quarter and to 35.1% from 32.9% for the nine months ended April 30, 2010, compared to the same periods in the prior year.</w:t>
      </w:r>
    </w:p>
    <w:p>
      <w:pPr>
        <w:spacing w:after="0" w:line="152"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Restructuring expenses were $2.3 million and $9.6 million for the three and nine months ended April 30, 2010, respectively. In fiscal 2009, in response to the global recession, the Company took several measures to address its cost structure. The Company continued to incur costs related to the reduction of its workforce and facilities consolidations during the nine months ended April 30, 2010. The Company expects to incur $15.0 million of restructuring charges in fiscal 2010.</w:t>
      </w:r>
    </w:p>
    <w:p>
      <w:pPr>
        <w:spacing w:after="0" w:line="13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Interest expense decreased to $5.1 million from $6.3 million for the quarter and to $15.5 million from $19.0 million for the nine months ended April 30, 2010, compared to the same periods in the prior year. The decrease in interest expense was due to the lower debt principal balances in the current year as compared to the prior year.</w:t>
      </w:r>
    </w:p>
    <w:p>
      <w:pPr>
        <w:spacing w:after="0" w:line="141"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Other income and expense decreased to $0.1 million of income for the third quarter of fiscal 2010 compared to $1.0 million of income for the third quarter of fiscal 2009. Other income and expense increased to $1.3 million of income for the nine months ended April 30, 2010, compared to $1.1 million of income for the same period in the prior year. The decrease in the other income and expense for the three months ended April 30, 2010 was primarily due to the foreign exchange losses offset by the increase in the value of the mutual funds held in deferred compensation plans. The increase in other income and expense for the nine months ended April 30, 2010 was due to the increase in the value of the mutual funds held in deferred compensation plans offset by the increase in the foreign exchange losses.</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Company’s income tax rate was 23.3% for the three months ended April 30, 2010 and 25.6% for the nine months ended April 30, 2010, compared to 25.0% and 29.5% for the three and nine months ended April 30, 2009, respectively. The decrease in the Company’s effective tax rate during the current year was primarily due to the mix of profits in low and high tax countries as well as positive impacts from foreign and U.S. income tax audits. The Company is currently in the final stages of a U.S income tax audit for the fiscal years ended July 31, 2006, 2007 and 2008. Although the timing of the final resolution or closure of this audit is uncertain, it is reasonably possible that the balance of gross unrecognized tax benefits could significantly change in the next twelve months. The Company is unable to reasonably estimate the full range of possible adjustments to the balance of gross unrecognized tax benefits. Pending the results of the audit, the Company currently estimates the full year income tax rate for fiscal 2010 to be approximately 26%.</w:t>
      </w:r>
    </w:p>
    <w:p>
      <w:pPr>
        <w:spacing w:after="0" w:line="155"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Net income for the three months ended April 30, 2010, increased 31.9% to $23.7 million, compared to $18.0 million for the same quarter of the previous year. Net income as a percentage of sales increased to 7.4% from 6.5% for the quarter ended April 30, 2010, compared to the same period in the prior year. Net income before restructuring-related expenses for the quarter ended April 30, 2010 was $25.4 million, or $0.48 per diluted Class A Nonvoting Common Share, an increase of 29.6% from $19.6 million or $0.37 per diluted Class A Nonvoting Common Share, for the same period in the previous year. For the nine months ended April 30, 2010, net income increased 18.5% to $60.4 million, compared to $50.9 million for the same period in the previous year. As a percentage of sales, net income increased to 6.4% from 5.5% for the nine months ended April 30, 2010, compared to the same period in the previous year. Net income before restructuring-related expenses for the nine months ended April 30, 2010 was $67.3 million or $1.27 per diluted Class A Nonvoting Common Share, a decrease of 0.6% from $67.7 million, or $1.28 per diluted Class A Nonvoting Common Share, for the nine months ended April 30, 2009.</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Segment Operating Results</w:t>
      </w:r>
    </w:p>
    <w:p>
      <w:pPr>
        <w:spacing w:after="0" w:line="185"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Following is a summary of segment information for the three and nine months ended April 30, 2010 and 2009:</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color w:val="auto"/>
              </w:rPr>
              <w:t>Corporate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Asia-</w:t>
            </w:r>
          </w:p>
        </w:tc>
        <w:tc>
          <w:tcPr>
            <w:tcW w:w="10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6"/>
              </w:rPr>
              <w:t>Total</w:t>
            </w:r>
          </w:p>
        </w:tc>
        <w:tc>
          <w:tcPr>
            <w:tcW w:w="80" w:type="dxa"/>
            <w:vAlign w:val="bottom"/>
          </w:tcPr>
          <w:p>
            <w:pPr>
              <w:spacing w:after="0"/>
              <w:rPr>
                <w:sz w:val="12"/>
                <w:szCs w:val="12"/>
                <w:color w:val="auto"/>
              </w:rPr>
            </w:pPr>
          </w:p>
        </w:tc>
        <w:tc>
          <w:tcPr>
            <w:tcW w:w="10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and</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(Dollars in thousands)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color w:val="auto"/>
                <w:w w:val="89"/>
              </w:rPr>
              <w:t>Americas</w:t>
            </w: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Europe</w:t>
            </w:r>
          </w:p>
        </w:tc>
        <w:tc>
          <w:tcPr>
            <w:tcW w:w="12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color w:val="auto"/>
              </w:rPr>
              <w:t>Pacific</w:t>
            </w:r>
          </w:p>
        </w:tc>
        <w:tc>
          <w:tcPr>
            <w:tcW w:w="10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color w:val="auto"/>
                <w:w w:val="93"/>
              </w:rPr>
              <w:t>Regions</w:t>
            </w:r>
          </w:p>
        </w:tc>
        <w:tc>
          <w:tcPr>
            <w:tcW w:w="1120" w:type="dxa"/>
            <w:vAlign w:val="bottom"/>
            <w:gridSpan w:val="3"/>
          </w:tcPr>
          <w:p>
            <w:pPr>
              <w:spacing w:after="0"/>
              <w:rPr>
                <w:sz w:val="20"/>
                <w:szCs w:val="20"/>
                <w:color w:val="auto"/>
              </w:rPr>
            </w:pPr>
            <w:r>
              <w:rPr>
                <w:rFonts w:ascii="Arial" w:cs="Arial" w:eastAsia="Arial" w:hAnsi="Arial"/>
                <w:sz w:val="14"/>
                <w:szCs w:val="14"/>
                <w:color w:val="auto"/>
              </w:rPr>
              <w:t>Eliminations</w:t>
            </w:r>
          </w:p>
        </w:tc>
        <w:tc>
          <w:tcPr>
            <w:tcW w:w="140" w:type="dxa"/>
            <w:vAlign w:val="bottom"/>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r>
      <w:tr>
        <w:trPr>
          <w:trHeight w:val="142"/>
        </w:trPr>
        <w:tc>
          <w:tcPr>
            <w:tcW w:w="2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SALES TO EXTERNAL CUSTOMERS</w:t>
            </w: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April 30, 2010</w:t>
            </w: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144,413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98,152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79,322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321,887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321,887</w:t>
            </w:r>
          </w:p>
        </w:tc>
      </w:tr>
      <w:tr>
        <w:trPr>
          <w:trHeight w:val="182"/>
        </w:trPr>
        <w:tc>
          <w:tcPr>
            <w:tcW w:w="2480" w:type="dxa"/>
            <w:vAlign w:val="bottom"/>
          </w:tcPr>
          <w:p>
            <w:pPr>
              <w:ind w:left="200"/>
              <w:spacing w:after="0"/>
              <w:rPr>
                <w:sz w:val="20"/>
                <w:szCs w:val="20"/>
                <w:color w:val="auto"/>
              </w:rPr>
            </w:pPr>
            <w:r>
              <w:rPr>
                <w:rFonts w:ascii="Arial" w:cs="Arial" w:eastAsia="Arial" w:hAnsi="Arial"/>
                <w:sz w:val="14"/>
                <w:szCs w:val="14"/>
                <w:color w:val="auto"/>
              </w:rPr>
              <w:t>April 30, 2009</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125,688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85,172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440"/>
              <w:spacing w:after="0"/>
              <w:rPr>
                <w:sz w:val="20"/>
                <w:szCs w:val="20"/>
                <w:color w:val="auto"/>
              </w:rPr>
            </w:pPr>
            <w:r>
              <w:rPr>
                <w:rFonts w:ascii="Arial" w:cs="Arial" w:eastAsia="Arial" w:hAnsi="Arial"/>
                <w:sz w:val="14"/>
                <w:szCs w:val="14"/>
                <w:color w:val="auto"/>
              </w:rPr>
              <w:t>65,873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276,733</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276,733</w:t>
            </w:r>
          </w:p>
        </w:tc>
      </w:tr>
      <w:tr>
        <w:trPr>
          <w:trHeight w:val="115"/>
        </w:trPr>
        <w:tc>
          <w:tcPr>
            <w:tcW w:w="2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Nine months ended:</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480" w:type="dxa"/>
            <w:vAlign w:val="bottom"/>
          </w:tcPr>
          <w:p>
            <w:pPr>
              <w:ind w:left="200"/>
              <w:spacing w:after="0" w:line="149" w:lineRule="exact"/>
              <w:rPr>
                <w:sz w:val="20"/>
                <w:szCs w:val="20"/>
                <w:color w:val="auto"/>
              </w:rPr>
            </w:pPr>
            <w:r>
              <w:rPr>
                <w:rFonts w:ascii="Arial" w:cs="Arial" w:eastAsia="Arial" w:hAnsi="Arial"/>
                <w:sz w:val="14"/>
                <w:szCs w:val="14"/>
                <w:color w:val="auto"/>
              </w:rPr>
              <w:t>April 30, 2010</w:t>
            </w: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402,255</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289,101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244,846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936,202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936,202</w:t>
            </w:r>
          </w:p>
        </w:tc>
      </w:tr>
      <w:tr>
        <w:trPr>
          <w:trHeight w:val="149"/>
        </w:trPr>
        <w:tc>
          <w:tcPr>
            <w:tcW w:w="2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April 30, 2009</w:t>
            </w: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409,573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280,589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231,337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921,499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921,499</w:t>
            </w:r>
          </w:p>
        </w:tc>
      </w:tr>
    </w:tbl>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740" w:type="dxa"/>
            <w:vAlign w:val="bottom"/>
          </w:tcPr>
          <w:p>
            <w:pPr>
              <w:spacing w:after="0"/>
              <w:rPr>
                <w:sz w:val="20"/>
                <w:szCs w:val="20"/>
                <w:color w:val="auto"/>
              </w:rPr>
            </w:pPr>
            <w:r>
              <w:rPr>
                <w:rFonts w:ascii="Arial" w:cs="Arial" w:eastAsia="Arial" w:hAnsi="Arial"/>
                <w:sz w:val="14"/>
                <w:szCs w:val="14"/>
                <w:b w:val="1"/>
                <w:bCs w:val="1"/>
                <w:color w:val="auto"/>
              </w:rPr>
              <w:t>SALES GROWTH INFORMATION</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Three months ended April 30, 2010</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400"/>
              <w:spacing w:after="0" w:line="149" w:lineRule="exact"/>
              <w:rPr>
                <w:sz w:val="20"/>
                <w:szCs w:val="20"/>
                <w:color w:val="auto"/>
              </w:rPr>
            </w:pPr>
            <w:r>
              <w:rPr>
                <w:rFonts w:ascii="Arial" w:cs="Arial" w:eastAsia="Arial" w:hAnsi="Arial"/>
                <w:sz w:val="14"/>
                <w:szCs w:val="14"/>
                <w:color w:val="auto"/>
              </w:rPr>
              <w:t>Organic</w:t>
            </w:r>
          </w:p>
        </w:tc>
        <w:tc>
          <w:tcPr>
            <w:tcW w:w="2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9.7%</w:t>
            </w:r>
          </w:p>
        </w:tc>
        <w:tc>
          <w:tcPr>
            <w:tcW w:w="2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6.1%</w:t>
            </w:r>
          </w:p>
        </w:tc>
        <w:tc>
          <w:tcPr>
            <w:tcW w:w="20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9.4%</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8.5%</w:t>
            </w:r>
          </w:p>
        </w:tc>
        <w:tc>
          <w:tcPr>
            <w:tcW w:w="18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Currency</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5.6%</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5.8%</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740" w:type="dxa"/>
            <w:vAlign w:val="bottom"/>
          </w:tcPr>
          <w:p>
            <w:pPr>
              <w:ind w:left="400"/>
              <w:spacing w:after="0" w:line="149" w:lineRule="exact"/>
              <w:rPr>
                <w:sz w:val="20"/>
                <w:szCs w:val="20"/>
                <w:color w:val="auto"/>
              </w:rPr>
            </w:pPr>
            <w:r>
              <w:rPr>
                <w:rFonts w:ascii="Arial" w:cs="Arial" w:eastAsia="Arial" w:hAnsi="Arial"/>
                <w:sz w:val="14"/>
                <w:szCs w:val="14"/>
                <w:color w:val="auto"/>
              </w:rPr>
              <w:t>Acquisitions</w:t>
            </w:r>
          </w:p>
        </w:tc>
        <w:tc>
          <w:tcPr>
            <w:tcW w:w="2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w:t>
            </w:r>
          </w:p>
        </w:tc>
        <w:tc>
          <w:tcPr>
            <w:tcW w:w="2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w:t>
            </w:r>
          </w:p>
        </w:tc>
        <w:tc>
          <w:tcPr>
            <w:tcW w:w="20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0.0%</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7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14.9%</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15.2%</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20.4%</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16.3%</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0"/>
                <w:szCs w:val="20"/>
                <w:color w:val="auto"/>
              </w:rPr>
            </w:pPr>
            <w:r>
              <w:rPr>
                <w:rFonts w:ascii="Arial" w:cs="Arial" w:eastAsia="Arial" w:hAnsi="Arial"/>
                <w:sz w:val="14"/>
                <w:szCs w:val="14"/>
                <w:color w:val="auto"/>
              </w:rPr>
              <w:t>Nine months ended April 30, 2010</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Organic</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(4.3)%</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(0.7)%</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(3.1)%</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740" w:type="dxa"/>
            <w:vAlign w:val="bottom"/>
          </w:tcPr>
          <w:p>
            <w:pPr>
              <w:ind w:left="400"/>
              <w:spacing w:after="0" w:line="149" w:lineRule="exact"/>
              <w:rPr>
                <w:sz w:val="20"/>
                <w:szCs w:val="20"/>
                <w:color w:val="auto"/>
              </w:rPr>
            </w:pPr>
            <w:r>
              <w:rPr>
                <w:rFonts w:ascii="Arial" w:cs="Arial" w:eastAsia="Arial" w:hAnsi="Arial"/>
                <w:sz w:val="14"/>
                <w:szCs w:val="14"/>
                <w:color w:val="auto"/>
              </w:rPr>
              <w:t>Currency</w:t>
            </w:r>
          </w:p>
        </w:tc>
        <w:tc>
          <w:tcPr>
            <w:tcW w:w="2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1.7%</w:t>
            </w:r>
          </w:p>
        </w:tc>
        <w:tc>
          <w:tcPr>
            <w:tcW w:w="2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4.6%</w:t>
            </w:r>
          </w:p>
        </w:tc>
        <w:tc>
          <w:tcPr>
            <w:tcW w:w="20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6.5%</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3.8%</w:t>
            </w:r>
          </w:p>
        </w:tc>
        <w:tc>
          <w:tcPr>
            <w:tcW w:w="18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Acquisitions</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0.8%</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0.9%</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60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3.0%</w:t>
            </w:r>
          </w:p>
        </w:tc>
        <w:tc>
          <w:tcPr>
            <w:tcW w:w="20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5.8%</w:t>
            </w:r>
          </w:p>
        </w:tc>
        <w:tc>
          <w:tcPr>
            <w:tcW w:w="16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SEGMENT PROFIT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April 30, 2010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33,858</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27,472</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12,775</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74,105</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(3,558)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70,547</w:t>
            </w:r>
          </w:p>
        </w:tc>
        <w:tc>
          <w:tcPr>
            <w:tcW w:w="0" w:type="dxa"/>
            <w:vAlign w:val="bottom"/>
          </w:tcPr>
          <w:p>
            <w:pPr>
              <w:spacing w:after="0"/>
              <w:rPr>
                <w:sz w:val="1"/>
                <w:szCs w:val="1"/>
                <w:color w:val="auto"/>
              </w:rPr>
            </w:pPr>
          </w:p>
        </w:tc>
      </w:tr>
      <w:tr>
        <w:trPr>
          <w:trHeight w:val="149"/>
        </w:trPr>
        <w:tc>
          <w:tcPr>
            <w:tcW w:w="2740" w:type="dxa"/>
            <w:vAlign w:val="bottom"/>
          </w:tcPr>
          <w:p>
            <w:pPr>
              <w:ind w:left="200"/>
              <w:spacing w:after="0" w:line="149" w:lineRule="exact"/>
              <w:rPr>
                <w:sz w:val="20"/>
                <w:szCs w:val="20"/>
                <w:color w:val="auto"/>
              </w:rPr>
            </w:pPr>
            <w:r>
              <w:rPr>
                <w:rFonts w:ascii="Arial" w:cs="Arial" w:eastAsia="Arial" w:hAnsi="Arial"/>
                <w:sz w:val="14"/>
                <w:szCs w:val="14"/>
                <w:color w:val="auto"/>
              </w:rPr>
              <w:t>April 30, 2009</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28,540</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23,773</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6,979</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59,292</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(1,717)</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57,575</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Percentage increase</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18.6%</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15.6%</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83.0%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107.2%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0"/>
                <w:szCs w:val="20"/>
                <w:color w:val="auto"/>
              </w:rPr>
            </w:pPr>
            <w:r>
              <w:rPr>
                <w:rFonts w:ascii="Arial" w:cs="Arial" w:eastAsia="Arial" w:hAnsi="Arial"/>
                <w:sz w:val="14"/>
                <w:szCs w:val="14"/>
                <w:color w:val="auto"/>
              </w:rPr>
              <w:t>Nine months ended:</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April 30, 2010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90,205</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78,281</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38,589</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207,075</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(10,161)</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196,914</w:t>
            </w:r>
          </w:p>
        </w:tc>
        <w:tc>
          <w:tcPr>
            <w:tcW w:w="0" w:type="dxa"/>
            <w:vAlign w:val="bottom"/>
          </w:tcPr>
          <w:p>
            <w:pPr>
              <w:spacing w:after="0"/>
              <w:rPr>
                <w:sz w:val="1"/>
                <w:szCs w:val="1"/>
                <w:color w:val="auto"/>
              </w:rPr>
            </w:pPr>
          </w:p>
        </w:tc>
      </w:tr>
      <w:tr>
        <w:trPr>
          <w:trHeight w:val="149"/>
        </w:trPr>
        <w:tc>
          <w:tcPr>
            <w:tcW w:w="2740" w:type="dxa"/>
            <w:vAlign w:val="bottom"/>
          </w:tcPr>
          <w:p>
            <w:pPr>
              <w:ind w:left="200"/>
              <w:spacing w:after="0" w:line="149" w:lineRule="exact"/>
              <w:rPr>
                <w:sz w:val="20"/>
                <w:szCs w:val="20"/>
                <w:color w:val="auto"/>
              </w:rPr>
            </w:pPr>
            <w:r>
              <w:rPr>
                <w:rFonts w:ascii="Arial" w:cs="Arial" w:eastAsia="Arial" w:hAnsi="Arial"/>
                <w:sz w:val="14"/>
                <w:szCs w:val="14"/>
                <w:color w:val="auto"/>
              </w:rPr>
              <w:t>April 30, 2009</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86,104</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77,857</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33,502</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197,463</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(6,631)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190,832</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Percentage increase</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4.8%</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0.5%</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15.2%</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53.2%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4520" w:type="dxa"/>
            <w:vAlign w:val="bottom"/>
            <w:gridSpan w:val="3"/>
          </w:tcPr>
          <w:p>
            <w:pPr>
              <w:spacing w:after="0"/>
              <w:rPr>
                <w:sz w:val="20"/>
                <w:szCs w:val="20"/>
                <w:color w:val="auto"/>
              </w:rPr>
            </w:pPr>
            <w:r>
              <w:rPr>
                <w:rFonts w:ascii="Arial" w:cs="Arial" w:eastAsia="Arial" w:hAnsi="Arial"/>
                <w:sz w:val="18"/>
                <w:szCs w:val="18"/>
                <w:b w:val="1"/>
                <w:bCs w:val="1"/>
                <w:color w:val="auto"/>
                <w:w w:val="99"/>
              </w:rPr>
              <w:t xml:space="preserve">NET INCOME RECONCILIATION </w:t>
            </w:r>
            <w:r>
              <w:rPr>
                <w:rFonts w:ascii="Arial" w:cs="Arial" w:eastAsia="Arial" w:hAnsi="Arial"/>
                <w:sz w:val="18"/>
                <w:szCs w:val="18"/>
                <w:color w:val="auto"/>
                <w:w w:val="99"/>
              </w:rPr>
              <w:t>(Dollars in thousands)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4"/>
                <w:szCs w:val="24"/>
                <w:color w:val="auto"/>
              </w:rPr>
            </w:pPr>
          </w:p>
        </w:tc>
        <w:tc>
          <w:tcPr>
            <w:tcW w:w="2180" w:type="dxa"/>
            <w:vAlign w:val="bottom"/>
            <w:gridSpan w:val="5"/>
          </w:tcPr>
          <w:p>
            <w:pPr>
              <w:jc w:val="right"/>
              <w:ind w:right="460"/>
              <w:spacing w:after="0"/>
              <w:rPr>
                <w:sz w:val="20"/>
                <w:szCs w:val="20"/>
                <w:color w:val="auto"/>
              </w:rPr>
            </w:pPr>
            <w:r>
              <w:rPr>
                <w:rFonts w:ascii="Arial" w:cs="Arial" w:eastAsia="Arial" w:hAnsi="Arial"/>
                <w:sz w:val="18"/>
                <w:szCs w:val="18"/>
                <w:color w:val="auto"/>
              </w:rPr>
              <w:t>Nine months ended:</w:t>
            </w: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right"/>
              <w:ind w:right="540"/>
              <w:spacing w:after="0" w:line="195" w:lineRule="exact"/>
              <w:rPr>
                <w:sz w:val="20"/>
                <w:szCs w:val="20"/>
                <w:color w:val="auto"/>
              </w:rPr>
            </w:pPr>
            <w:r>
              <w:rPr>
                <w:rFonts w:ascii="Arial" w:cs="Arial" w:eastAsia="Arial" w:hAnsi="Arial"/>
                <w:sz w:val="18"/>
                <w:szCs w:val="18"/>
                <w:color w:val="auto"/>
                <w:w w:val="99"/>
              </w:rPr>
              <w:t>April 30,</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9"/>
              </w:rPr>
              <w:t>April 30,</w:t>
            </w: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00"/>
              <w:spacing w:after="0" w:line="195" w:lineRule="exact"/>
              <w:rPr>
                <w:sz w:val="20"/>
                <w:szCs w:val="20"/>
                <w:color w:val="auto"/>
              </w:rPr>
            </w:pPr>
            <w:r>
              <w:rPr>
                <w:rFonts w:ascii="Arial" w:cs="Arial" w:eastAsia="Arial" w:hAnsi="Arial"/>
                <w:sz w:val="18"/>
                <w:szCs w:val="18"/>
                <w:color w:val="auto"/>
                <w:w w:val="99"/>
              </w:rPr>
              <w:t>April 30,</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9"/>
              </w:rPr>
              <w:t>April 30,</w:t>
            </w:r>
          </w:p>
        </w:tc>
        <w:tc>
          <w:tcPr>
            <w:tcW w:w="8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74,105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59,292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207,075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197,463</w:t>
            </w: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Corporate and eliminations</w:t>
            </w:r>
          </w:p>
        </w:tc>
        <w:tc>
          <w:tcPr>
            <w:tcW w:w="120" w:type="dxa"/>
            <w:vAlign w:val="bottom"/>
          </w:tcPr>
          <w:p>
            <w:pPr>
              <w:spacing w:after="0"/>
              <w:rPr>
                <w:sz w:val="18"/>
                <w:szCs w:val="18"/>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(3,558)</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(10,161)</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(6,631)</w:t>
            </w: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Arial" w:cs="Arial" w:eastAsia="Arial" w:hAnsi="Arial"/>
                <w:sz w:val="18"/>
                <w:szCs w:val="18"/>
                <w:color w:val="auto"/>
              </w:rPr>
              <w:t>Administrative costs</w:t>
            </w:r>
          </w:p>
        </w:tc>
        <w:tc>
          <w:tcPr>
            <w:tcW w:w="120" w:type="dxa"/>
            <w:vAlign w:val="bottom"/>
          </w:tcPr>
          <w:p>
            <w:pPr>
              <w:spacing w:after="0"/>
              <w:rPr>
                <w:sz w:val="18"/>
                <w:szCs w:val="18"/>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(32,286)</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(26,074)</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(91,944)</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(77,472)</w:t>
            </w: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Restructuring costs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(2,347)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(23,276)</w:t>
            </w:r>
          </w:p>
        </w:tc>
      </w:tr>
      <w:tr>
        <w:trPr>
          <w:trHeight w:val="216"/>
        </w:trPr>
        <w:tc>
          <w:tcPr>
            <w:tcW w:w="34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Arial" w:cs="Arial" w:eastAsia="Arial" w:hAnsi="Arial"/>
                <w:sz w:val="18"/>
                <w:szCs w:val="18"/>
                <w:color w:val="auto"/>
              </w:rPr>
              <w:t>Investment and other income</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1,143</w:t>
            </w: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(5,147)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(18,982)</w:t>
            </w:r>
          </w:p>
        </w:tc>
      </w:tr>
      <w:tr>
        <w:trPr>
          <w:trHeight w:val="223"/>
        </w:trPr>
        <w:tc>
          <w:tcPr>
            <w:tcW w:w="34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30,888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23,954</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81,174</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72,245</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(7,193)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(21,325)</w:t>
            </w:r>
          </w:p>
        </w:tc>
      </w:tr>
      <w:tr>
        <w:trPr>
          <w:trHeight w:val="223"/>
        </w:trPr>
        <w:tc>
          <w:tcPr>
            <w:tcW w:w="340" w:type="dxa"/>
            <w:vAlign w:val="bottom"/>
          </w:tcPr>
          <w:p>
            <w:pPr>
              <w:spacing w:after="0"/>
              <w:rPr>
                <w:sz w:val="19"/>
                <w:szCs w:val="19"/>
                <w:color w:val="auto"/>
              </w:rPr>
            </w:pPr>
          </w:p>
        </w:tc>
        <w:tc>
          <w:tcPr>
            <w:tcW w:w="4400" w:type="dxa"/>
            <w:vAlign w:val="bottom"/>
            <w:gridSpan w:val="2"/>
          </w:tcPr>
          <w:p>
            <w:pPr>
              <w:ind w:left="40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17,960</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60,364</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50,920</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and acquisitions. Segment profit or loss does not include certain administrative costs, such as the cost of finance, information technology and human resources, which are managed as global functions. Restructuring charges, stock options, interest, investment and other income and income taxes are also excluded when evaluating performance.</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Americas:</w:t>
      </w:r>
    </w:p>
    <w:p>
      <w:pPr>
        <w:spacing w:after="0" w:line="185"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Sales in the Americas segment increased 14.9% to $144.4 million for the quarter and decreased 1.8% to $402.3 million for the nine months ended April 30, 2010, compared to $125.7 million and $409.6 million for the same three and nine-month periods in the prior year. Organic sales increased 9.7% for the quarter and decreased 4.3% for the year, as compared to the same periods in the previous year. Fluctuations in the exchange rates used to translate financial results into the United States dollar increased sales by 3.1% in the quarter and 1.7% for the nine-month period. Sales in the segment were increased by the fiscal year 2010 acquisition of Stickolor which increased sales by 2.1% for the quarter and 0.8% for the nine-month period. The year-to-date sales in the region were negatively impacted by the economic downturn particularly in the manufacturing and construction sectors during the first and second quarters of fiscal 2010. The region returned to positive organic sales growth in the third quarter of fiscal 2010 due to strong growth in the Brady brand sales across the region and new products introduced that were positively received by the end-users and distributors.</w:t>
      </w:r>
    </w:p>
    <w:p>
      <w:pPr>
        <w:spacing w:after="0" w:line="151"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Segment profit for the region increased 18.6% to $33.9 million from $28.5 million for the quarter and 4.8% to $90.2 million from $86.1 million for the nine months ended April 30, 2010, compared to the same periods in the prior year. Segment profit for the quarter was positively impacted by increased sales volume, while the segment continued to drive productivity improvements through consolidating facilities, and implementing other operational improvement initiatives to further reduce costs and improve productivity. As a percentage of sales, segment profit increased to 23.4% from 22.7% in the third quarter of fiscal 2010 and increased to 22.4% from 21.0% in the nine months ended April 30, 2010, compared to the same periods in the prior year.</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w:t>
      </w:r>
    </w:p>
    <w:p>
      <w:pPr>
        <w:spacing w:after="0" w:line="185"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Europe sales increased 15.2% to $98.2 million for the quarter and 3.0% to $289.1 million for the nine months ended April 30, 2010, compared to $85.2 million and $280.6 million for the same three and nine-month periods in the prior year. Organic sales increased 6.1% for the quarter and decreased 3.4% for the nine months ended April 30, 2010, compared to the same periods in the previous year. Sales were positively affected by fluctuations in the exchange rates used to translate financial results into the United States dollar, which increased sales within the segment by 5.6% in the quarter and 4.6% for the nine-month period. The fiscal 2010 acquisitions of Welco and Securimed increased sales 3.5% for the quarter and 1.8% for the nine-month period. The segment’s organic sales were positively impacted during the quarter by the increases in the direct marketing businesses and the electronics industries. The organic sales for the nine months ended April 30, 2010 were adversely impacted by the declines in the automotive and electronics industries during the first quarter of fiscal 2010.</w:t>
      </w:r>
    </w:p>
    <w:p>
      <w:pPr>
        <w:spacing w:after="0" w:line="15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current economic climate in Europe remains volatile. Management is uncertain as to when the challenging business conditions and fluctuating exchange rates will stabilize.</w:t>
      </w:r>
    </w:p>
    <w:p>
      <w:pPr>
        <w:spacing w:after="0" w:line="130"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Segment profit for the region increased 15.6% to $27.5 million from $23.8 million for the quarter and 0.5% to $78.3 million from $77.9 million for the nine months ended April 30, 2010, compared to the same periods in the prior year. The increase in segment profit for the quarter was attributable to the increased sales volumes as discussed above. In response to the slowdown in business in the prior year and the first quarter of 2010, the segment took actions to address its cost structure, including a reduction in its workforce, limited discretionary spending, and consolidating facilities to offset the decline in sales. During the second and third quarters of fiscal 2010, the segment began to realize savings resulting from these actions. As a percentage of sales, segment profit increased to 28.0% from 27.9% in the third quarter of fiscal 2010 and decreased to 27.1% from 27.7% in the nine months ended April 30, 2010, compared to the same periods in the prior year.</w:t>
      </w:r>
    </w:p>
    <w:p>
      <w:pPr>
        <w:sectPr>
          <w:pgSz w:w="11900" w:h="16838" w:orient="portrait"/>
          <w:cols w:equalWidth="0" w:num="1">
            <w:col w:w="10219"/>
          </w:cols>
          <w:pgMar w:left="240" w:top="405" w:right="1440" w:bottom="46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46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Asia-Pacific:</w:t>
      </w:r>
    </w:p>
    <w:p>
      <w:pPr>
        <w:spacing w:after="0" w:line="198"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Asia-Pacific sales increased 20.4% to $79.3 million for the quarter and 5.8% to $244.8 million for the nine months ended April 30, 2010, compared to $65.9 million and $231.3 million for the same three and nine-month periods in the prior year. Organic sales increased 9.4% in the quarter and decreased 0.7% for the nine months ended April 30, 2010, compared to the same periods in the previous year. Sales were positively impacted by fluctuations in the exchange rates used to translate financial results into the United States dollar, which increased sales within the region by 11.0% in the quarter and 6.5% for the nine-month period. The significant increase in organic sales for the quarter was primarily due to the heightened focus on proprietary engineered solutions and new product launches to high-end consumer electronics and an expanded focus on MRO applications throughout the region. The slight decline in the organic sales for the nine months ended April 30, 2010 was a result of the decrease in sales during the first quarter of fiscal 2010 due to the global economic recession, partially offset by the strong sales growth during the second and third quarter of fiscal 2010 as discussed above.</w:t>
      </w:r>
    </w:p>
    <w:p>
      <w:pPr>
        <w:spacing w:after="0" w:line="137"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Segment profit for the region increased 83.0% to $12.8 million from $7.0 million for the quarter and increased 15.2% to $38.6 million from $33.5 million for the nine months ended April 30, 2010, compared to the same periods in the prior year. The increase in segment profit during the three months ended April 30, 2010 was primarily due to Brady’s increased focused on higher-end, value-added solutions, newly launched products and the cost savings generated from the restructuring activities and facility rationalization. As a percentage of sales, segment profit increased to 16.1% from 10.6% in the third quarter of fiscal 2010 and to 15.8% from 14.5% in the nine months ended April 30, 2010, compared to the same periods in the prior year.</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Financial Condition</w:t>
      </w:r>
    </w:p>
    <w:p>
      <w:pPr>
        <w:spacing w:after="0" w:line="19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Cash and cash equivalents were $207.1 million at April 30, 2010, compared to $188.2 million at July 31, 2009. The increase in cash of $18.9 million was the result of cash provided by operations of $118.2 million, partially offset by cash used for acquisitions, dividends, and debt payments during the nine months ended April 30, 2010.</w:t>
      </w:r>
    </w:p>
    <w:p>
      <w:pPr>
        <w:spacing w:after="0" w:line="141"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Accounts receivable increased $19.6 million for the nine months ended April 30, 2010 mainly due to higher sales volumes. Inventories decreased $1.8 million for the nine months ended April 30, 2010, to $92.0 from $93.8 million at July 31, 2009. The decline in inventory was due to the benefits generated from working capital initiatives and the impact of foreign currency translation. The net increase in current liabilities was $47.1 million from July 31, 2009 to April 30, 2010. The increase was composed of a significant increase in accrued wages and amounts withheld from employees due to the accrual of the fiscal 2010 incentive compensation plans during the nine months ended April 30, 2010. Annual incentive compensation plans were cancelled for fiscal 2009 due to the Company’s financial performance resulting from the economic downturn and as such, no payouts for incentive compensation were made during the first quarter of fiscal 2010. The current maturities on long-term debt also increased during the third quarter of fiscal 2010 as principal payments on outstanding debt become due in the next twelve months.</w:t>
      </w:r>
    </w:p>
    <w:p>
      <w:pPr>
        <w:spacing w:after="0" w:line="126"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Cash flow from operating activities totaled $118.2 million for the nine months ended April 30, 2010, compared to $77.0 million for the same period last year. The increases in the accounts payable and net income were offset by the increase in accounts receivable and accrued liabilities, resulting in an increase in the cash provided by operating activities as compared to the third quarter of fiscal 2009. The significant change in the accounts payable and accrued liabilities was primarily due to the accrual of the fiscal 2010 incentive compensation plans during the nine months ended April 30, 2010, as described above.</w:t>
      </w:r>
    </w:p>
    <w:p>
      <w:pPr>
        <w:spacing w:after="0" w:line="13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Cash used for acquisitions totaled $30.4 million for the nine months ended April 30, 2010 due to the acquisitions of Welco, Stickolor, and Securimed. The net cash paid for Welco, Stickolor, and Securimed was $1.8 million, $18.5 million, and $10.1 million, respectively. The Company did not complete any acquisitions during the nine months ended April 30, 2009. Capital expenditures were $20.9 million for the nine months ended April 30, 2010, compared to $16.0 million in the same period last year. The Company expects the capital expenditures to be approximately $25.0 million for fiscal 2010. Net cash used in financing activities was $50.0 million for the nine months ended April 30, 2010, due primarily to the payment of dividends and the principal payment on debt, partially offset by the proceeds from the issuance of common stock. Net cash used in financing activities for the same period last year was $65.0 million due primarily to the repurchase of the Company’s Class A Non-Voting Common Stock and the payment of dividends.</w:t>
      </w:r>
    </w:p>
    <w:p>
      <w:pPr>
        <w:spacing w:after="0" w:line="14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On November 24, 2008, the Company filed a shelf registration statement on Form S-3 with the Securities and Exchange Commission (“SEC”), which will allow the Company to issue and sell, from time to time in one or more offerings, an indeterminate amount of Class A Non-Voting Common Stock and debt securities as it deems prudent or necessary to raise capital at a later date. The shelf registration statement became effective upon filing with the SEC. The Company plans to use the proceeds from any future offerings under the shelf registration for general corporate purposes, including, but not limited to, acquisitions, capital expenditures, and refinancing of debt.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During fiscal 2004 through fiscal 2007, the Company completed three private placement note issuances totaling $500 million in ten-year fixed rate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Under the debt agreement, the Company paid equal installments of $21.4 million in June 2008 and June 2009. In June 2009, the Company also completed a cash tender offer to purchase approximately $65.8 million of its outstanding notes at par without penalty. In February 2010, the Company paid an installment of $26.1 million.</w:t>
      </w:r>
    </w:p>
    <w:p>
      <w:pPr>
        <w:spacing w:after="0" w:line="142"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restricts the amount of certain types of payments, including dividends, which can be made annually to $50 million plus an amount equal to 75% of consolidated net income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As of April 30, 2010, there were no outstanding borrowings under the credit facility.</w:t>
      </w:r>
    </w:p>
    <w:p>
      <w:pPr>
        <w:spacing w:after="0" w:line="128"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Company’s June 2004, February 2006, and March 2007 private placement debt agreements require the Company to maintain a ratio of debt to the trailing twelve months earnings before interest, taxes, depreciation and amortization (“EBITDA”), as defined in the debt agreements, of not more than a 3.5 to 1.0 ratio (leverage ratio). As of April 30, 2010, the Company was in compliance with the financial covenant of these debt agreements, with the ratio of debt to EBITDA, as defined by the agreements, equal to 1.9 to 1.0. Additionally, the Company’s October 2006 revolving loan agreement requires the Company to maintain a ratio of debt to trailing twelve months EBITDA, as defined by the debt agreement, of not more than a 3.0 to 1.0 ratio. The revolving loan agreement requires the Company’s trailing twelve months earnings before interest and taxes (“EBIT”) to interest expense of not less than a 3.0 to 1.0 ratio (interest expense coverage). As of April 30, 2010, the Company was in compliance with the financial covenants of the revolving loan agreement, with the ratio of debt to EBITDA, as defined by the agreement, equal to 1.9 to 1.0 and the interest expense coverage ratio equal to 6.5 to 1.0.</w:t>
      </w:r>
    </w:p>
    <w:p>
      <w:pPr>
        <w:spacing w:after="0" w:line="142"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The Company’s growth has historically been funded by a combination of cash provided by operating activities and debt financing. The Company believes that its cash from operations, in addition to its borrowing capacity and ability to obtain additional financing, are sufficient to fund its anticipated requirements for working capital, capital expenditures, restructuring activities, acquisitions, common stock repurchases, scheduled debt repayments, and dividend payments. As of the date of this Form 10-Q, the credit and financial markets are in a period of instability and uncertainty that is affecting the availability of credit to borrowers. The Company believes that its current credit arrangements are sound and that the strength of its balance sheet will allow the Company the financial flexibility to respond to both internal growth opportunities and those available through acquisition.</w:t>
      </w: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60"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Operating Leases — These leases generally are entered into for investments in facilities, such as manufacturing facilities, warehouses and office buildings, computer equipment and Company vehicles, for which the economic profile is favorable.</w:t>
      </w:r>
    </w:p>
    <w:p>
      <w:pPr>
        <w:spacing w:after="0" w:line="83"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53"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 Under the accounting guidelines established for reserves for uncertain tax positions, the Company is unable to determine the period in which the cash settlement of any reserves for uncertain tax positions will occur with the respective taxing authority.</w:t>
      </w:r>
    </w:p>
    <w:p>
      <w:pPr>
        <w:spacing w:after="0" w:line="16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Related-Party Transactions — The Company does not have any related-party transactions that materially affect the results of operations, cash flow or financial condition.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185"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On May 18, 2010, the Board of Directors declared a quarterly cash dividend to shareholders of the Company’s Class A Common Stock of $0.175 per share payable on July 30, 2010 to shareholders of record at the close of business on July 9, 2010.</w:t>
      </w:r>
    </w:p>
    <w:p>
      <w:pPr>
        <w:spacing w:after="0" w:line="97"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On May 13, 2010, the Company completed a private placement of €75,000 (approximately $95,000 USD) aggregate principal amount of senior unsecured notes to accredited institutional investors. The €75,000 of senior notes consists of €30,000 aggregate principal amount of 3.71% Series 2010-A Senior Notes, due May 13, 2017 and €45,000 aggregate principal amount of 4.24% Series 2010-A Senior Notes, due May 13, 2020. These unsecured notes were issued pursuant to a Note Purchase Agreement, dated as of May 13, 2010. The Company intends to use the net proceeds of the private placement to refinance existing debt, to fund future acquisitions, and for general corporate purposes. The Note Purchase Agreement requires the Company to maintain a ratio of debt to the trailing twelve months EBITDA, as defined by the agreement, of not more than a 3.5 to 1.0 ratio.</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jc w:val="both"/>
        <w:ind w:left="340" w:right="559" w:firstLine="373"/>
        <w:spacing w:after="0" w:line="267" w:lineRule="auto"/>
        <w:rPr>
          <w:sz w:val="20"/>
          <w:szCs w:val="20"/>
          <w:color w:val="auto"/>
        </w:rPr>
      </w:pPr>
      <w:r>
        <w:rPr>
          <w:rFonts w:ascii="Arial" w:cs="Arial" w:eastAsia="Arial" w:hAnsi="Arial"/>
          <w:sz w:val="17"/>
          <w:szCs w:val="17"/>
          <w:color w:val="auto"/>
        </w:rPr>
        <w:t>Brady believes that certain statements in this Form 10-Q are “forward-looking statements” within the meaning of the Private Securities Litigation Reform Act of 1995. All statements related to future, not past, events included in this Form 10-Q,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10-Q,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attract and retain key talent;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2009. These uncertainties may cause Brady’s actual future results to be materially different than those expressed in its forward-looking statements. Brady does not undertake to update its forward-looking statements.</w:t>
      </w: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9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41"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 currency exchange risk management is to minimize the impact of currency movements on intercompany transactions and foreign raw-material imports. To achieve this objective, the Company hedges a portion of known exposures using forward contracts. Main exposures are related to transactions denominated in the British Pound, the Euro, Canadian Dollar, Australian Dollar, Singapore Dollar, Swedish Krona, Danish Krone, Japanese Yen, and the Korean Won currency. As of April 30, 2010, the notional amount of outstanding forward contacts designated as cash flow hedges was $7.1 million. During the third quarter of fiscal 2010, the Company also used forward foreign exchange currency contracts designated as hedge instruments to hedge portions of the Company’s net investments in European foreign operations. As of April 30, 2010, the notional amount of forward foreign exchange currency contracts designated as net investment hedges was $101.2 million.</w:t>
      </w:r>
    </w:p>
    <w:p>
      <w:pPr>
        <w:spacing w:after="0" w:line="142"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with the approval of the Board of Directors, if there is a desire to modify the Company’s exposure to interest rates. As of April 30, 2010, the Company had no interest rate derivatives.</w:t>
      </w:r>
    </w:p>
    <w:p>
      <w:pPr>
        <w:spacing w:after="0" w:line="146" w:lineRule="exact"/>
        <w:rPr>
          <w:sz w:val="20"/>
          <w:szCs w:val="20"/>
          <w:color w:val="auto"/>
        </w:rPr>
      </w:pPr>
    </w:p>
    <w:p>
      <w:pPr>
        <w:jc w:val="both"/>
        <w:ind w:left="340" w:right="559" w:firstLine="373"/>
        <w:spacing w:after="0" w:line="285" w:lineRule="auto"/>
        <w:rPr>
          <w:sz w:val="20"/>
          <w:szCs w:val="20"/>
          <w:color w:val="auto"/>
        </w:rPr>
      </w:pPr>
      <w:r>
        <w:rPr>
          <w:rFonts w:ascii="Arial" w:cs="Arial" w:eastAsia="Arial" w:hAnsi="Arial"/>
          <w:sz w:val="16"/>
          <w:szCs w:val="16"/>
          <w:color w:val="auto"/>
        </w:rPr>
        <w:t>The Company is subject to the risk of changes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European currencies, primarily the Euro, changes between the U.S. Dollar and the Australian Dollar, changes between the U.S. Dollar and the Canadian Dollar, and changes between the U.S. Dollar and the Chinese Yuan. Changes in foreign currency exchange rates for the Company’s foreign subsidiaries reporting in local currencies are generally reported as a component of shareholders’ equity. The Company’s currency translation adjustments for the three and nine months ended April 30, 2010 were $1.8 million unfavorable and $4.0 million favorable, respectively. The Company’s currency translation adjustments for the three and nine months ended April 30, 2009 were $16.5 million favorable and $138.5 million unfavorable, respectively. As of April 30, 2010 and 2009, the Company’s foreign subsidiaries had net current assets (defined as current assets less current liabilities) subject to foreign currency translation risk of $221.7 million and $239.7 million, respectively. The potential decrease in the net current assets as of April 30, 2010 from a hypothetical 10 percent adverse change in quoted foreign currency exchange rates would be $22.2 million. This sensitivity analysis assumes a parallel shift in foreign currency exchange rates. Exchange rates rarely move in the same direction relative to the U.S. Dollar. This assumption may overstate the impact of changing exchange rates on individual assets and liabilities denominated in a foreign currency</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Executive Vice President and Chief Financial Officer, of the effectiveness of the design and operation of the Company’s disclosure controls and procedures pursuant to Rule 13a-15 of the Exchange Act. Based on that evaluation, the Company’s President and Chief Executive Officer and Executive Vice President and Chief Financial Officer concluded that the Company’s disclosure controls and procedures are effective as of the end of the period covered by this report.</w:t>
      </w:r>
    </w:p>
    <w:p>
      <w:pPr>
        <w:spacing w:after="0" w:line="142"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II. OTHER INFORMATION</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420" w:type="dxa"/>
            <w:vAlign w:val="bottom"/>
            <w:gridSpan w:val="3"/>
          </w:tcPr>
          <w:p>
            <w:pPr>
              <w:jc w:val="center"/>
              <w:ind w:right="160"/>
              <w:spacing w:after="0"/>
              <w:rPr>
                <w:sz w:val="20"/>
                <w:szCs w:val="20"/>
                <w:color w:val="auto"/>
              </w:rPr>
            </w:pPr>
            <w:r>
              <w:rPr>
                <w:rFonts w:ascii="Arial" w:cs="Arial" w:eastAsia="Arial" w:hAnsi="Arial"/>
                <w:sz w:val="18"/>
                <w:szCs w:val="18"/>
                <w:color w:val="auto"/>
                <w:w w:val="96"/>
              </w:rPr>
              <w:t>ITEM 6. Exhibits</w:t>
            </w:r>
          </w:p>
        </w:tc>
        <w:tc>
          <w:tcPr>
            <w:tcW w:w="1120" w:type="dxa"/>
            <w:vAlign w:val="bottom"/>
          </w:tcPr>
          <w:p>
            <w:pPr>
              <w:spacing w:after="0"/>
              <w:rPr>
                <w:sz w:val="17"/>
                <w:szCs w:val="17"/>
                <w:color w:val="auto"/>
              </w:rPr>
            </w:pPr>
          </w:p>
        </w:tc>
        <w:tc>
          <w:tcPr>
            <w:tcW w:w="678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412"/>
        </w:trPr>
        <w:tc>
          <w:tcPr>
            <w:tcW w:w="1420" w:type="dxa"/>
            <w:vAlign w:val="bottom"/>
            <w:gridSpan w:val="3"/>
          </w:tcPr>
          <w:p>
            <w:pPr>
              <w:ind w:left="360"/>
              <w:spacing w:after="0"/>
              <w:rPr>
                <w:sz w:val="20"/>
                <w:szCs w:val="20"/>
                <w:color w:val="auto"/>
              </w:rPr>
            </w:pPr>
            <w:r>
              <w:rPr>
                <w:rFonts w:ascii="Arial" w:cs="Arial" w:eastAsia="Arial" w:hAnsi="Arial"/>
                <w:sz w:val="18"/>
                <w:szCs w:val="18"/>
                <w:color w:val="auto"/>
              </w:rPr>
              <w:t>(a) Exhibits</w:t>
            </w:r>
          </w:p>
        </w:tc>
        <w:tc>
          <w:tcPr>
            <w:tcW w:w="1120" w:type="dxa"/>
            <w:vAlign w:val="bottom"/>
          </w:tcPr>
          <w:p>
            <w:pPr>
              <w:spacing w:after="0"/>
              <w:rPr>
                <w:sz w:val="24"/>
                <w:szCs w:val="24"/>
                <w:color w:val="auto"/>
              </w:rPr>
            </w:pPr>
          </w:p>
        </w:tc>
        <w:tc>
          <w:tcPr>
            <w:tcW w:w="678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00" w:type="dxa"/>
            <w:vAlign w:val="bottom"/>
            <w:gridSpan w:val="2"/>
          </w:tcPr>
          <w:p>
            <w:pPr>
              <w:spacing w:after="0"/>
              <w:rPr>
                <w:sz w:val="18"/>
                <w:szCs w:val="18"/>
                <w:color w:val="auto"/>
              </w:rPr>
            </w:pPr>
          </w:p>
        </w:tc>
      </w:tr>
      <w:tr>
        <w:trPr>
          <w:trHeight w:val="216"/>
        </w:trPr>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31.1</w:t>
            </w:r>
          </w:p>
        </w:tc>
        <w:tc>
          <w:tcPr>
            <w:tcW w:w="16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Rule 13a-14(a)/15d-14(a) Certification of Frank M. Jaehnert</w:t>
            </w:r>
          </w:p>
        </w:tc>
      </w:tr>
      <w:tr>
        <w:trPr>
          <w:trHeight w:val="216"/>
        </w:trPr>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160" w:type="dxa"/>
            <w:vAlign w:val="bottom"/>
          </w:tcPr>
          <w:p>
            <w:pPr>
              <w:spacing w:after="0"/>
              <w:rPr>
                <w:sz w:val="18"/>
                <w:szCs w:val="18"/>
                <w:color w:val="auto"/>
              </w:rPr>
            </w:pPr>
          </w:p>
        </w:tc>
        <w:tc>
          <w:tcPr>
            <w:tcW w:w="7900" w:type="dxa"/>
            <w:vAlign w:val="bottom"/>
            <w:gridSpan w:val="2"/>
          </w:tcPr>
          <w:p>
            <w:pPr>
              <w:ind w:left="160"/>
              <w:spacing w:after="0"/>
              <w:rPr>
                <w:sz w:val="20"/>
                <w:szCs w:val="20"/>
                <w:color w:val="auto"/>
              </w:rPr>
            </w:pPr>
            <w:r>
              <w:rPr>
                <w:rFonts w:ascii="Arial" w:cs="Arial" w:eastAsia="Arial" w:hAnsi="Arial"/>
                <w:sz w:val="18"/>
                <w:szCs w:val="18"/>
                <w:color w:val="auto"/>
              </w:rPr>
              <w:t>Rule 13a-14(a)/15d-14(a) Certification of Thomas J. Felmer</w:t>
            </w:r>
          </w:p>
        </w:tc>
      </w:tr>
      <w:tr>
        <w:trPr>
          <w:trHeight w:val="216"/>
        </w:trPr>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32.1</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Section 1350</w:t>
            </w: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Certification of Frank M. Jaehnert</w:t>
            </w:r>
          </w:p>
        </w:tc>
      </w:tr>
      <w:tr>
        <w:trPr>
          <w:trHeight w:val="230"/>
        </w:trPr>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1"/>
              </w:rPr>
              <w:t>32.2</w:t>
            </w:r>
          </w:p>
        </w:tc>
        <w:tc>
          <w:tcPr>
            <w:tcW w:w="16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w w:val="89"/>
              </w:rPr>
              <w:t>Section 1350</w:t>
            </w:r>
          </w:p>
        </w:tc>
        <w:tc>
          <w:tcPr>
            <w:tcW w:w="6780" w:type="dxa"/>
            <w:vAlign w:val="bottom"/>
          </w:tcPr>
          <w:p>
            <w:pPr>
              <w:ind w:left="20"/>
              <w:spacing w:after="0"/>
              <w:rPr>
                <w:sz w:val="20"/>
                <w:szCs w:val="20"/>
                <w:color w:val="auto"/>
              </w:rPr>
            </w:pPr>
            <w:r>
              <w:rPr>
                <w:rFonts w:ascii="Arial" w:cs="Arial" w:eastAsia="Arial" w:hAnsi="Arial"/>
                <w:sz w:val="18"/>
                <w:szCs w:val="18"/>
                <w:color w:val="auto"/>
              </w:rPr>
              <w:t>Certification of Thomas J. Felmer</w:t>
            </w:r>
          </w:p>
        </w:tc>
      </w:tr>
    </w:tbl>
    <w:p>
      <w:pPr>
        <w:spacing w:after="0" w:line="147"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BRADY CORPORATION</w:t>
            </w:r>
          </w:p>
        </w:tc>
      </w:tr>
      <w:tr>
        <w:trPr>
          <w:trHeight w:val="432"/>
        </w:trPr>
        <w:tc>
          <w:tcPr>
            <w:tcW w:w="4480" w:type="dxa"/>
            <w:vAlign w:val="bottom"/>
          </w:tcPr>
          <w:p>
            <w:pPr>
              <w:spacing w:after="0"/>
              <w:rPr>
                <w:sz w:val="20"/>
                <w:szCs w:val="20"/>
                <w:color w:val="auto"/>
              </w:rPr>
            </w:pPr>
            <w:r>
              <w:rPr>
                <w:rFonts w:ascii="Arial" w:cs="Arial" w:eastAsia="Arial" w:hAnsi="Arial"/>
                <w:sz w:val="18"/>
                <w:szCs w:val="18"/>
                <w:color w:val="auto"/>
              </w:rPr>
              <w:t>Date: June 4, 2010</w:t>
            </w:r>
          </w:p>
        </w:tc>
        <w:tc>
          <w:tcPr>
            <w:tcW w:w="3480" w:type="dxa"/>
            <w:vAlign w:val="bottom"/>
            <w:gridSpan w:val="2"/>
          </w:tcPr>
          <w:p>
            <w:pPr>
              <w:spacing w:after="0"/>
              <w:rPr>
                <w:sz w:val="20"/>
                <w:szCs w:val="20"/>
                <w:color w:val="auto"/>
              </w:rPr>
            </w:pPr>
            <w:r>
              <w:rPr>
                <w:rFonts w:ascii="Arial" w:cs="Arial" w:eastAsia="Arial" w:hAnsi="Arial"/>
                <w:sz w:val="18"/>
                <w:szCs w:val="18"/>
                <w:color w:val="auto"/>
              </w:rPr>
              <w:t>/s/ Frank M. Jaehnert</w:t>
            </w:r>
          </w:p>
        </w:tc>
      </w:tr>
      <w:tr>
        <w:trPr>
          <w:trHeight w:val="195"/>
        </w:trPr>
        <w:tc>
          <w:tcPr>
            <w:tcW w:w="4480" w:type="dxa"/>
            <w:vAlign w:val="bottom"/>
          </w:tcPr>
          <w:p>
            <w:pPr>
              <w:spacing w:after="0"/>
              <w:rPr>
                <w:sz w:val="16"/>
                <w:szCs w:val="16"/>
                <w:color w:val="auto"/>
              </w:rPr>
            </w:pPr>
          </w:p>
        </w:tc>
        <w:tc>
          <w:tcPr>
            <w:tcW w:w="3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Frank M. Jaehnert</w:t>
            </w:r>
          </w:p>
        </w:tc>
        <w:tc>
          <w:tcPr>
            <w:tcW w:w="20" w:type="dxa"/>
            <w:vAlign w:val="bottom"/>
          </w:tcPr>
          <w:p>
            <w:pPr>
              <w:spacing w:after="0"/>
              <w:rPr>
                <w:sz w:val="16"/>
                <w:szCs w:val="16"/>
                <w:color w:val="auto"/>
              </w:rPr>
            </w:pPr>
          </w:p>
        </w:tc>
      </w:tr>
      <w:tr>
        <w:trPr>
          <w:trHeight w:val="230"/>
        </w:trPr>
        <w:tc>
          <w:tcPr>
            <w:tcW w:w="448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President &amp; Chief Executive Officer</w:t>
            </w:r>
          </w:p>
        </w:tc>
      </w:tr>
      <w:tr>
        <w:trPr>
          <w:trHeight w:val="432"/>
        </w:trPr>
        <w:tc>
          <w:tcPr>
            <w:tcW w:w="4480" w:type="dxa"/>
            <w:vAlign w:val="bottom"/>
          </w:tcPr>
          <w:p>
            <w:pPr>
              <w:spacing w:after="0"/>
              <w:rPr>
                <w:sz w:val="20"/>
                <w:szCs w:val="20"/>
                <w:color w:val="auto"/>
              </w:rPr>
            </w:pPr>
            <w:r>
              <w:rPr>
                <w:rFonts w:ascii="Arial" w:cs="Arial" w:eastAsia="Arial" w:hAnsi="Arial"/>
                <w:sz w:val="18"/>
                <w:szCs w:val="18"/>
                <w:color w:val="auto"/>
              </w:rPr>
              <w:t>Date: June 4, 2010</w:t>
            </w:r>
          </w:p>
        </w:tc>
        <w:tc>
          <w:tcPr>
            <w:tcW w:w="3480" w:type="dxa"/>
            <w:vAlign w:val="bottom"/>
            <w:gridSpan w:val="2"/>
          </w:tcPr>
          <w:p>
            <w:pPr>
              <w:spacing w:after="0"/>
              <w:rPr>
                <w:sz w:val="20"/>
                <w:szCs w:val="20"/>
                <w:color w:val="auto"/>
              </w:rPr>
            </w:pPr>
            <w:r>
              <w:rPr>
                <w:rFonts w:ascii="Arial" w:cs="Arial" w:eastAsia="Arial" w:hAnsi="Arial"/>
                <w:sz w:val="18"/>
                <w:szCs w:val="18"/>
                <w:color w:val="auto"/>
              </w:rPr>
              <w:t>/s/ Thomas J. Felmer</w:t>
            </w:r>
          </w:p>
        </w:tc>
      </w:tr>
      <w:tr>
        <w:trPr>
          <w:trHeight w:val="195"/>
        </w:trPr>
        <w:tc>
          <w:tcPr>
            <w:tcW w:w="4480" w:type="dxa"/>
            <w:vAlign w:val="bottom"/>
          </w:tcPr>
          <w:p>
            <w:pPr>
              <w:spacing w:after="0"/>
              <w:rPr>
                <w:sz w:val="16"/>
                <w:szCs w:val="16"/>
                <w:color w:val="auto"/>
              </w:rPr>
            </w:pPr>
          </w:p>
        </w:tc>
        <w:tc>
          <w:tcPr>
            <w:tcW w:w="3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J. Felmer</w:t>
            </w:r>
          </w:p>
        </w:tc>
        <w:tc>
          <w:tcPr>
            <w:tcW w:w="20" w:type="dxa"/>
            <w:vAlign w:val="bottom"/>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w w:val="92"/>
              </w:rPr>
              <w:t>Senior Vice President &amp; Chief Financial Officer</w:t>
            </w:r>
          </w:p>
        </w:tc>
      </w:tr>
      <w:tr>
        <w:trPr>
          <w:trHeight w:val="230"/>
        </w:trPr>
        <w:tc>
          <w:tcPr>
            <w:tcW w:w="448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783"/>
        </w:trPr>
        <w:tc>
          <w:tcPr>
            <w:tcW w:w="4480" w:type="dxa"/>
            <w:vAlign w:val="bottom"/>
          </w:tcPr>
          <w:p>
            <w:pPr>
              <w:spacing w:after="0"/>
              <w:rPr>
                <w:sz w:val="24"/>
                <w:szCs w:val="24"/>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r>
    </w:tbl>
    <w:p>
      <w:pPr>
        <w:sectPr>
          <w:pgSz w:w="11900" w:h="16838" w:orient="portrait"/>
          <w:cols w:equalWidth="0" w:num="1">
            <w:col w:w="10219"/>
          </w:cols>
          <w:pgMar w:left="240" w:top="419" w:right="1440" w:bottom="1440" w:gutter="0" w:footer="0" w:header="0"/>
        </w:sectPr>
      </w:pPr>
    </w:p>
    <w:bookmarkStart w:id="27" w:name="page28"/>
    <w:bookmarkEnd w:id="27"/>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85" w:lineRule="exact"/>
        <w:rPr>
          <w:sz w:val="20"/>
          <w:szCs w:val="20"/>
          <w:color w:val="auto"/>
        </w:rPr>
      </w:pPr>
    </w:p>
    <w:p>
      <w:pPr>
        <w:ind w:left="620" w:hanging="25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84" w:lineRule="exact"/>
        <w:rPr>
          <w:rFonts w:ascii="Arial" w:cs="Arial" w:eastAsia="Arial" w:hAnsi="Arial"/>
          <w:sz w:val="18"/>
          <w:szCs w:val="18"/>
          <w:color w:val="auto"/>
        </w:rPr>
      </w:pPr>
    </w:p>
    <w:p>
      <w:pPr>
        <w:jc w:val="both"/>
        <w:ind w:right="559" w:firstLine="365"/>
        <w:spacing w:after="0" w:line="264"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559" w:firstLine="365"/>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right="559" w:firstLine="365"/>
        <w:spacing w:after="0" w:line="264"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jc w:val="both"/>
        <w:ind w:right="559" w:firstLine="365"/>
        <w:spacing w:after="0" w:line="312" w:lineRule="auto"/>
        <w:tabs>
          <w:tab w:leader="none" w:pos="583" w:val="left"/>
        </w:tabs>
        <w:numPr>
          <w:ilvl w:val="0"/>
          <w:numId w:val="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right="559" w:firstLine="365"/>
        <w:spacing w:after="0" w:line="286" w:lineRule="auto"/>
        <w:tabs>
          <w:tab w:leader="none" w:pos="59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right="559" w:firstLine="365"/>
        <w:spacing w:after="0" w:line="264"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right="559" w:firstLine="365"/>
        <w:spacing w:after="0" w:line="286" w:lineRule="auto"/>
        <w:tabs>
          <w:tab w:leader="none" w:pos="583"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sz w:val="20"/>
          <w:szCs w:val="20"/>
          <w:color w:val="auto"/>
        </w:rPr>
      </w:pPr>
    </w:p>
    <w:p>
      <w:pPr>
        <w:jc w:val="both"/>
        <w:ind w:right="559" w:firstLine="365"/>
        <w:spacing w:after="0" w:line="264" w:lineRule="auto"/>
        <w:tabs>
          <w:tab w:leader="none" w:pos="62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jc w:val="both"/>
        <w:ind w:right="559" w:firstLine="365"/>
        <w:spacing w:after="0" w:line="264"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59" w:firstLine="365"/>
        <w:spacing w:after="0" w:line="277" w:lineRule="auto"/>
        <w:tabs>
          <w:tab w:leader="none" w:pos="59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June 4,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152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9879"/>
          </w:cols>
          <w:pgMar w:left="580" w:top="121" w:right="1440" w:bottom="1440" w:gutter="0" w:footer="0" w:header="0"/>
        </w:sectPr>
      </w:pPr>
    </w:p>
    <w:bookmarkStart w:id="28" w:name="page29"/>
    <w:bookmarkEnd w:id="28"/>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185" w:lineRule="exact"/>
        <w:rPr>
          <w:sz w:val="20"/>
          <w:szCs w:val="20"/>
          <w:color w:val="auto"/>
        </w:rPr>
      </w:pPr>
    </w:p>
    <w:p>
      <w:pPr>
        <w:ind w:left="620" w:hanging="25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84" w:lineRule="exact"/>
        <w:rPr>
          <w:rFonts w:ascii="Arial" w:cs="Arial" w:eastAsia="Arial" w:hAnsi="Arial"/>
          <w:sz w:val="18"/>
          <w:szCs w:val="18"/>
          <w:color w:val="auto"/>
        </w:rPr>
      </w:pPr>
    </w:p>
    <w:p>
      <w:pPr>
        <w:jc w:val="both"/>
        <w:ind w:right="559" w:firstLine="365"/>
        <w:spacing w:after="0" w:line="264"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559" w:firstLine="365"/>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right="559" w:firstLine="365"/>
        <w:spacing w:after="0" w:line="264"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jc w:val="both"/>
        <w:ind w:right="559" w:firstLine="365"/>
        <w:spacing w:after="0" w:line="312" w:lineRule="auto"/>
        <w:tabs>
          <w:tab w:leader="none" w:pos="583" w:val="left"/>
        </w:tabs>
        <w:numPr>
          <w:ilvl w:val="0"/>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right="559" w:firstLine="365"/>
        <w:spacing w:after="0" w:line="286" w:lineRule="auto"/>
        <w:tabs>
          <w:tab w:leader="none" w:pos="59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right="559" w:firstLine="365"/>
        <w:spacing w:after="0" w:line="264"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right="559" w:firstLine="365"/>
        <w:spacing w:after="0" w:line="286" w:lineRule="auto"/>
        <w:tabs>
          <w:tab w:leader="none" w:pos="583" w:val="left"/>
        </w:tabs>
        <w:numPr>
          <w:ilvl w:val="0"/>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sz w:val="20"/>
          <w:szCs w:val="20"/>
          <w:color w:val="auto"/>
        </w:rPr>
      </w:pPr>
    </w:p>
    <w:p>
      <w:pPr>
        <w:jc w:val="both"/>
        <w:ind w:right="559" w:firstLine="365"/>
        <w:spacing w:after="0" w:line="264" w:lineRule="auto"/>
        <w:tabs>
          <w:tab w:leader="none" w:pos="62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jc w:val="both"/>
        <w:ind w:right="559" w:firstLine="365"/>
        <w:spacing w:after="0" w:line="264"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59" w:firstLine="365"/>
        <w:spacing w:after="0" w:line="277" w:lineRule="auto"/>
        <w:tabs>
          <w:tab w:leader="none" w:pos="5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June 4,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3755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9879"/>
          </w:cols>
          <w:pgMar w:left="580" w:top="121" w:right="1440" w:bottom="1440" w:gutter="0" w:footer="0" w:header="0"/>
        </w:sectPr>
      </w:pPr>
    </w:p>
    <w:bookmarkStart w:id="29" w:name="page30"/>
    <w:bookmarkEnd w:id="29"/>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1350 CERTIFICATION</w:t>
      </w:r>
    </w:p>
    <w:p>
      <w:pPr>
        <w:spacing w:after="0" w:line="202"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0" w:lineRule="exact"/>
        <w:rPr>
          <w:sz w:val="20"/>
          <w:szCs w:val="20"/>
          <w:color w:val="auto"/>
        </w:rPr>
      </w:pPr>
    </w:p>
    <w:p>
      <w:pPr>
        <w:ind w:right="559" w:firstLine="365"/>
        <w:spacing w:after="0" w:line="277"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2010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559" w:firstLine="365"/>
        <w:spacing w:after="0" w:line="277"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June 4,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3755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70" w:lineRule="exact"/>
        <w:rPr>
          <w:sz w:val="20"/>
          <w:szCs w:val="20"/>
          <w:color w:val="auto"/>
        </w:rPr>
      </w:pPr>
    </w:p>
    <w:p>
      <w:pPr>
        <w:jc w:val="both"/>
        <w:ind w:right="559" w:firstLine="373"/>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9879"/>
          </w:cols>
          <w:pgMar w:left="580" w:top="121" w:right="1440" w:bottom="1440" w:gutter="0" w:footer="0" w:header="0"/>
        </w:sectPr>
      </w:pPr>
    </w:p>
    <w:bookmarkStart w:id="30" w:name="page31"/>
    <w:bookmarkEnd w:id="30"/>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1350 CERTIFICATION</w:t>
      </w:r>
    </w:p>
    <w:p>
      <w:pPr>
        <w:spacing w:after="0" w:line="202"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0" w:lineRule="exact"/>
        <w:rPr>
          <w:sz w:val="20"/>
          <w:szCs w:val="20"/>
          <w:color w:val="auto"/>
        </w:rPr>
      </w:pPr>
    </w:p>
    <w:p>
      <w:pPr>
        <w:ind w:right="559" w:firstLine="365"/>
        <w:spacing w:after="0" w:line="277" w:lineRule="auto"/>
        <w:tabs>
          <w:tab w:leader="none" w:pos="6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2010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559" w:firstLine="365"/>
        <w:spacing w:after="0" w:line="277" w:lineRule="auto"/>
        <w:tabs>
          <w:tab w:leader="none" w:pos="6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June 4,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3755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70" w:lineRule="exact"/>
        <w:rPr>
          <w:sz w:val="20"/>
          <w:szCs w:val="20"/>
          <w:color w:val="auto"/>
        </w:rPr>
      </w:pPr>
    </w:p>
    <w:p>
      <w:pPr>
        <w:jc w:val="both"/>
        <w:ind w:right="559" w:firstLine="373"/>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5"/>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2019-12-10T05:37:01Z</dcterms:created>
  <dcterms:modified xsi:type="dcterms:W3CDTF">2019-12-10T05:37:01Z</dcterms:modified>
</cp:coreProperties>
</file>