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Pr>
          <w:p>
            <w:pPr>
              <w:spacing w:after="0"/>
              <w:rPr>
                <w:sz w:val="17"/>
                <w:szCs w:val="17"/>
                <w:color w:val="auto"/>
              </w:rPr>
            </w:pPr>
          </w:p>
        </w:tc>
        <w:tc>
          <w:tcPr>
            <w:tcW w:w="23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ind w:left="32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2320"/>
              <w:spacing w:after="0"/>
              <w:rPr>
                <w:sz w:val="20"/>
                <w:szCs w:val="20"/>
                <w:color w:val="auto"/>
              </w:rPr>
            </w:pPr>
            <w:r>
              <w:rPr>
                <w:rFonts w:ascii="Arial" w:cs="Arial" w:eastAsia="Arial" w:hAnsi="Arial"/>
                <w:sz w:val="18"/>
                <w:szCs w:val="18"/>
                <w:b w:val="1"/>
                <w:bCs w:val="1"/>
                <w:color w:val="auto"/>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ind w:left="1640"/>
              <w:spacing w:after="0"/>
              <w:rPr>
                <w:sz w:val="20"/>
                <w:szCs w:val="20"/>
                <w:color w:val="auto"/>
              </w:rPr>
            </w:pPr>
            <w:r>
              <w:rPr>
                <w:rFonts w:ascii="Arial" w:cs="Arial" w:eastAsia="Arial" w:hAnsi="Arial"/>
                <w:sz w:val="18"/>
                <w:szCs w:val="18"/>
                <w:color w:val="auto"/>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left="2780" w:right="200" w:hanging="4737"/>
        <w:spacing w:after="0" w:line="223" w:lineRule="exact"/>
        <w:tabs>
          <w:tab w:leader="none" w:pos="2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5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0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2, 2008, there were outstanding 50,784,181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0" w:type="dxa"/>
            <w:vAlign w:val="bottom"/>
            <w:gridSpan w:val="2"/>
          </w:tcPr>
          <w:p>
            <w:pPr>
              <w:jc w:val="center"/>
              <w:ind w:right="4240"/>
              <w:spacing w:after="0"/>
              <w:rPr>
                <w:sz w:val="20"/>
                <w:szCs w:val="20"/>
                <w:color w:val="auto"/>
              </w:rPr>
            </w:pPr>
            <w:r>
              <w:rPr>
                <w:rFonts w:ascii="Arial" w:cs="Arial" w:eastAsia="Arial" w:hAnsi="Arial"/>
                <w:sz w:val="18"/>
                <w:szCs w:val="18"/>
                <w:color w:val="auto"/>
                <w:w w:val="93"/>
              </w:rPr>
              <w:t>FORM 10-Q</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20" w:type="dxa"/>
            <w:vAlign w:val="bottom"/>
            <w:gridSpan w:val="3"/>
          </w:tcPr>
          <w:p>
            <w:pPr>
              <w:jc w:val="center"/>
              <w:ind w:right="3740"/>
              <w:spacing w:after="0"/>
              <w:rPr>
                <w:sz w:val="20"/>
                <w:szCs w:val="20"/>
                <w:color w:val="auto"/>
              </w:rPr>
            </w:pPr>
            <w:r>
              <w:rPr>
                <w:rFonts w:ascii="Arial" w:cs="Arial" w:eastAsia="Arial" w:hAnsi="Arial"/>
                <w:sz w:val="18"/>
                <w:szCs w:val="18"/>
                <w:color w:val="auto"/>
                <w:w w:val="96"/>
              </w:rPr>
              <w:t>BRADY CORPORATION</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0" w:type="dxa"/>
            <w:vAlign w:val="bottom"/>
            <w:gridSpan w:val="2"/>
          </w:tcPr>
          <w:p>
            <w:pPr>
              <w:jc w:val="center"/>
              <w:ind w:right="4240"/>
              <w:spacing w:after="0"/>
              <w:rPr>
                <w:sz w:val="20"/>
                <w:szCs w:val="20"/>
                <w:color w:val="auto"/>
              </w:rPr>
            </w:pPr>
            <w:r>
              <w:rPr>
                <w:rFonts w:ascii="Arial" w:cs="Arial" w:eastAsia="Arial" w:hAnsi="Arial"/>
                <w:sz w:val="18"/>
                <w:szCs w:val="18"/>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6"/>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220" w:type="dxa"/>
            <w:vAlign w:val="bottom"/>
            <w:gridSpan w:val="9"/>
            <w:vMerge w:val="restart"/>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6"/>
            <w:vMerge w:val="continue"/>
          </w:tcPr>
          <w:p>
            <w:pPr>
              <w:spacing w:after="0"/>
              <w:rPr>
                <w:sz w:val="14"/>
                <w:szCs w:val="14"/>
                <w:color w:val="auto"/>
              </w:rPr>
            </w:pPr>
          </w:p>
        </w:tc>
        <w:tc>
          <w:tcPr>
            <w:tcW w:w="8220" w:type="dxa"/>
            <w:vAlign w:val="bottom"/>
            <w:gridSpan w:val="9"/>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29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714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78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3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600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7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646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4380" w:type="dxa"/>
            <w:vAlign w:val="bottom"/>
            <w:tcBorders>
              <w:bottom w:val="single" w:sz="8" w:color="0000EE"/>
            </w:tcBorders>
            <w:gridSpan w:val="10"/>
          </w:tcPr>
          <w:p>
            <w:pPr>
              <w:ind w:left="20"/>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2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9580" w:type="dxa"/>
            <w:vAlign w:val="bottom"/>
            <w:gridSpan w:val="12"/>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842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Brady Corporation Restated Restoration Plan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62"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January 31, 2008</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3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198,439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($8,960 and $9,109, respectively)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242,394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21,164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35,867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10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139,814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45,946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626,593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768,850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31,070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24,697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21,111</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93,938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264,611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379,474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205,240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174,234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174,614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1,773,912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96,220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62,065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53,129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253,443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62,899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794,914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807,845</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January 31, 2008</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2007</w:t>
            </w:r>
          </w:p>
        </w:tc>
      </w:tr>
      <w:tr>
        <w:trPr>
          <w:trHeight w:val="142"/>
        </w:trPr>
        <w:tc>
          <w:tcPr>
            <w:tcW w:w="8780" w:type="dxa"/>
            <w:vAlign w:val="bottom"/>
          </w:tcPr>
          <w:p>
            <w:pPr>
              <w:spacing w:after="0"/>
              <w:rPr>
                <w:sz w:val="12"/>
                <w:szCs w:val="12"/>
                <w:color w:val="auto"/>
              </w:rPr>
            </w:pPr>
          </w:p>
        </w:tc>
        <w:tc>
          <w:tcPr>
            <w:tcW w:w="10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Class A nonvoting common stock — Issued and outstanding 51,032,887 and 50,586,524 shares, respectively</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284,761</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266,203</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Earnings retained in the business</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586,111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540,238</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107,035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83,376</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23"/>
        </w:trPr>
        <w:tc>
          <w:tcPr>
            <w:tcW w:w="87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stockholders’ investment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978,998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891,012</w:t>
            </w:r>
          </w:p>
        </w:tc>
      </w:tr>
      <w:tr>
        <w:trPr>
          <w:trHeight w:val="432"/>
        </w:trPr>
        <w:tc>
          <w:tcPr>
            <w:tcW w:w="8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   1,773,912</w:t>
            </w:r>
          </w:p>
        </w:tc>
        <w:tc>
          <w:tcPr>
            <w:tcW w:w="6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$ 1,698,857</w:t>
            </w:r>
          </w:p>
        </w:tc>
      </w:tr>
      <w:tr>
        <w:trPr>
          <w:trHeight w:val="20"/>
        </w:trPr>
        <w:tc>
          <w:tcPr>
            <w:tcW w:w="8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color w:val="auto"/>
                <w:w w:val="92"/>
              </w:rPr>
              <w:t>Three Months Ended January 31,</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color w:val="auto"/>
                <w:w w:val="92"/>
              </w:rPr>
              <w:t>Six Months Ended January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color w:val="auto"/>
              </w:rPr>
              <w:t>(Unaudited)</w:t>
            </w:r>
          </w:p>
        </w:tc>
        <w:tc>
          <w:tcPr>
            <w:tcW w:w="1420" w:type="dxa"/>
            <w:vAlign w:val="bottom"/>
            <w:vMerge w:val="restart"/>
          </w:tcPr>
          <w:p>
            <w:pPr>
              <w:jc w:val="right"/>
              <w:ind w:right="652"/>
              <w:spacing w:after="0"/>
              <w:rPr>
                <w:sz w:val="20"/>
                <w:szCs w:val="20"/>
                <w:color w:val="auto"/>
              </w:rPr>
            </w:pPr>
            <w:r>
              <w:rPr>
                <w:rFonts w:ascii="Arial" w:cs="Arial" w:eastAsia="Arial" w:hAnsi="Arial"/>
                <w:sz w:val="14"/>
                <w:szCs w:val="14"/>
                <w:color w:val="auto"/>
                <w:w w:val="92"/>
              </w:rPr>
              <w:t>Percentage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580"/>
              <w:spacing w:after="0"/>
              <w:rPr>
                <w:sz w:val="20"/>
                <w:szCs w:val="20"/>
                <w:color w:val="auto"/>
              </w:rPr>
            </w:pPr>
            <w:r>
              <w:rPr>
                <w:rFonts w:ascii="Arial" w:cs="Arial" w:eastAsia="Arial" w:hAnsi="Arial"/>
                <w:sz w:val="14"/>
                <w:szCs w:val="14"/>
                <w:color w:val="auto"/>
              </w:rPr>
              <w:t>(Unaudited)</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w w:val="97"/>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364,124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321,275</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744,258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653,534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189,101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171,114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381,567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339,245</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150,161</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362,691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314,289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9,082</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17,614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122,508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108,355</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242,859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212,010</w:t>
            </w: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117,437</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261,909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229,624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42,444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32,724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100,782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84,665</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200"/>
              <w:spacing w:after="0" w:line="201" w:lineRule="exact"/>
              <w:rPr>
                <w:sz w:val="20"/>
                <w:szCs w:val="20"/>
                <w:color w:val="auto"/>
              </w:rPr>
            </w:pPr>
            <w:r>
              <w:rPr>
                <w:rFonts w:ascii="Arial" w:cs="Arial" w:eastAsia="Arial" w:hAnsi="Arial"/>
                <w:sz w:val="18"/>
                <w:szCs w:val="18"/>
                <w:color w:val="auto"/>
              </w:rPr>
              <w:t>Investment and other income(expense)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400"/>
              <w:spacing w:after="0"/>
              <w:rPr>
                <w:sz w:val="20"/>
                <w:szCs w:val="20"/>
                <w:color w:val="auto"/>
              </w:rPr>
            </w:pPr>
            <w:r>
              <w:rPr>
                <w:rFonts w:ascii="Arial" w:cs="Arial" w:eastAsia="Arial" w:hAnsi="Arial"/>
                <w:sz w:val="18"/>
                <w:szCs w:val="18"/>
                <w:color w:val="auto"/>
              </w:rPr>
              <w:t>— net</w:t>
            </w:r>
          </w:p>
        </w:tc>
        <w:tc>
          <w:tcPr>
            <w:tcW w:w="100" w:type="dxa"/>
            <w:vAlign w:val="bottom"/>
          </w:tcPr>
          <w:p>
            <w:pPr>
              <w:spacing w:after="0"/>
              <w:rPr>
                <w:sz w:val="20"/>
                <w:szCs w:val="20"/>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2,269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(106)</w:t>
            </w:r>
          </w:p>
        </w:tc>
        <w:tc>
          <w:tcPr>
            <w:tcW w:w="1420" w:type="dxa"/>
            <w:vAlign w:val="bottom"/>
          </w:tcPr>
          <w:p>
            <w:pPr>
              <w:jc w:val="right"/>
              <w:ind w:right="752"/>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2,387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532</w:t>
            </w:r>
          </w:p>
        </w:tc>
        <w:tc>
          <w:tcPr>
            <w:tcW w:w="900" w:type="dxa"/>
            <w:vAlign w:val="bottom"/>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(5,244)</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37,966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27,374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89,702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75,218</w:t>
            </w: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7,665</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26,690</w:t>
            </w:r>
          </w:p>
        </w:tc>
        <w:tc>
          <w:tcPr>
            <w:tcW w:w="36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19,709</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35.4%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63,060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54,157</w:t>
            </w: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0.49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0.37</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32.4%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1.01</w:t>
            </w: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0.36</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0.28</w:t>
            </w: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0.49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0.37</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32.4%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0.99</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0.36</w:t>
            </w:r>
          </w:p>
        </w:tc>
        <w:tc>
          <w:tcPr>
            <w:tcW w:w="14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0.14</w:t>
            </w:r>
          </w:p>
        </w:tc>
        <w:tc>
          <w:tcPr>
            <w:tcW w:w="1420" w:type="dxa"/>
            <w:vAlign w:val="bottom"/>
          </w:tcPr>
          <w:p>
            <w:pPr>
              <w:jc w:val="right"/>
              <w:ind w:right="492"/>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0.26</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54,510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53,894</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54,430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53,814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55,228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54,789</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54,697</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January 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color w:val="auto"/>
              </w:rPr>
              <w:t>2008</w:t>
            </w:r>
          </w:p>
        </w:tc>
        <w:tc>
          <w:tcPr>
            <w:tcW w:w="78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(Unaudited)</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63,060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29,669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Loss on disposal of property, plant &amp;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portion of stock-based compensation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6,382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7,080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7,571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(7,339)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w w:val="95"/>
              </w:rPr>
              <w:t>(17,117)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87,848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37,059</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(24,552)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(5,798)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(10,350)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29,550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(14,358)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(3,259)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(28,767)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Financing activities: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5"/>
              </w:rPr>
              <w:t>(16,285)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7,980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income tax benefit from the exercise of stock options and deferred compensation distribution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4,093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1400"/>
              <w:spacing w:after="0"/>
              <w:rPr>
                <w:sz w:val="20"/>
                <w:szCs w:val="20"/>
                <w:color w:val="auto"/>
              </w:rPr>
            </w:pPr>
            <w:r>
              <w:rPr>
                <w:rFonts w:ascii="Arial" w:cs="Arial" w:eastAsia="Arial" w:hAnsi="Arial"/>
                <w:sz w:val="18"/>
                <w:szCs w:val="18"/>
                <w:color w:val="auto"/>
              </w:rPr>
              <w:t>Net cash (used in) provided by financing activities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142,846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198,439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net of capitalized interest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13,153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Income taxes, net of refunds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26,381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Fair value of assets acquired, net of cash and goodwill</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17,279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Liabilities assumed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(6,371)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13,644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paid for acquisitions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24,552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20" w:firstLine="222"/>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and the impact of adopting Financial Accounting Standards Board (“FASB”) Interpretation No. 48, “Accounting for Uncertainty in Income Taxes” (“FIN 48”) (see Note I for further information) as of August 1, 2007, necessary to present fairly the financial position of the Company as of January 31, 2008 and July 3l, 2007, its results of operations for the three and six months ended January 31, 2008 and 2007, and its cash flows for the six months ended January 31, 2008 and 2007. The condensed consolidated balance sheet as of July 31, 2007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5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six months ended January 31, 2008,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Direct</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Brady</w:t>
            </w:r>
          </w:p>
        </w:tc>
        <w:tc>
          <w:tcPr>
            <w:tcW w:w="30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Marketing</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7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&amp; People ID</w:t>
            </w: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Europe</w:t>
            </w:r>
          </w:p>
        </w:tc>
        <w:tc>
          <w:tcPr>
            <w:tcW w:w="680" w:type="dxa"/>
            <w:vAlign w:val="bottom"/>
            <w:vMerge w:val="restart"/>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Asia-Pacific</w:t>
            </w:r>
          </w:p>
        </w:tc>
        <w:tc>
          <w:tcPr>
            <w:tcW w:w="32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Americas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6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$ 143,775</w:t>
            </w:r>
          </w:p>
        </w:tc>
        <w:tc>
          <w:tcPr>
            <w:tcW w:w="3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$ 260,299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$ 163,699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$ 169,677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13,644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c>
          <w:tcPr>
            <w:tcW w:w="6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6,434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5,995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$ 144,036</w:t>
            </w:r>
          </w:p>
        </w:tc>
        <w:tc>
          <w:tcPr>
            <w:tcW w:w="3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$ 261,846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$ 183,531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$ 179,437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$ 768,850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Goodwill increased $31,400 during the six months ended January 31, 2008. A significant component of the increase related to the November 2007 acquisitions of Transposafe Systems B.V. and Holland Mounting Systems B.V. (collectively “Transposafe”), which added $13,644. Goodwill also increased as a result of adjustments to the preliminary allocation of purchase price for the acquisitions completed in fiscal 2007, of which the largest adjustment related to the final purchase price adjustments for Comprehensive Identification Products, Inc (“CIPI”) which added $3,668. Of the $3,668 increase in goodwill attributed to the allocation of the purchase price for CIPI, $1,609 related to the adoption of FIN 48 (see Note I), $1,250 related to the accrual for employee termination costs, and the remaining $809 related to various exit costs associated with the closure of a facility. Additionally, during the six months ended January 31, 2008, goodwill increased by $13,929 due the effects of foreign currency translation.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January 31, 2008</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2"/>
              </w:rPr>
              <w:t>July 31, 2007</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Book</w:t>
            </w:r>
          </w:p>
        </w:tc>
        <w:tc>
          <w:tcPr>
            <w:tcW w:w="14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Period</w:t>
            </w: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Period</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8,424</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2,186</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8,392</w:t>
            </w:r>
          </w:p>
        </w:tc>
        <w:tc>
          <w:tcPr>
            <w:tcW w:w="2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1,838</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144,295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96,779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(36,674)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Non-compete agreements</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4,476</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Other</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42,759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42,758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216,660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148,468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204,446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(54,685)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Balance Sheet at January 31, 2008 differs from the value assigned to them in the allocation of purchase price due to the effect of fluctuations in the exchange rates used to translate financial statements into the United States Dollar between the date of acquisition and January 31, 2008.</w:t>
      </w:r>
    </w:p>
    <w:p>
      <w:pPr>
        <w:spacing w:after="0" w:line="73"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Amortization expense on intangible assets was $6,838 and $5,720 for the three-month periods ended January 31, 2008 and 2007, respectively and $12,743 and $10,960 for the six-month periods ended January 31, 2008 and 2007, respectively. Annual amortization is projected to be $26,560, $24,803, $23,920, $20,207 and $11,084 for the years ending July 31, 2008, 2009, 2010, 2011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comprehensive income, which was comprised of net income, foreign currency adjustments, net unrealized gains and losses from cash flow hedges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other investments, the unrealized gain on the post-retirement medical, dental, and vision plans, and their related tax effects amounted to $25,675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$10,536 for the three months ended January 31, 2008 and 2007, respectively and $86,719 and $40,811 for the six months ended January 31, 2008 and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4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January 31,</w:t>
            </w: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7"/>
              </w:rPr>
              <w:t>Net income (numerator for basic and diluted Class A net income per 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26,690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19,709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63,060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26,690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19,709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62,201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9"/>
              </w:rPr>
              <w:t>Denominator for basic net income per share for both Class A and Class B</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54,510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53,894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54,430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7"/>
              </w:rPr>
              <w:t>Denominator for diluted net income per share for both Class A and Class B</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55,228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54,789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Options to purchase 2,171,000 and 1,725,750 shares of Class A Nonvoting Common Stock for the three and six months ended January 31, 2008, respectively, and 1,269,500 and 949,500 shares of Class A Nonvoting Common Stock for the three and six months ended January 31, 2007, respectively, were not included in the computations of diluted net income per share because the option exercise price was greater than the average market price of the common shares and, therefore, the effect would be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Company’s reportable segments are businesses that are each managed separately. As a result of continuing organizational changes within the executive leadership team in which management of the manufacturing facilities was aligned with the geographic region of the facility, the Company has revised its reportable segments and has restated the corresponding segment information from its previous geographical based structure for the prior year. The Company has four reportable segments: Brady Americas, Direct Marketing &amp; People ID Americas, Europe and Asia-Pacific. The Brady Americas reportable segment includes businesses that focus on MRO market products and OEM market products sold to customers in North and South America through distributors or a direct sales force. The Direct Marketing &amp; People ID Americas reportable segment includes businesses that market their products through business-to-business direct mail, catalogs, and telemarketing, distribution and a direct sales force in North and South Americas. The Europe and Asia-Pacific reportable segments have not changed from prior year disclosures. Following is a summary of segment information for the three and six months ended January 31, 2008 and 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center"/>
              <w:ind w:right="273"/>
              <w:spacing w:after="0"/>
              <w:rPr>
                <w:sz w:val="20"/>
                <w:szCs w:val="20"/>
                <w:color w:val="auto"/>
              </w:rPr>
            </w:pPr>
            <w:r>
              <w:rPr>
                <w:rFonts w:ascii="Arial" w:cs="Arial" w:eastAsia="Arial" w:hAnsi="Arial"/>
                <w:sz w:val="14"/>
                <w:szCs w:val="14"/>
                <w:b w:val="1"/>
                <w:bCs w:val="1"/>
                <w:color w:val="auto"/>
                <w:w w:val="95"/>
              </w:rPr>
              <w:t>Direct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Brady</w:t>
            </w:r>
          </w:p>
        </w:tc>
        <w:tc>
          <w:tcPr>
            <w:tcW w:w="260" w:type="dxa"/>
            <w:vAlign w:val="bottom"/>
          </w:tcPr>
          <w:p>
            <w:pPr>
              <w:spacing w:after="0"/>
              <w:rPr>
                <w:sz w:val="12"/>
                <w:szCs w:val="12"/>
                <w:color w:val="auto"/>
              </w:rPr>
            </w:pP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Marketing &amp;</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People ID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Europe</w:t>
            </w:r>
          </w:p>
        </w:tc>
        <w:tc>
          <w:tcPr>
            <w:tcW w:w="26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Asia-Pacific</w:t>
            </w:r>
          </w:p>
        </w:tc>
        <w:tc>
          <w:tcPr>
            <w:tcW w:w="28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Sub-Totals</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91"/>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rPr>
              <w:t>Americas</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1"/>
              </w:rPr>
              <w:t>Americas</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2008:</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95,303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61,318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122,615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84,888</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$364,124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$364,124</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15,316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6,247</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24,396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(24,396)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Segment profit</w:t>
            </w: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19,517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12,519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31,067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12,660</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75,763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(2,347)</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73,416</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2007:</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80,510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59,478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98,846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82,441</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$321,275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$321,275</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13,124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4,703</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20,271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(20,271)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Segment profit</w:t>
            </w: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14,473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14,920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22,604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12,394</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64,391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(2,828)</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61,563</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2008:</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200,538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w w:val="89"/>
              </w:rPr>
              <w:t>130,858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231,529</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181,333</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$744,258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$744,258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29,902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5,253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12,461</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48,808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(48,808)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Segment profit</w:t>
            </w: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43,975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32,167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60,967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32,050</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169,159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(4,583)</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164,576</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2007:</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163,269</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w w:val="89"/>
              </w:rPr>
              <w:t>123,662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191,211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175,392</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$653,534</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$653,534</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25,342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10,693</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39,977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(39,977)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Segment profit</w:t>
            </w:r>
          </w:p>
        </w:tc>
        <w:tc>
          <w:tcPr>
            <w:tcW w:w="24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35,188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31,723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45,609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34,531</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147,051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(5,638)</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income for the three months and six months ended January 31,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January 31,</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80"/>
              <w:spacing w:after="0" w:line="153" w:lineRule="exact"/>
              <w:rPr>
                <w:sz w:val="20"/>
                <w:szCs w:val="20"/>
                <w:color w:val="auto"/>
              </w:rPr>
            </w:pPr>
            <w:r>
              <w:rPr>
                <w:rFonts w:ascii="Arial" w:cs="Arial" w:eastAsia="Arial" w:hAnsi="Arial"/>
                <w:sz w:val="14"/>
                <w:szCs w:val="14"/>
                <w:b w:val="1"/>
                <w:bCs w:val="1"/>
                <w:color w:val="auto"/>
              </w:rPr>
              <w:t>January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75,763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64,391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169,159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(30,972)</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(28,839)</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(63,794)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(13,467)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37,996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(11,276)</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(26,642)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26,690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17"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2007 and forward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61" w:lineRule="exact"/>
        <w:rPr>
          <w:sz w:val="20"/>
          <w:szCs w:val="20"/>
          <w:color w:val="auto"/>
        </w:rPr>
      </w:pPr>
    </w:p>
    <w:p>
      <w:pPr>
        <w:ind w:right="320" w:firstLine="215"/>
        <w:spacing w:after="0" w:line="286" w:lineRule="auto"/>
        <w:rPr>
          <w:sz w:val="20"/>
          <w:szCs w:val="20"/>
          <w:color w:val="auto"/>
        </w:rPr>
      </w:pPr>
      <w:r>
        <w:rPr>
          <w:rFonts w:ascii="Arial" w:cs="Arial" w:eastAsia="Arial" w:hAnsi="Arial"/>
          <w:sz w:val="17"/>
          <w:szCs w:val="17"/>
          <w:color w:val="auto"/>
        </w:rPr>
        <w:t>As of January 31, 2008, the Company has reserved 4,768,201 shares of Class A Nonvoting Common Stock for outstanding stock options and restricted shares and 887,500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57"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accounts for share-based compensation awards in accordance with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January 31, 2008 and 2007 was $3,125 ($1,906 net of taxes) and $2,110 ($1,287 net of taxes), respectively, and expense recognized during the six months ended January 31, 2008 and 2007 was $6,382 ($3,893 net of taxes) and $3,669 ($2,238 net of taxes), respectively. As of January 31, 2008, total unrecognized compensation cost related to share-based compensation awards was approximately $23,656 pre-tax, net of estimated forfeitures, which the Company expects to recognize over a weighted-average period of approximately 2.9 years.</w:t>
      </w:r>
    </w:p>
    <w:p>
      <w:pPr>
        <w:spacing w:after="0" w:line="8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2008 and 2007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gridSpan w:val="3"/>
          </w:tcPr>
          <w:p>
            <w:pPr>
              <w:jc w:val="right"/>
              <w:ind w:right="704"/>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4"/>
                <w:szCs w:val="14"/>
                <w:color w:val="auto"/>
              </w:rPr>
            </w:pPr>
          </w:p>
        </w:tc>
        <w:tc>
          <w:tcPr>
            <w:tcW w:w="2680" w:type="dxa"/>
            <w:vAlign w:val="bottom"/>
            <w:gridSpan w:val="3"/>
          </w:tcPr>
          <w:p>
            <w:pPr>
              <w:jc w:val="right"/>
              <w:ind w:right="724"/>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rPr>
              <w:t>January 31, 2008</w:t>
            </w:r>
          </w:p>
        </w:tc>
        <w:tc>
          <w:tcPr>
            <w:tcW w:w="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color w:val="auto"/>
              </w:rPr>
              <w:t>January 31, 2007</w:t>
            </w:r>
          </w:p>
        </w:tc>
      </w:tr>
      <w:tr>
        <w:trPr>
          <w:trHeight w:val="123"/>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0"/>
              </w:rPr>
              <w:t>Service-Based</w:t>
            </w:r>
          </w:p>
        </w:tc>
        <w:tc>
          <w:tcPr>
            <w:tcW w:w="4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1"/>
              </w:rPr>
              <w:t>Performance-</w:t>
            </w: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Based Option</w:t>
            </w:r>
          </w:p>
        </w:tc>
        <w:tc>
          <w:tcPr>
            <w:tcW w:w="460" w:type="dxa"/>
            <w:vAlign w:val="bottom"/>
          </w:tcPr>
          <w:p>
            <w:pPr>
              <w:spacing w:after="0"/>
              <w:rPr>
                <w:sz w:val="12"/>
                <w:szCs w:val="12"/>
                <w:color w:val="auto"/>
              </w:rPr>
            </w:pPr>
          </w:p>
        </w:tc>
        <w:tc>
          <w:tcPr>
            <w:tcW w:w="1140" w:type="dxa"/>
            <w:vAlign w:val="bottom"/>
          </w:tcPr>
          <w:p>
            <w:pPr>
              <w:jc w:val="right"/>
              <w:ind w:right="84"/>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64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6.04</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6.07</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32.05%</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33.68%</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34.01%</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34.66%</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1.62%</w:t>
            </w:r>
          </w:p>
        </w:tc>
        <w:tc>
          <w:tcPr>
            <w:tcW w:w="15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1.58%</w:t>
            </w:r>
          </w:p>
        </w:tc>
        <w:tc>
          <w:tcPr>
            <w:tcW w:w="16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1.46%</w:t>
            </w:r>
          </w:p>
        </w:tc>
        <w:tc>
          <w:tcPr>
            <w:tcW w:w="15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3.44%</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4.66%</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4.52%</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$38.22</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$35.35</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$38.19</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$38.22</w:t>
            </w: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$35.35</w:t>
            </w:r>
          </w:p>
        </w:tc>
        <w:tc>
          <w:tcPr>
            <w:tcW w:w="1600" w:type="dxa"/>
            <w:vAlign w:val="bottom"/>
            <w:gridSpan w:val="2"/>
          </w:tcPr>
          <w:p>
            <w:pPr>
              <w:jc w:val="right"/>
              <w:ind w:right="284"/>
              <w:spacing w:after="0"/>
              <w:rPr>
                <w:sz w:val="20"/>
                <w:szCs w:val="20"/>
                <w:color w:val="auto"/>
              </w:rPr>
            </w:pPr>
            <w:r>
              <w:rPr>
                <w:rFonts w:ascii="Arial" w:cs="Arial" w:eastAsia="Arial" w:hAnsi="Arial"/>
                <w:sz w:val="18"/>
                <w:szCs w:val="18"/>
                <w:color w:val="auto"/>
              </w:rPr>
              <w:t>$38.19</w:t>
            </w: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$11.94</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$12.83</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$13.57</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$12.57</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granted 210,000 performance-based restricted shares during the six months ended January 31, 2008 with a grant price and fair value of $32.83. As of January 31, 2008, 210,000 performance-based restricted shares were outstanding.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summary of stock option activity under the Company’s share-based compensation plans for the six months ended January 31, 2008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Average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40" w:type="dxa"/>
            <w:vAlign w:val="bottom"/>
          </w:tcPr>
          <w:p>
            <w:pPr>
              <w:ind w:left="2640"/>
              <w:spacing w:after="0"/>
              <w:rPr>
                <w:sz w:val="20"/>
                <w:szCs w:val="20"/>
                <w:color w:val="auto"/>
              </w:rPr>
            </w:pPr>
            <w:r>
              <w:rPr>
                <w:rFonts w:ascii="Arial" w:cs="Arial" w:eastAsia="Arial" w:hAnsi="Arial"/>
                <w:sz w:val="14"/>
                <w:szCs w:val="14"/>
                <w:color w:val="auto"/>
              </w:rPr>
              <w:t>Options</w:t>
            </w:r>
          </w:p>
        </w:tc>
        <w:tc>
          <w:tcPr>
            <w:tcW w:w="56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color w:val="auto"/>
              </w:rPr>
              <w:t>Shares</w:t>
            </w:r>
          </w:p>
        </w:tc>
        <w:tc>
          <w:tcPr>
            <w:tcW w:w="360" w:type="dxa"/>
            <w:vAlign w:val="bottom"/>
            <w:gridSpan w:val="2"/>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color w:val="auto"/>
              </w:rPr>
              <w:t>Exercise Price</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2007</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4,182,739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New grants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954,500</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37.44</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(446,363)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18.10</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 or expired</w:t>
            </w:r>
          </w:p>
        </w:tc>
        <w:tc>
          <w:tcPr>
            <w:tcW w:w="56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(132,675)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36.44</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2008</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4,558,201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31, 2008</w:t>
            </w: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25.17</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2,606,364</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2008 and 2007, based upon the average market price during the period, was $9,628 and $4,597, respectively. The total fair value of stock options vested during the six months ended January 31, 2008 and 2007, was $6,554 and $4,592,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 Stockholders’ Equity</w:t>
      </w:r>
    </w:p>
    <w:p>
      <w:pPr>
        <w:spacing w:after="0" w:line="117" w:lineRule="exact"/>
        <w:rPr>
          <w:sz w:val="20"/>
          <w:szCs w:val="20"/>
          <w:color w:val="auto"/>
        </w:rPr>
      </w:pPr>
    </w:p>
    <w:p>
      <w:pPr>
        <w:jc w:val="both"/>
        <w:ind w:right="160" w:firstLine="225"/>
        <w:spacing w:after="0" w:line="279" w:lineRule="auto"/>
        <w:rPr>
          <w:sz w:val="20"/>
          <w:szCs w:val="20"/>
          <w:color w:val="auto"/>
        </w:rPr>
      </w:pPr>
      <w:r>
        <w:rPr>
          <w:rFonts w:ascii="Arial" w:cs="Arial" w:eastAsia="Arial" w:hAnsi="Arial"/>
          <w:sz w:val="17"/>
          <w:szCs w:val="17"/>
          <w:color w:val="auto"/>
        </w:rPr>
        <w:t>In September 2007,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six months ended January 31, 2008, the Company did not reacquire any shares under the repurchase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H — Employee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outlined by the plan. Postretirement benefits are provided only if the employee was hired prior to April 1, 2008 and retires on or after attainment of age 55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15 years of credited service. Credited service begins accruing at the later of age 40 or date of hire. All active employees first eligible to retire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1992, are covered by an unfunded, contributory postretirement healthcare plan where employer contributions will not exceed a defined dollar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regardless of the cost of the program. Employer contributions to the plan are based on the employee’s age and service at retirement.</w:t>
      </w:r>
    </w:p>
    <w:p>
      <w:pPr>
        <w:spacing w:after="0" w:line="103"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2008 from those reported thereto in Note 3 to the consolidated financial statements included in the Company’s latest annual report on Form 10-K for the year ended July 31, 2007.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I — Income Taxes</w:t>
      </w:r>
    </w:p>
    <w:p>
      <w:pPr>
        <w:spacing w:after="0" w:line="11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On August 1, 2007, the Company adopted FIN 48. FIN 48 prescribes a recognition threshold that a tax position is required to meet before being recognized in the financial statements and provides guidance on derecognition, measurement, classification, interest and penalties, accounting in interim periods, and disclosure and transition issues.</w:t>
      </w:r>
    </w:p>
    <w:p>
      <w:pPr>
        <w:spacing w:after="0" w:line="7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adoption of FIN 48 resulted in a $900 charge to earnings retained in the business as of August 1, 2007 and a change in the classification of the liability on the balance sheet from accrued income taxes to other liabilities. As of August 1, 2007, the Company’s liability for uncertain tax positions was $15,900. Unrecognized tax benefits of $10,500 would affect the Company’s effective tax rate if recognized. As of January 31, 2008 the Company’s liability for uncertain tax positions was $17,500.</w:t>
      </w:r>
    </w:p>
    <w:p>
      <w:pPr>
        <w:spacing w:after="0" w:line="7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recognizes accrued interest and penalties, if any, related to unrecognized tax benefits in income taxes on the accompanying condensed consolidated statement of income. At August 1, 2007, the Company had accrued $2,200 for the potential payment of interest which is included in the $15,900 liability for uncertain tax positions. During the six months ended January 31, 2008 the Company recognized $500 in potential interest associated with uncertain tax positions. The total accrual for potential payment of interest is $2,700.</w:t>
      </w:r>
    </w:p>
    <w:p>
      <w:pPr>
        <w:spacing w:after="0" w:line="79"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summarized the open tax years for the Company’s major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w:t>
            </w:r>
          </w:p>
        </w:tc>
        <w:tc>
          <w:tcPr>
            <w:tcW w:w="56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Open Tax Years</w:t>
            </w:r>
          </w:p>
        </w:tc>
      </w:tr>
      <w:tr>
        <w:trPr>
          <w:trHeight w:val="195"/>
        </w:trPr>
        <w:tc>
          <w:tcPr>
            <w:tcW w:w="9900" w:type="dxa"/>
            <w:vAlign w:val="bottom"/>
          </w:tcPr>
          <w:p>
            <w:pPr>
              <w:spacing w:after="0" w:line="195" w:lineRule="exact"/>
              <w:rPr>
                <w:sz w:val="20"/>
                <w:szCs w:val="20"/>
                <w:color w:val="auto"/>
              </w:rPr>
            </w:pPr>
            <w:r>
              <w:rPr>
                <w:rFonts w:ascii="Arial" w:cs="Arial" w:eastAsia="Arial" w:hAnsi="Arial"/>
                <w:sz w:val="18"/>
                <w:szCs w:val="18"/>
                <w:color w:val="auto"/>
              </w:rPr>
              <w:t>United States — Federal</w:t>
            </w:r>
          </w:p>
        </w:tc>
        <w:tc>
          <w:tcPr>
            <w:tcW w:w="56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Arial" w:cs="Arial" w:eastAsia="Arial" w:hAnsi="Arial"/>
                <w:sz w:val="18"/>
                <w:szCs w:val="18"/>
                <w:color w:val="auto"/>
                <w:w w:val="95"/>
              </w:rPr>
              <w:t>F’04 — F’07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France</w:t>
            </w:r>
          </w:p>
        </w:tc>
        <w:tc>
          <w:tcPr>
            <w:tcW w:w="5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5"/>
              </w:rPr>
              <w:t>F’04 — F’07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Germany</w:t>
            </w:r>
          </w:p>
        </w:tc>
        <w:tc>
          <w:tcPr>
            <w:tcW w:w="56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5"/>
              </w:rPr>
              <w:t>F’03 — F’07</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United Kingdom</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5"/>
              </w:rPr>
              <w:t>F’05 — F’07</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Approximately $2,000 of unrecognized tax benefits relate to items that are affected by expiring statute of limitations within the next 12 months.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17" w:lineRule="exact"/>
        <w:rPr>
          <w:sz w:val="20"/>
          <w:szCs w:val="20"/>
          <w:color w:val="auto"/>
        </w:rPr>
      </w:pPr>
    </w:p>
    <w:p>
      <w:pPr>
        <w:ind w:right="240" w:firstLine="225"/>
        <w:spacing w:after="0" w:line="297" w:lineRule="auto"/>
        <w:rPr>
          <w:sz w:val="20"/>
          <w:szCs w:val="20"/>
          <w:color w:val="auto"/>
        </w:rPr>
      </w:pPr>
      <w:r>
        <w:rPr>
          <w:rFonts w:ascii="Arial" w:cs="Arial" w:eastAsia="Arial" w:hAnsi="Arial"/>
          <w:sz w:val="16"/>
          <w:szCs w:val="16"/>
          <w:color w:val="auto"/>
        </w:rPr>
        <w:t>In September 2006, the FASB issued SFAS No. 157, “Fair Value Measurements.”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is in the process of evaluating the impact that will result from adopting SFAS No. 157 and therefore is unable to disclose the impact SFAS No. 157 will have on its financial position and results of operations when such statement is adopted.</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This statement permits entities to choose the fair value option to measure many financial instruments and certain other items at fair value that are not currently required to be measured at fair value. The objective is to improve financial reporting by providing entities with the opportunity to mitigate volatility in earnings caused by measuring related assets and liabilities differently without having to apply complex hedge accounting. This new statement will be effective for fiscal years beginning after November 15, 2007. The Company is in the process of evaluating the impact that will result from adopting SFAS No. 159 and therefore is unable to disclose the impact SFAS No. 159 will have on its financial position and results of operations when such statement is adopted.</w:t>
      </w:r>
    </w:p>
    <w:p>
      <w:pPr>
        <w:spacing w:after="0" w:line="70"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Noncontrolling interests will be valued at fair value at the acquisition date;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SFAS No. 141(R) applies to business combinations for which the acquisition date is on or after the beginning of the first annual reporting period beginning on or after December 15, 2008. The Company is in the process of evaluating the impact that will result from adopting SFAS No.141(R), and therefore, the Company is unable to disclose the impact SFAS No. 141(R) will have on its financial position and results of operations when such statement is adopted.</w:t>
      </w:r>
    </w:p>
    <w:p>
      <w:pPr>
        <w:spacing w:after="0" w:line="39"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SFAS No. 160 establishes new accounting and reporting standards for the noncontrolling interest in a subsidiary.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This new statement will be effective for fiscal years beginning after December 15, 2008. The Company expects that the adoption of SFAS No. 160 will not have a material effect on its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operates manufacturing or distribution facilities in Australia, Belgium, Brazil, Canada, China, Denmark, France, Germany, Hong Kong, India, Italy, Japan, Korea, Malaysia, Mexico, the Netherlands, Norway, Poland, Singapore, Slovakia, Sweden, Thailand, the United Kingdom and the United States. Brady sells through subsidiaries or sales offices in these countries, with additional sales through a dedicated team of international sales representatives in the Philippines, Spain, Taiwan, Turkey, and the United Arab Emirates and further markets it products to parts of Eastern Europe, the Middle East, Africa and Russia. The Company believes that its reputation for innovation, commitment to quality and service, and dedicated employees have made it a world leader in the markets it serves.</w:t>
      </w:r>
    </w:p>
    <w:p>
      <w:pPr>
        <w:spacing w:after="0" w:line="75"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Sales for the quarter ended January 31, 2008, were up 13.3% to $364.1 million, compared to $321.3 million in the same period of fiscal 2007. Of the increase in sales, organic sales decreased 1.0%, acquisitions added 8.2% and the effects of fluctuations in the exchange rates used to translate financial results into the United States dollar added 6.1%. Net income for the quarter ended January 31, 2008, was $26.7 million or $0.48 per diluted Class A Nonvoting Common Share, up 35.4% from $19.7 million, or $0.36 per diluted Class A Nonvoting Common Share reported in the second quarter of last fiscal year.</w:t>
      </w:r>
    </w:p>
    <w:p>
      <w:pPr>
        <w:spacing w:after="0" w:line="46"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Sales for the six months ended January 31, 2008, increased 13.9% to $744.3 million, compared to $653.5 million in the same period of fiscal 2007. Organic growth accounted for 0.3%, acquisitions added 7.9% and the effects of fluctuations in the exchange rates used to translate financial results into the United States dollar added 5.7%. Net income for the six months ended January 31, 2008 was $63.1 million or $1.14 per diluted Class A Nonvoting Common Share, up 16.4% from $54.2 million, or $0.99 per diluted Class A Nonvoting Common Share reported in the same period of the prior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2008, to the prior year has been significantly impacted by the following acquisitions completed in fiscal 2007 and fiscal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20"/>
                <w:szCs w:val="20"/>
                <w:color w:val="auto"/>
              </w:rPr>
            </w:pPr>
            <w:r>
              <w:rPr>
                <w:rFonts w:ascii="Arial" w:cs="Arial" w:eastAsia="Arial" w:hAnsi="Arial"/>
                <w:sz w:val="14"/>
                <w:szCs w:val="14"/>
                <w:b w:val="1"/>
                <w:bCs w:val="1"/>
                <w:color w:val="auto"/>
              </w:rPr>
              <w:t>Acquisitions</w:t>
            </w:r>
          </w:p>
        </w:tc>
        <w:tc>
          <w:tcPr>
            <w:tcW w:w="17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380" w:type="dxa"/>
            <w:vAlign w:val="bottom"/>
          </w:tcPr>
          <w:p>
            <w:pPr>
              <w:jc w:val="center"/>
              <w:ind w:left="92"/>
              <w:spacing w:after="0"/>
              <w:rPr>
                <w:sz w:val="20"/>
                <w:szCs w:val="20"/>
                <w:color w:val="auto"/>
              </w:rPr>
            </w:pPr>
            <w:r>
              <w:rPr>
                <w:rFonts w:ascii="Arial" w:cs="Arial" w:eastAsia="Arial" w:hAnsi="Arial"/>
                <w:sz w:val="14"/>
                <w:szCs w:val="14"/>
                <w:b w:val="1"/>
                <w:bCs w:val="1"/>
                <w:color w:val="auto"/>
                <w:w w:val="93"/>
              </w:rPr>
              <w:t>Date Completed</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Comprehensive Identification Products, Inc. (“CIPI”)</w:t>
            </w:r>
          </w:p>
        </w:tc>
        <w:tc>
          <w:tcPr>
            <w:tcW w:w="17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Direct Marketing &amp; People ID</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0"/>
              </w:rPr>
              <w:t>August 2006</w:t>
            </w:r>
          </w:p>
        </w:tc>
      </w:tr>
      <w:tr>
        <w:trPr>
          <w:trHeight w:val="216"/>
        </w:trPr>
        <w:tc>
          <w:tcPr>
            <w:tcW w:w="5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Americas, Europe and Asia-</w:t>
            </w:r>
          </w:p>
        </w:tc>
        <w:tc>
          <w:tcPr>
            <w:tcW w:w="1380" w:type="dxa"/>
            <w:vAlign w:val="bottom"/>
          </w:tcPr>
          <w:p>
            <w:pPr>
              <w:spacing w:after="0"/>
              <w:rPr>
                <w:sz w:val="18"/>
                <w:szCs w:val="18"/>
                <w:color w:val="auto"/>
              </w:rPr>
            </w:pPr>
          </w:p>
        </w:tc>
      </w:tr>
      <w:tr>
        <w:trPr>
          <w:trHeight w:val="230"/>
        </w:trPr>
        <w:tc>
          <w:tcPr>
            <w:tcW w:w="5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Pacific</w:t>
            </w:r>
          </w:p>
        </w:tc>
        <w:tc>
          <w:tcPr>
            <w:tcW w:w="138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Brady Americas</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1"/>
              </w:rPr>
              <w:t>October 2006</w:t>
            </w: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w w:val="93"/>
              </w:rPr>
              <w:t>Scafftag, Ltd., Safetrak, Ltd. and Scafftag Pty., Ltd. (collectively “Scafftag”)</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Brady Americas, Europe and</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0"/>
              </w:rPr>
              <w:t>December 2006</w:t>
            </w:r>
          </w:p>
        </w:tc>
      </w:tr>
      <w:tr>
        <w:trPr>
          <w:trHeight w:val="230"/>
        </w:trPr>
        <w:tc>
          <w:tcPr>
            <w:tcW w:w="5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138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Brady Americas</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0"/>
              </w:rPr>
              <w:t>December 2006</w:t>
            </w: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Modernotecnica SpA (“Moderno”)</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0"/>
              </w:rPr>
              <w:t>December 2006</w:t>
            </w: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rPr>
              <w:t>Clement Communications, Inc. (“Clement”)</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Direct Marketing &amp;</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88"/>
              </w:rPr>
              <w:t>February 2007</w:t>
            </w:r>
          </w:p>
        </w:tc>
      </w:tr>
      <w:tr>
        <w:trPr>
          <w:trHeight w:val="230"/>
        </w:trPr>
        <w:tc>
          <w:tcPr>
            <w:tcW w:w="5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People ID Americas</w:t>
            </w:r>
          </w:p>
        </w:tc>
        <w:tc>
          <w:tcPr>
            <w:tcW w:w="1380" w:type="dxa"/>
            <w:vAlign w:val="bottom"/>
          </w:tcPr>
          <w:p>
            <w:pPr>
              <w:spacing w:after="0"/>
              <w:rPr>
                <w:sz w:val="20"/>
                <w:szCs w:val="20"/>
                <w:color w:val="auto"/>
              </w:rPr>
            </w:pP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rPr>
              <w:t>Sorbent Products Co., Inc. (“SPC”)</w:t>
            </w:r>
          </w:p>
        </w:tc>
        <w:tc>
          <w:tcPr>
            <w:tcW w:w="178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Brady Americas, Europe and</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8"/>
              </w:rPr>
              <w:t>April 2007</w:t>
            </w:r>
          </w:p>
        </w:tc>
      </w:tr>
      <w:tr>
        <w:trPr>
          <w:trHeight w:val="230"/>
        </w:trPr>
        <w:tc>
          <w:tcPr>
            <w:tcW w:w="5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Asia-Pacific</w:t>
            </w:r>
          </w:p>
        </w:tc>
        <w:tc>
          <w:tcPr>
            <w:tcW w:w="138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w w:val="92"/>
              </w:rPr>
              <w:t>Transposafe Systems B.V. and Holland Mounting Systems B.V. (collectively</w:t>
            </w: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“Transposafe”)</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Europe</w:t>
            </w:r>
          </w:p>
        </w:tc>
        <w:tc>
          <w:tcPr>
            <w:tcW w:w="1380" w:type="dxa"/>
            <w:vAlign w:val="bottom"/>
          </w:tcPr>
          <w:p>
            <w:pPr>
              <w:jc w:val="center"/>
              <w:ind w:left="92"/>
              <w:spacing w:after="0"/>
              <w:rPr>
                <w:sz w:val="20"/>
                <w:szCs w:val="20"/>
                <w:color w:val="auto"/>
              </w:rPr>
            </w:pPr>
            <w:r>
              <w:rPr>
                <w:rFonts w:ascii="Arial" w:cs="Arial" w:eastAsia="Arial" w:hAnsi="Arial"/>
                <w:sz w:val="18"/>
                <w:szCs w:val="18"/>
                <w:color w:val="auto"/>
                <w:w w:val="90"/>
              </w:rPr>
              <w:t>November 2007</w:t>
            </w:r>
          </w:p>
        </w:tc>
      </w:tr>
      <w:tr>
        <w:trPr>
          <w:trHeight w:val="405"/>
        </w:trPr>
        <w:tc>
          <w:tcPr>
            <w:tcW w:w="5580" w:type="dxa"/>
            <w:vAlign w:val="bottom"/>
          </w:tcPr>
          <w:p>
            <w:pPr>
              <w:spacing w:after="0"/>
              <w:rPr>
                <w:sz w:val="24"/>
                <w:szCs w:val="24"/>
                <w:color w:val="auto"/>
              </w:rPr>
            </w:pPr>
          </w:p>
        </w:tc>
        <w:tc>
          <w:tcPr>
            <w:tcW w:w="1780" w:type="dxa"/>
            <w:vAlign w:val="bottom"/>
          </w:tcPr>
          <w:p>
            <w:pPr>
              <w:jc w:val="right"/>
              <w:ind w:right="1470"/>
              <w:spacing w:after="0"/>
              <w:rPr>
                <w:sz w:val="20"/>
                <w:szCs w:val="20"/>
                <w:color w:val="auto"/>
              </w:rPr>
            </w:pPr>
            <w:r>
              <w:rPr>
                <w:rFonts w:ascii="Arial" w:cs="Arial" w:eastAsia="Arial" w:hAnsi="Arial"/>
                <w:sz w:val="18"/>
                <w:szCs w:val="18"/>
                <w:color w:val="auto"/>
                <w:w w:val="99"/>
              </w:rPr>
              <w:t>14</w:t>
            </w: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Sales for the three months ended January 31, 2008, were up 13.3% compared to the same period in fiscal 2007. The sales growth was comprised of a decline in organic sales of 1.0%, an increase of 8.2% due to the acquisitions listed in the above table, and an increase of 6.1% due to the effect of currencies on sales. The decline in organic sales for the quarter ended January 31, 2008, was the result of the contraction of the Asia-Pacific and Direct Marketing and People ID Americas segments by 4.6% and 4.1%, respectively, partially offset by growth in the Brady Americas and Europe segments of 2.0% and 1.6%, respectively. The decline in the Direct Marketing Americas segment was attributed to a softening in the manufacturing sector of the U.S. economy, while the contraction in the Asia-Pacific segment was primarily due to a shift in the mobile handset market to low-end phones with lower average selling prices as well as the Company’s conscious choice to deemphasize low-profit business. Top-line revenue in the Asia-Pacific segment was also impacted by continued pricing pressures within the supply chain.</w:t>
      </w:r>
    </w:p>
    <w:p>
      <w:pPr>
        <w:spacing w:after="0" w:line="84"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Sales for the six months ended January 31, 2008, increased 13.9% compared to the same period in fiscal 2007. The increase was comprised of an increase of 0.3% attributed to organic growth, an increase of 7.9% due to the acquisitions listed above, and an increase of 5.7% due to the effect of currencies on sales. The organic growth was primarily due to growth in the Brady Americas segment of 5.1% and Europe of 0.9%, offset by a decline in the organic business in the Asia-Pacific and Direct Marketing and People ID Americas segments of 3.9% and 0.8%, respectively. Organic growth in the Brady Americas segment for the six months ended January 31, 2008 was driven by strong results across many markets, including safety and industrial identification, laboratory, aerospace, and defense. The decrease in organic sales in the Asia-Pacific segment was the result of declines in the mobile phone market as discussed above.</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Gross margin as a percentage of sales increased to 48.1% from 46.7% for the quarter and to 48.7% from 48.1% for the six months ended January 31, 2008, compared to the same periods of the previous year. This increase in gross margin as a percentage of sales was primarily the result of cost reduction actions taken during fiscal 2007.</w:t>
      </w:r>
    </w:p>
    <w:p>
      <w:pPr>
        <w:spacing w:after="0" w:line="73"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Research and development (“R&amp;D”) expenses increased 10.9% to $10.1 million for the quarter and 8.2% to $19.1 million for the six months ended January 31, 2008, compared to $9.1 million and $17.6 million for the same periods in the prior year, respectively. In the second quarter of fiscal 2008, R&amp;D expenses as a percentage of sales remained flat compared to the same period in the previous year, at 2.8% of sales. For the first half of fiscal 2008, R&amp;D expense as a percentage of sales declined slightly to 2.6% from 2.7% in the same period of the prior year.</w:t>
      </w:r>
    </w:p>
    <w:p>
      <w:pPr>
        <w:spacing w:after="0" w:line="6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Selling, general and administrative (“SG&amp;A”) expenses increased 13.1% to $122.5 million for the three months ended January 31, 2008, compared to</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$108.4 million for the same period in the prior year and 14.6% to $242.9 million for the six months ended January 31, 2008, compared to $212.0 million for the same period in the prior year. The increase in SG&amp;A expenses was primarily the result of acquisitions made during fiscal 2007 and 2008. As a percentage of sales, SG&amp;A expenses decreased slightly to 33.6% from 33.7% for the second quarter, and increased to 32.6% from 32.4% for the six months ended January 31, 2008, compared to the same periods in the prior year.</w:t>
      </w:r>
    </w:p>
    <w:p>
      <w:pPr>
        <w:spacing w:after="0" w:line="8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Interest expense increased to $6.7 million from $5.2 million for the quarter and to $13.5 million from $10.0 million for the six months ended January 31, 2008, compared to the same periods in the prior year. The increase in interest expense was due to interest on the $150 million private placement of senior notes that the Company completed in the third quarter of fiscal 2007.</w:t>
      </w:r>
    </w:p>
    <w:p>
      <w:pPr>
        <w:spacing w:after="0" w:line="7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Other income and expense increased to $2.3 million of income for the quarter and to $2.4 million of income for the six months ended January 31, 2008, compared to $0.1 million of expense and $0.5 million of income for the same periods in the prior year, respectively. Of the $2.3 million in other income for the three months ended January 31, 2008, $1.8 million was the result of interest income generated from investments of excess cash and $0.4 million related to foreign exchange gains during the quarter. Other income and expense for the three months ended January 31, 2007 consisted primarily of $0.4 million of interest income, offset by $0.6 million of foreign exchange loss. For the six months ended January 31, 2008, of the $2.4 million of other income, $2.9 million was related to interest income generated from investments, partially offset by $0.6 million in foreign exchange loss. Of the $0.5 million of other income for the six months ended January 31, 2007, $0.8 million was related to interest income, partially offset by $0.4 million of foreign exchange loss.</w:t>
      </w:r>
    </w:p>
    <w:p>
      <w:pPr>
        <w:spacing w:after="0" w:line="5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Company’s effective tax rate was 29.7% for the three and six months ended January 31, 2008, compared to 28.0% for the three and six months ended January 31, 2007. The increased tax rate in fiscal 2008 is primarily due to increased profits in higher tax countries. The Company expects the full year effective tax rate for fiscal 2008 to be approximately 29%.</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Net income for the three months ended January 31, 2008, increased 35.4% to $26.7 million, compared to $19.7 million for the same quarter of the previous year. Net income as a percentage of sales increased to 7.3% from 6.1% for the quarter ended January 31, 2008, compared to the same period in the prior year, due to the factors noted above. For the six months ended January 31, 2008, net income increased 16.4% to $63.1 million, compared to $54.2 million for the same period in the previous year. As a percentage of sales, net income increased to 8.5% from 8.3% for the six months ended January 31, 2008, compared to the same period in the previous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Effective August 1, 2007, the Company revised its reportable segments as a result of organizational changes within the executive leadership team. Management of the Company now evaluates results based on the following businesses: Brady Americas, Direct Marketing &amp; People ID Americas, Europe, and Asia-Pacific.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right="273"/>
              <w:spacing w:after="0"/>
              <w:rPr>
                <w:sz w:val="20"/>
                <w:szCs w:val="20"/>
                <w:color w:val="auto"/>
              </w:rPr>
            </w:pPr>
            <w:r>
              <w:rPr>
                <w:rFonts w:ascii="Arial" w:cs="Arial" w:eastAsia="Arial" w:hAnsi="Arial"/>
                <w:sz w:val="14"/>
                <w:szCs w:val="14"/>
                <w:color w:val="auto"/>
                <w:w w:val="98"/>
              </w:rPr>
              <w:t>Direct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Marketing &amp;</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3"/>
              </w:rPr>
              <w:t>Corporate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Brady</w:t>
            </w:r>
          </w:p>
        </w:tc>
        <w:tc>
          <w:tcPr>
            <w:tcW w:w="300" w:type="dxa"/>
            <w:vAlign w:val="bottom"/>
          </w:tcPr>
          <w:p>
            <w:pPr>
              <w:spacing w:after="0"/>
              <w:rPr>
                <w:sz w:val="12"/>
                <w:szCs w:val="12"/>
                <w:color w:val="auto"/>
              </w:rPr>
            </w:pPr>
          </w:p>
        </w:tc>
        <w:tc>
          <w:tcPr>
            <w:tcW w:w="100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94"/>
              </w:rPr>
              <w:t>People ID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Asia-</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and</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w w:val="95"/>
              </w:rPr>
              <w:t>Americas</w:t>
            </w:r>
          </w:p>
        </w:tc>
        <w:tc>
          <w:tcPr>
            <w:tcW w:w="300" w:type="dxa"/>
            <w:vAlign w:val="bottom"/>
          </w:tcPr>
          <w:p>
            <w:pPr>
              <w:spacing w:after="0"/>
              <w:rPr>
                <w:sz w:val="14"/>
                <w:szCs w:val="14"/>
                <w:color w:val="auto"/>
              </w:rPr>
            </w:pPr>
          </w:p>
        </w:tc>
        <w:tc>
          <w:tcPr>
            <w:tcW w:w="1000" w:type="dxa"/>
            <w:vAlign w:val="bottom"/>
          </w:tcPr>
          <w:p>
            <w:pPr>
              <w:jc w:val="center"/>
              <w:ind w:right="273"/>
              <w:spacing w:after="0"/>
              <w:rPr>
                <w:sz w:val="20"/>
                <w:szCs w:val="20"/>
                <w:color w:val="auto"/>
              </w:rPr>
            </w:pPr>
            <w:r>
              <w:rPr>
                <w:rFonts w:ascii="Arial" w:cs="Arial" w:eastAsia="Arial" w:hAnsi="Arial"/>
                <w:sz w:val="14"/>
                <w:szCs w:val="14"/>
                <w:color w:val="auto"/>
                <w:w w:val="95"/>
              </w:rPr>
              <w:t>Americas</w:t>
            </w:r>
          </w:p>
        </w:tc>
        <w:tc>
          <w:tcPr>
            <w:tcW w:w="28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color w:val="auto"/>
              </w:rPr>
              <w:t>Europe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Pacific</w:t>
            </w:r>
          </w:p>
        </w:tc>
        <w:tc>
          <w:tcPr>
            <w:tcW w:w="2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Subtotals</w:t>
            </w:r>
          </w:p>
        </w:tc>
        <w:tc>
          <w:tcPr>
            <w:tcW w:w="1300" w:type="dxa"/>
            <w:vAlign w:val="bottom"/>
            <w:gridSpan w:val="4"/>
          </w:tcPr>
          <w:p>
            <w:pPr>
              <w:jc w:val="center"/>
              <w:ind w:right="40"/>
              <w:spacing w:after="0"/>
              <w:rPr>
                <w:sz w:val="20"/>
                <w:szCs w:val="20"/>
                <w:color w:val="auto"/>
              </w:rPr>
            </w:pPr>
            <w:r>
              <w:rPr>
                <w:rFonts w:ascii="Arial" w:cs="Arial" w:eastAsia="Arial" w:hAnsi="Arial"/>
                <w:sz w:val="14"/>
                <w:szCs w:val="14"/>
                <w:color w:val="auto"/>
                <w:w w:val="98"/>
              </w:rPr>
              <w:t>Eliminations</w:t>
            </w:r>
          </w:p>
        </w:tc>
        <w:tc>
          <w:tcPr>
            <w:tcW w:w="36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TO EXTERNAL</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95,303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61,318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6"/>
              </w:rPr>
              <w:t>122,615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84,888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$364,124</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$364,124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January 31, 2007</w:t>
            </w:r>
          </w:p>
        </w:tc>
        <w:tc>
          <w:tcPr>
            <w:tcW w:w="12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80,510</w:t>
            </w:r>
          </w:p>
        </w:tc>
        <w:tc>
          <w:tcPr>
            <w:tcW w:w="300" w:type="dxa"/>
            <w:vAlign w:val="bottom"/>
          </w:tcPr>
          <w:p>
            <w:pPr>
              <w:spacing w:after="0"/>
              <w:rPr>
                <w:sz w:val="20"/>
                <w:szCs w:val="20"/>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59,478</w:t>
            </w:r>
          </w:p>
        </w:tc>
        <w:tc>
          <w:tcPr>
            <w:tcW w:w="280" w:type="dxa"/>
            <w:vAlign w:val="bottom"/>
          </w:tcPr>
          <w:p>
            <w:pPr>
              <w:spacing w:after="0"/>
              <w:rPr>
                <w:sz w:val="20"/>
                <w:szCs w:val="20"/>
                <w:color w:val="auto"/>
              </w:rPr>
            </w:pPr>
          </w:p>
        </w:tc>
        <w:tc>
          <w:tcPr>
            <w:tcW w:w="940" w:type="dxa"/>
            <w:vAlign w:val="bottom"/>
          </w:tcPr>
          <w:p>
            <w:pPr>
              <w:jc w:val="right"/>
              <w:ind w:right="271"/>
              <w:spacing w:after="0"/>
              <w:rPr>
                <w:sz w:val="20"/>
                <w:szCs w:val="20"/>
                <w:color w:val="auto"/>
              </w:rPr>
            </w:pPr>
            <w:r>
              <w:rPr>
                <w:rFonts w:ascii="Arial" w:cs="Arial" w:eastAsia="Arial" w:hAnsi="Arial"/>
                <w:sz w:val="18"/>
                <w:szCs w:val="18"/>
                <w:color w:val="auto"/>
              </w:rPr>
              <w:t>98,846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82,441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321,275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321,275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January 31, 2008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w w:val="86"/>
              </w:rPr>
              <w:t>200,538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3"/>
              <w:spacing w:after="0"/>
              <w:rPr>
                <w:sz w:val="20"/>
                <w:szCs w:val="20"/>
                <w:color w:val="auto"/>
              </w:rPr>
            </w:pPr>
            <w:r>
              <w:rPr>
                <w:rFonts w:ascii="Arial" w:cs="Arial" w:eastAsia="Arial" w:hAnsi="Arial"/>
                <w:sz w:val="18"/>
                <w:szCs w:val="18"/>
                <w:color w:val="auto"/>
                <w:w w:val="89"/>
              </w:rPr>
              <w:t>130,858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1"/>
              <w:spacing w:after="0"/>
              <w:rPr>
                <w:sz w:val="20"/>
                <w:szCs w:val="20"/>
                <w:color w:val="auto"/>
              </w:rPr>
            </w:pPr>
            <w:r>
              <w:rPr>
                <w:rFonts w:ascii="Arial" w:cs="Arial" w:eastAsia="Arial" w:hAnsi="Arial"/>
                <w:sz w:val="18"/>
                <w:szCs w:val="18"/>
                <w:color w:val="auto"/>
                <w:w w:val="86"/>
              </w:rPr>
              <w:t>231,529</w:t>
            </w:r>
          </w:p>
        </w:tc>
        <w:tc>
          <w:tcPr>
            <w:tcW w:w="1280" w:type="dxa"/>
            <w:vAlign w:val="bottom"/>
            <w:gridSpan w:val="4"/>
          </w:tcPr>
          <w:p>
            <w:pPr>
              <w:jc w:val="right"/>
              <w:ind w:right="360"/>
              <w:spacing w:after="0"/>
              <w:rPr>
                <w:sz w:val="20"/>
                <w:szCs w:val="20"/>
                <w:color w:val="auto"/>
              </w:rPr>
            </w:pPr>
            <w:r>
              <w:rPr>
                <w:rFonts w:ascii="Arial" w:cs="Arial" w:eastAsia="Arial" w:hAnsi="Arial"/>
                <w:sz w:val="18"/>
                <w:szCs w:val="18"/>
                <w:color w:val="auto"/>
              </w:rPr>
              <w:t>$181,333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$744,258</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$744,258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6"/>
              </w:rPr>
              <w:t>163,269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9"/>
              </w:rPr>
              <w:t>123,662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6"/>
              </w:rPr>
              <w:t>191,211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175,392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653,534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653,534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SALES GROWTH</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January 31,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Base</w:t>
            </w:r>
          </w:p>
        </w:tc>
        <w:tc>
          <w:tcPr>
            <w:tcW w:w="1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Currency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Six months ended January 31,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00"/>
              <w:spacing w:after="0"/>
              <w:rPr>
                <w:sz w:val="20"/>
                <w:szCs w:val="20"/>
                <w:color w:val="auto"/>
              </w:rPr>
            </w:pPr>
            <w:r>
              <w:rPr>
                <w:rFonts w:ascii="Arial" w:cs="Arial" w:eastAsia="Arial" w:hAnsi="Arial"/>
                <w:sz w:val="18"/>
                <w:szCs w:val="18"/>
                <w:color w:val="auto"/>
              </w:rPr>
              <w:t>Currency</w:t>
            </w:r>
          </w:p>
        </w:tc>
        <w:tc>
          <w:tcPr>
            <w:tcW w:w="1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8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20"/>
                <w:szCs w:val="20"/>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19,517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12,519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31,067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$ 75,763</w:t>
            </w: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$ 73,416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January 31, 2007</w:t>
            </w:r>
          </w:p>
        </w:tc>
        <w:tc>
          <w:tcPr>
            <w:tcW w:w="12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14,473</w:t>
            </w:r>
          </w:p>
        </w:tc>
        <w:tc>
          <w:tcPr>
            <w:tcW w:w="30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14,920</w:t>
            </w:r>
          </w:p>
        </w:tc>
        <w:tc>
          <w:tcPr>
            <w:tcW w:w="28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Arial" w:cs="Arial" w:eastAsia="Arial" w:hAnsi="Arial"/>
                <w:sz w:val="18"/>
                <w:szCs w:val="18"/>
                <w:color w:val="auto"/>
              </w:rPr>
              <w:t>22,604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12,394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64,391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(2,828)</w:t>
            </w:r>
          </w:p>
        </w:tc>
        <w:tc>
          <w:tcPr>
            <w:tcW w:w="3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61,563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Percentage increase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38"/>
        </w:trPr>
        <w:tc>
          <w:tcPr>
            <w:tcW w:w="272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43,975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32,167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60,967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$169,159</w:t>
            </w: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$164,576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January 31, 2007</w:t>
            </w:r>
          </w:p>
        </w:tc>
        <w:tc>
          <w:tcPr>
            <w:tcW w:w="12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35,188</w:t>
            </w:r>
          </w:p>
        </w:tc>
        <w:tc>
          <w:tcPr>
            <w:tcW w:w="30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31,723</w:t>
            </w:r>
          </w:p>
        </w:tc>
        <w:tc>
          <w:tcPr>
            <w:tcW w:w="28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Arial" w:cs="Arial" w:eastAsia="Arial" w:hAnsi="Arial"/>
                <w:sz w:val="18"/>
                <w:szCs w:val="18"/>
                <w:color w:val="auto"/>
              </w:rPr>
              <w:t>45,609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34,531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147,051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(5,638)</w:t>
            </w:r>
          </w:p>
        </w:tc>
        <w:tc>
          <w:tcPr>
            <w:tcW w:w="3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141,413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Percentage increase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32"/>
        </w:trPr>
        <w:tc>
          <w:tcPr>
            <w:tcW w:w="51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SEGMENT PROFIT RECONCILIATION </w:t>
            </w:r>
            <w:r>
              <w:rPr>
                <w:rFonts w:ascii="Arial" w:cs="Arial" w:eastAsia="Arial" w:hAnsi="Arial"/>
                <w:sz w:val="18"/>
                <w:szCs w:val="18"/>
                <w:color w:val="auto"/>
              </w:rPr>
              <w:t>(Dollars in thousands)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January 31,</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January 31,</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300"/>
              <w:spacing w:after="0" w:line="123" w:lineRule="exact"/>
              <w:rPr>
                <w:sz w:val="20"/>
                <w:szCs w:val="20"/>
                <w:color w:val="auto"/>
              </w:rPr>
            </w:pPr>
            <w:r>
              <w:rPr>
                <w:rFonts w:ascii="Arial" w:cs="Arial" w:eastAsia="Arial" w:hAnsi="Arial"/>
                <w:sz w:val="14"/>
                <w:szCs w:val="14"/>
                <w:color w:val="auto"/>
                <w:w w:val="90"/>
              </w:rPr>
              <w:t>January 31,</w:t>
            </w: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2008</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profit from reportable segments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75,763</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$ 64,391</w:t>
            </w:r>
          </w:p>
        </w:tc>
        <w:tc>
          <w:tcPr>
            <w:tcW w:w="1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$ 169,159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(2,347)</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(2,828)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(4,583)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(30,972)</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(28,839)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(63,794)</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and other income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2,269</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(6,747)</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(5,244)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(13,467)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37,966</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27,374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89,702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(11,276)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(7,665)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(26,642)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$ 26,690</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$ 19,709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63,060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stock options, information technology and human resources, which are managed as global functions. Corporate research and development, interest, investment and other income and income taxes are also excluded when evaluating performance.</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Brady Americas: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Brady Americas sales increased 18.4% for the quarter and 22.8% for the six months ended January 31, 2008, compared to the same periods in the prior year. Organic growth accounted for 2.0% and 5.1% of the growth in the quarter and year-to-date, respectively, as compared to the same periods in the previous year. Fluctuations in the exchange rates used to translate financial results into the United States dollar had a modest impact on sales, increasing it by 2.7% in the quarter and 2.2% for the six-month period. Sales were also aided by the prior year acquisitions of Precision Converters, Scafftag, Asterisco and SPC, which increased sales by 13.7% for the quarter and 15.5% for the six-month period. The organic growth of 2.0% for the quarter within the segment was driven by strong results in the laboratory and aerospace/defense markets, partially offset by a slowing in the manufacturing and utility markets. On a year-to-date basis, the 5.1% organic growth was the result of strong sales across most of the major markets, including laboratory, aerospace, defense, mass transit, and safety and facility identification.</w:t>
      </w:r>
    </w:p>
    <w:p>
      <w:pPr>
        <w:spacing w:after="0" w:line="84"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Segment profit increased 34.9% to $19.5 million from $14.5 million for the quarter and 25.0% to $44.0 million from $35.2 million for the six months ended January 31, 2008, compared to the same periods in the prior year. The increase in segment profit was driven by increased sales volume from both the base business and acquisitions discussed above. As a percentage of sales, segment profit increased to 20.5% from 18.0% in the second quarter of fiscal 2008 and to 21.9% from 21.6% in the six months ended January 31, 2008, compared to the same periods in the prior year. The increase in segment profit as a percentage of sales over the prior year was the result of cost control efforts and improvements made in the prior year to lower performing businesses.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Marketing and People ID Americas: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Direct Marketing and People ID Americas sales increased 3.1% for the quarter and 5.8% for the six months ended January 31, 2008, compared to the same periods in the prior year. Organic sales for the segment declined 4.1% and 0.8% in the second quarter and year-to-date, respectively, as compared to the same periods in the previous year. The decline in the organic sales of the Direct Marketing and People ID Americas segment was due to a large one-time order in the previous year, softness in the manufacturing and construction sectors which particularly impacted the Company’s Emedco business, and the SAP implementation at Emedco. Fluctuations in the exchange rates used to translate financial results into the United States dollar contributed to sales, increasing it by 1.9% in the quarter and 1.6% for the six-month period. Sales in the region were also increased by the prior year acquisitions of CIPI and Clement, which increased sales by 5.3% for the quarter and 5.0% for the six-month period.</w:t>
      </w:r>
    </w:p>
    <w:p>
      <w:pPr>
        <w:spacing w:after="0" w:line="7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Segment profit declined 16.1% to $12.5 million from $14.9 million for the quarter and increased 1.4% to $32.2 million from $31.7 million for the six months ended January 31, 2008, compared to the same periods in the prior year. The decrease in segment profit in the second quarter was driven by a lower than expected sales volume in the base business, in addition to unplanned costs and business interruption associated with the move of manufacturing in People ID in China. As a percentage of sales, segment profit decreased to 20.4% from 25.1% in the second quarter of fiscal 2008 and to 24.6% from 25.7% in the six months ended January 31, 2008, compared to the same periods in the prior year. The decline in segment profit as a percentage of sales compared to the prior year was due to the decline in high margin organic sales during the second quarter.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Europe sales increased 24.1% for the quarter and 21.1% for the six months ended January 31, 2008, compared to the same periods in the prior year. Organic growth accounted for 1.6% and 0.9% of the increase for the quarter and year-to-date, respectively, compared to the same periods in the previous year. Sales were positively affected by fluctuations in the exchange rates used to translate financial results into the United States dollar, which increased sales in the segment by 10.4% in the quarter and 10.1% for the six-month period. The fiscal 2008 acquisition of Transposafe and the fiscal 2007 acquisitions of CIPI, Scafftag, Moderno, and SPC increased sales by 12.1% for the quarter and 10.1% for the six-month period. The lower organic growth in the quarter was due to a slowing in the European economy and the sales from the prior year implementation of “No Smoking” legislation in France that did not recur in fiscal 2008.</w:t>
      </w:r>
    </w:p>
    <w:p>
      <w:pPr>
        <w:spacing w:after="0" w:line="57"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Segment profit increased 37.4% to $31.1 million from $22.6 million for the quarter and 33.7% to $61.0 million from $45.6 million for the six months ended January 31, 2008, compared to the same periods in the prior year. As a percentage of sales, segment profit increased to 25.3% from 22.9% in the second quarter of fiscal 2008 and to 26.3% from 23.9% in the six months ended January 31, 2008, compared to the same periods in the prior year. The increase in segment profit was driven by a favorable mix towards the MRO market from the acquisitions of Scafftag and Moderno and continued growth in the direct marketing business, and the realization of benefits from cost reduction activities taken at the end of fiscal 2007.</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Asia-Pacific sales increased 3.0% for the quarter and 3.4% for the six months ended January 31, 2008, compared to the same periods in the prior year. Organic sales in local currency decreased 4.6% in the quarter and 3.9% year-to-date, compared to the same periods in the previous year. Sales were positively affected by fluctuations in the exchange rates used to translate financial results into the United States dollar, which increased sales within the region by 7.2% for the quarter and 6.9% for the six-month period. The fiscal 2007 acquisitions of CIPI, Scafftag, and SPC increased sales by 0.4% for the quarter and 0.4% for the six-month period. The decline in organic sales for the quarter was primarily due to a shift in the mobile handset market to low-end phones with lower average selling prices as well as the Company’s conscious choice to deemphasize low-profit business. Top-line revenue was also impacted by continued pricing pressures within the supply chain.</w:t>
      </w:r>
    </w:p>
    <w:p>
      <w:pPr>
        <w:spacing w:after="0" w:line="81"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Segment profit increased 2.1% to $12.7 million from $12.4 million for the quarter and declined 7.2% to $32.1 million from $34.5 million for the six months ended January 31, 2008, compared to the same periods in the prior year. As a percentage of sales, segment profit decreased slightly to 14.9% from 15.0% in the second quarter of fiscal 2008 and to 17.7% from 19.7% in the six months ended January 31, 2008, compared to the same periods in the prior year. The decline in segment profit as a percentage of sales was due to the industry mix shift from high-end, feature rich mobile phones to low-end basic mobile phones and continued pricing pressures within the mobile handset supply chain, partially offset by cost reduction activities initiated in fiscal 2007.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current ratio as of January 31, 2008, was 2.5 compared to 2.1 at July 31, 2007. Cash and cash equivalents were $198.4 million 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January 31, 2008, compared to $142.8 million at July 31, 2007. There were no short-term investments outstanding at January 31, 2008, compared to</w:t>
      </w:r>
    </w:p>
    <w:p>
      <w:pPr>
        <w:spacing w:after="0" w:line="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$19.2 million outstanding at July 31, 2007. Working capital increased $69.8 million during the six months ended January 31, 2008, to $373.2 million from $303.4 million at July 31, 2007. Accounts receivable increased $2.8 million for the six months ended January 31, 2008 due to the acquisition of Transposafe and foreign currency translation, partially offset by a lower receivable balance at January 31, 2008 due to fewer billing days in the quarter. Inventories remained flat at $139.9 million as the decline in inventory due to working capital initiatives was offset by the acquisition of Transposafe and foreign currency translation. The net decrease in current liabilities was $26.6 million for the current year. The decrease was composed of a significant decrease in accrued wages due to the payment of incentives in the first quarter of fiscal 2008 related to the incentives earned in the year ended July 31, 2007, and a decrease in accrued income taxes as the adoption of FIN 48 required a reclassification of a portion of the current payable recorded at July 31, 2007 to long-term liabilities, partially offset by an increase in accounts payable due to foreign currency translation.</w:t>
      </w:r>
    </w:p>
    <w:p>
      <w:pPr>
        <w:spacing w:after="0" w:line="7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Cash flow from operating activities totaled $87.8 million for the six months ended January 31, 2008, compared to $37.1 million for the same period last year. The increase was the result of the impact of working capital initiatives on accounts receivable and inventory balances as compared to the changes reported for the six months ended January 31, 2007, an increase in net income of $8.9 million, and a $3.6 million increase in depreciation and amortization on the intangible assets acquired in fiscal 2007.</w:t>
      </w:r>
    </w:p>
    <w:p>
      <w:pPr>
        <w:spacing w:after="0" w:line="79"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acquisitions of businesses used $24.6 million of cash for the six months ended January 31, 2008, compared to $90.4 million for the same period in the prior year. Payments of $4.4 million, $1.2 million, and $0.2 million were paid during the six months ended January 31, 2008 to satisfy the earnout and holdback liabilities of the Daewon Industry Corporation, STOPware, Inc., and Asterisco acquisitions, respectively. Capital expenditures were $14.4 million for the six months ended January 31, 2008, compared to $31.9 million in the same period last year. Fiscal 2007 capital expenditures included the implementation of SAP and expansions in China, Canada, India, Slovakia, and other locations which were not repeated in fiscal 2008. Net cash used in financing activities was $4.2 million for the six months ended January 31, 2008, due to the payment of dividends, partially offset by the proceeds from the issuance of common stock. Net cash provided by financing activities for the same period last year was $60.4 million due to net borrowings of $70.8 million on the revolving loan agreement, partially offset by the payment of dividends and the issuance of common stock.</w:t>
      </w:r>
    </w:p>
    <w:p>
      <w:pPr>
        <w:spacing w:after="0" w:line="7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January 31, 2008, the Company was in compliance with the covenants of the agreement.</w:t>
      </w:r>
    </w:p>
    <w:p>
      <w:pPr>
        <w:spacing w:after="0" w:line="46" w:lineRule="exact"/>
        <w:rPr>
          <w:sz w:val="20"/>
          <w:szCs w:val="20"/>
          <w:color w:val="auto"/>
        </w:rPr>
      </w:pPr>
    </w:p>
    <w:p>
      <w:pPr>
        <w:jc w:val="both"/>
        <w:ind w:right="200" w:firstLine="222"/>
        <w:spacing w:after="0" w:line="302" w:lineRule="auto"/>
        <w:rPr>
          <w:sz w:val="20"/>
          <w:szCs w:val="20"/>
          <w:color w:val="auto"/>
        </w:rPr>
      </w:pPr>
      <w:r>
        <w:rPr>
          <w:rFonts w:ascii="Arial" w:cs="Arial" w:eastAsia="Arial" w:hAnsi="Arial"/>
          <w:sz w:val="16"/>
          <w:szCs w:val="16"/>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six months ended January 31, 2008, the Company did not borrow or repay any amounts under the credit agreement. As of January 31, 2008, there were no outstanding borrowings under the credit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January 31, 2008, the Company was in compliance with this covenant.</w:t>
      </w:r>
    </w:p>
    <w:p>
      <w:pPr>
        <w:spacing w:after="0" w:line="5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fiscal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January 31, 2008, the Company was in compliance with this covenant.</w:t>
      </w:r>
    </w:p>
    <w:p>
      <w:pPr>
        <w:spacing w:after="0" w:line="7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January 31, 2008, the Company was in compliance with this covenant.</w:t>
      </w:r>
    </w:p>
    <w:p>
      <w:pPr>
        <w:spacing w:after="0" w:line="7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On February 19, 2008, the Board of Directors declared a quarterly cash dividend to shareholders of the Company’s Class A Common Stock of $0.15 per share payable on April 30, 2008 to shareholders of record at the close of business on April 10, 2008.</w:t>
      </w:r>
    </w:p>
    <w:p>
      <w:pPr>
        <w:spacing w:after="0" w:line="62"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 In connection with the adoption of FIN 48 as of August 1, 2007, the Company is unable to determine the period in which the cash settlement of the liability associated with FIN 48 will occur with the respective taxing authority.</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2007. These uncertainties may cause Brady’s actual future results to be materially different than those expressed in its forward-looking statements. Brady does not undertake to update its forward-looking statements.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2008, the Company had no interest rate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Restated Brady Corporation Restoration Plan</w:t>
            </w:r>
          </w:p>
        </w:tc>
      </w:t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w w:val="91"/>
              </w:rPr>
              <w:t>Rule 13a-14(a)/15d-14(a) Certification of Frank M. Jaehnert</w:t>
            </w:r>
          </w:p>
        </w:tc>
      </w:t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w w:val="91"/>
              </w:rPr>
              <w:t>Rule 13a-14(a)/15d-14(a) Certification of Thomas J. Felmer</w:t>
            </w:r>
          </w:p>
        </w:tc>
      </w:t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1380" w:type="dxa"/>
            <w:vAlign w:val="bottom"/>
          </w:tcPr>
          <w:p>
            <w:pPr>
              <w:ind w:left="420"/>
              <w:spacing w:after="0"/>
              <w:rPr>
                <w:sz w:val="20"/>
                <w:szCs w:val="20"/>
                <w:color w:val="auto"/>
              </w:rPr>
            </w:pPr>
            <w:r>
              <w:rPr>
                <w:rFonts w:ascii="Arial" w:cs="Arial" w:eastAsia="Arial" w:hAnsi="Arial"/>
                <w:sz w:val="18"/>
                <w:szCs w:val="18"/>
                <w:color w:val="auto"/>
                <w:w w:val="89"/>
              </w:rPr>
              <w:t>Section 1350</w:t>
            </w:r>
          </w:p>
        </w:tc>
        <w:tc>
          <w:tcPr>
            <w:tcW w:w="338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1380" w:type="dxa"/>
            <w:vAlign w:val="bottom"/>
          </w:tcPr>
          <w:p>
            <w:pPr>
              <w:ind w:left="420"/>
              <w:spacing w:after="0"/>
              <w:rPr>
                <w:sz w:val="20"/>
                <w:szCs w:val="20"/>
                <w:color w:val="auto"/>
              </w:rPr>
            </w:pPr>
            <w:r>
              <w:rPr>
                <w:rFonts w:ascii="Arial" w:cs="Arial" w:eastAsia="Arial" w:hAnsi="Arial"/>
                <w:sz w:val="18"/>
                <w:szCs w:val="18"/>
                <w:color w:val="auto"/>
                <w:w w:val="89"/>
              </w:rPr>
              <w:t>Section 1350</w:t>
            </w:r>
          </w:p>
        </w:tc>
        <w:tc>
          <w:tcPr>
            <w:tcW w:w="338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bl>
    <w:p>
      <w:pPr>
        <w:spacing w:after="0" w:line="1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7,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March 7,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80"/>
          </w:cols>
          <w:pgMar w:left="240" w:top="419"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BRADY CORPORATION RESTORATION PLAN</w:t>
      </w:r>
    </w:p>
    <w:p>
      <w:pPr>
        <w:spacing w:after="0" w:line="33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Restated Effective as of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300" w:type="dxa"/>
            <w:vAlign w:val="bottom"/>
            <w:gridSpan w:val="2"/>
          </w:tcPr>
          <w:p>
            <w:pPr>
              <w:jc w:val="right"/>
              <w:ind w:right="4599"/>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880" w:type="dxa"/>
            <w:vAlign w:val="bottom"/>
            <w:vMerge w:val="restart"/>
          </w:tcPr>
          <w:p>
            <w:pPr>
              <w:spacing w:after="0"/>
              <w:rPr>
                <w:sz w:val="20"/>
                <w:szCs w:val="20"/>
                <w:color w:val="auto"/>
              </w:rPr>
            </w:pPr>
            <w:r>
              <w:rPr>
                <w:rFonts w:ascii="Arial" w:cs="Arial" w:eastAsia="Arial" w:hAnsi="Arial"/>
                <w:sz w:val="18"/>
                <w:szCs w:val="18"/>
                <w:color w:val="auto"/>
                <w:w w:val="99"/>
              </w:rPr>
              <w:t>ARTICLE I</w:t>
            </w:r>
          </w:p>
        </w:tc>
        <w:tc>
          <w:tcPr>
            <w:tcW w:w="160" w:type="dxa"/>
            <w:vAlign w:val="bottom"/>
          </w:tcPr>
          <w:p>
            <w:pPr>
              <w:spacing w:after="0"/>
              <w:rPr>
                <w:sz w:val="24"/>
                <w:szCs w:val="24"/>
                <w:color w:val="auto"/>
              </w:rPr>
            </w:pPr>
          </w:p>
        </w:tc>
        <w:tc>
          <w:tcPr>
            <w:tcW w:w="3020" w:type="dxa"/>
            <w:vAlign w:val="bottom"/>
            <w:vMerge w:val="restart"/>
          </w:tcPr>
          <w:p>
            <w:pPr>
              <w:ind w:left="40"/>
              <w:spacing w:after="0"/>
              <w:rPr>
                <w:sz w:val="20"/>
                <w:szCs w:val="20"/>
                <w:color w:val="auto"/>
              </w:rPr>
            </w:pPr>
            <w:r>
              <w:rPr>
                <w:rFonts w:ascii="Arial" w:cs="Arial" w:eastAsia="Arial" w:hAnsi="Arial"/>
                <w:sz w:val="18"/>
                <w:szCs w:val="18"/>
                <w:color w:val="auto"/>
              </w:rPr>
              <w:t>INTRODUCTION</w:t>
            </w:r>
          </w:p>
        </w:tc>
        <w:tc>
          <w:tcPr>
            <w:tcW w:w="68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6860" w:type="dxa"/>
            <w:vAlign w:val="bottom"/>
          </w:tcPr>
          <w:p>
            <w:pPr>
              <w:spacing w:after="0"/>
              <w:rPr>
                <w:sz w:val="19"/>
                <w:szCs w:val="19"/>
                <w:color w:val="auto"/>
              </w:rPr>
            </w:pPr>
          </w:p>
        </w:tc>
        <w:tc>
          <w:tcPr>
            <w:tcW w:w="44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4"/>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1.1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Establishment and Effective Date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1.2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Purpose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1.3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Section 409A</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30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Account</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Additional Employer Contribution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Additional Matching Contribution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2.4</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2.5</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Beneficiary</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2.6</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2.7</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Code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2.8</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Committee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2.9</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2.10</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Elective Deferral</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5"/>
              </w:rPr>
              <w:t>2.11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Elective Deferral Account</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Eligible Employee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Employee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2.14</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Employer</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2.15</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Employer Contribution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2.16</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Employer Contribution Account</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2.17</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Excess Compensation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2.18</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Matching Contribution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2.19</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Matching Contribution Account</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2.20</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Participant</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Plan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Plan Year</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Qualified 401(k) Plan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2.24</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Separation from Service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2.25</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Specified Employee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2.26</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Unforeseeable Emergency</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3020" w:type="dxa"/>
            <w:vAlign w:val="bottom"/>
          </w:tcPr>
          <w:p>
            <w:pPr>
              <w:ind w:left="160"/>
              <w:spacing w:after="0"/>
              <w:rPr>
                <w:sz w:val="20"/>
                <w:szCs w:val="20"/>
                <w:color w:val="auto"/>
              </w:rPr>
            </w:pPr>
            <w:r>
              <w:rPr>
                <w:rFonts w:ascii="Arial" w:cs="Arial" w:eastAsia="Arial" w:hAnsi="Arial"/>
                <w:sz w:val="18"/>
                <w:szCs w:val="18"/>
                <w:color w:val="auto"/>
              </w:rPr>
              <w:t>PARTICIPATION</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Eligibility to Participate</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87"/>
              </w:rPr>
              <w:t>3.2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Continuation of Eligibility</w:t>
            </w:r>
          </w:p>
        </w:tc>
        <w:tc>
          <w:tcPr>
            <w:tcW w:w="730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ARTICLE IV</w:t>
            </w:r>
          </w:p>
        </w:tc>
        <w:tc>
          <w:tcPr>
            <w:tcW w:w="4100" w:type="dxa"/>
            <w:vAlign w:val="bottom"/>
            <w:vMerge w:val="restart"/>
          </w:tcPr>
          <w:p>
            <w:pPr>
              <w:ind w:left="60"/>
              <w:spacing w:after="0"/>
              <w:rPr>
                <w:sz w:val="20"/>
                <w:szCs w:val="20"/>
                <w:color w:val="auto"/>
              </w:rPr>
            </w:pPr>
            <w:r>
              <w:rPr>
                <w:rFonts w:ascii="Arial" w:cs="Arial" w:eastAsia="Arial" w:hAnsi="Arial"/>
                <w:sz w:val="18"/>
                <w:szCs w:val="18"/>
                <w:color w:val="auto"/>
              </w:rPr>
              <w:t>DEFERRALS</w:t>
            </w:r>
          </w:p>
        </w:tc>
        <w:tc>
          <w:tcPr>
            <w:tcW w:w="56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gridSpan w:val="2"/>
            <w:vMerge w:val="continue"/>
          </w:tcPr>
          <w:p>
            <w:pPr>
              <w:spacing w:after="0"/>
              <w:rPr>
                <w:sz w:val="19"/>
                <w:szCs w:val="19"/>
                <w:color w:val="auto"/>
              </w:rPr>
            </w:pPr>
          </w:p>
        </w:tc>
        <w:tc>
          <w:tcPr>
            <w:tcW w:w="4100" w:type="dxa"/>
            <w:vAlign w:val="bottom"/>
            <w:vMerge w:val="continue"/>
          </w:tcPr>
          <w:p>
            <w:pPr>
              <w:spacing w:after="0"/>
              <w:rPr>
                <w:sz w:val="19"/>
                <w:szCs w:val="19"/>
                <w:color w:val="auto"/>
              </w:rPr>
            </w:pPr>
          </w:p>
        </w:tc>
        <w:tc>
          <w:tcPr>
            <w:tcW w:w="5660" w:type="dxa"/>
            <w:vAlign w:val="bottom"/>
          </w:tcPr>
          <w:p>
            <w:pPr>
              <w:spacing w:after="0"/>
              <w:rPr>
                <w:sz w:val="19"/>
                <w:szCs w:val="19"/>
                <w:color w:val="auto"/>
              </w:rPr>
            </w:pPr>
          </w:p>
        </w:tc>
        <w:tc>
          <w:tcPr>
            <w:tcW w:w="440" w:type="dxa"/>
            <w:vAlign w:val="bottom"/>
          </w:tcPr>
          <w:p>
            <w:pPr>
              <w:jc w:val="center"/>
              <w:ind w:left="39"/>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00" w:type="dxa"/>
            <w:vAlign w:val="bottom"/>
          </w:tcPr>
          <w:p>
            <w:pPr>
              <w:ind w:left="180"/>
              <w:spacing w:after="0"/>
              <w:rPr>
                <w:sz w:val="20"/>
                <w:szCs w:val="20"/>
                <w:color w:val="auto"/>
              </w:rPr>
            </w:pPr>
            <w:r>
              <w:rPr>
                <w:rFonts w:ascii="Arial" w:cs="Arial" w:eastAsia="Arial" w:hAnsi="Arial"/>
                <w:sz w:val="18"/>
                <w:szCs w:val="18"/>
                <w:color w:val="auto"/>
              </w:rPr>
              <w:t>4.1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Elective Deferrals</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4.2</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Additional Rules Governing Deferral Elections</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4.3</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Matching Contribution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4.4</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Employer Contribution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4.5</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Additional Matching Contribution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4.6</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Additional Employer Contribution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ARTICLE V   ACCOUNTS AND CREDITS</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ind w:left="180"/>
              <w:spacing w:after="0"/>
              <w:rPr>
                <w:sz w:val="20"/>
                <w:szCs w:val="20"/>
                <w:color w:val="auto"/>
              </w:rPr>
            </w:pPr>
            <w:r>
              <w:rPr>
                <w:rFonts w:ascii="Arial" w:cs="Arial" w:eastAsia="Arial" w:hAnsi="Arial"/>
                <w:sz w:val="18"/>
                <w:szCs w:val="18"/>
                <w:color w:val="auto"/>
              </w:rPr>
              <w:t>5.1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Credits to Accounts</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5.2</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No Funding</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5.3</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Deemed Investment of Accounts</w:t>
            </w:r>
          </w:p>
        </w:tc>
        <w:tc>
          <w:tcPr>
            <w:tcW w:w="6100" w:type="dxa"/>
            <w:vAlign w:val="bottom"/>
            <w:gridSpan w:val="2"/>
          </w:tcPr>
          <w:p>
            <w:pPr>
              <w:jc w:val="center"/>
              <w:ind w:left="5690"/>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5.4</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Reports to Participants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ARTICLE VI</w:t>
            </w:r>
          </w:p>
        </w:tc>
        <w:tc>
          <w:tcPr>
            <w:tcW w:w="4100" w:type="dxa"/>
            <w:vAlign w:val="bottom"/>
          </w:tcPr>
          <w:p>
            <w:pPr>
              <w:ind w:left="60"/>
              <w:spacing w:after="0"/>
              <w:rPr>
                <w:sz w:val="20"/>
                <w:szCs w:val="20"/>
                <w:color w:val="auto"/>
              </w:rPr>
            </w:pPr>
            <w:r>
              <w:rPr>
                <w:rFonts w:ascii="Arial" w:cs="Arial" w:eastAsia="Arial" w:hAnsi="Arial"/>
                <w:sz w:val="18"/>
                <w:szCs w:val="18"/>
                <w:color w:val="auto"/>
              </w:rPr>
              <w:t>VESTING</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ARTICLE VII</w:t>
            </w:r>
          </w:p>
        </w:tc>
        <w:tc>
          <w:tcPr>
            <w:tcW w:w="4100" w:type="dxa"/>
            <w:vAlign w:val="bottom"/>
          </w:tcPr>
          <w:p>
            <w:pPr>
              <w:ind w:left="120"/>
              <w:spacing w:after="0"/>
              <w:rPr>
                <w:sz w:val="20"/>
                <w:szCs w:val="20"/>
                <w:color w:val="auto"/>
              </w:rPr>
            </w:pPr>
            <w:r>
              <w:rPr>
                <w:rFonts w:ascii="Arial" w:cs="Arial" w:eastAsia="Arial" w:hAnsi="Arial"/>
                <w:sz w:val="18"/>
                <w:szCs w:val="18"/>
                <w:color w:val="auto"/>
              </w:rPr>
              <w:t>MANNER AND TIMING OF DISTRIBUTION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ind w:left="180"/>
              <w:spacing w:after="0"/>
              <w:rPr>
                <w:sz w:val="20"/>
                <w:szCs w:val="20"/>
                <w:color w:val="auto"/>
              </w:rPr>
            </w:pPr>
            <w:r>
              <w:rPr>
                <w:rFonts w:ascii="Arial" w:cs="Arial" w:eastAsia="Arial" w:hAnsi="Arial"/>
                <w:sz w:val="18"/>
                <w:szCs w:val="18"/>
                <w:color w:val="auto"/>
              </w:rPr>
              <w:t>7.1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Payment of Benefits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7.2</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Payment Election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7.3</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Financial Hardship</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7.4</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Delayed Distribution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7.5</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Inclusion in Income Under Section 409A</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7.6</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Domestic Relations Order</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7.7</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De Minimis Amounts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ARTICLE VIII</w:t>
            </w:r>
          </w:p>
        </w:tc>
        <w:tc>
          <w:tcPr>
            <w:tcW w:w="4100" w:type="dxa"/>
            <w:vAlign w:val="bottom"/>
          </w:tcPr>
          <w:p>
            <w:pPr>
              <w:ind w:left="180"/>
              <w:spacing w:after="0"/>
              <w:rPr>
                <w:sz w:val="20"/>
                <w:szCs w:val="20"/>
                <w:color w:val="auto"/>
              </w:rPr>
            </w:pPr>
            <w:r>
              <w:rPr>
                <w:rFonts w:ascii="Arial" w:cs="Arial" w:eastAsia="Arial" w:hAnsi="Arial"/>
                <w:sz w:val="18"/>
                <w:szCs w:val="18"/>
                <w:color w:val="auto"/>
              </w:rPr>
              <w:t>PLAN OPERATION AND ADMINISTRATION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ind w:left="180"/>
              <w:spacing w:after="0"/>
              <w:rPr>
                <w:sz w:val="20"/>
                <w:szCs w:val="20"/>
                <w:color w:val="auto"/>
              </w:rPr>
            </w:pPr>
            <w:r>
              <w:rPr>
                <w:rFonts w:ascii="Arial" w:cs="Arial" w:eastAsia="Arial" w:hAnsi="Arial"/>
                <w:sz w:val="18"/>
                <w:szCs w:val="18"/>
                <w:color w:val="auto"/>
              </w:rPr>
              <w:t>8.1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Administrator</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8.2</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Committee</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8.3</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Authority to Act</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8.4</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Information from Participants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8.5</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Committee Discretion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8.6</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Committee Members’ Conflict of Interest</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8.7</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8.8</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8.9</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Minor or Incompetent Payees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8.10</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Withholding</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180"/>
              <w:spacing w:after="0"/>
              <w:rPr>
                <w:sz w:val="20"/>
                <w:szCs w:val="20"/>
                <w:color w:val="auto"/>
              </w:rPr>
            </w:pPr>
            <w:r>
              <w:rPr>
                <w:rFonts w:ascii="Arial" w:cs="Arial" w:eastAsia="Arial" w:hAnsi="Arial"/>
                <w:sz w:val="18"/>
                <w:szCs w:val="18"/>
                <w:color w:val="auto"/>
              </w:rPr>
              <w:t>8.11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Indemnification</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ARTICLE IX</w:t>
            </w:r>
          </w:p>
        </w:tc>
        <w:tc>
          <w:tcPr>
            <w:tcW w:w="4100" w:type="dxa"/>
            <w:vAlign w:val="bottom"/>
          </w:tcPr>
          <w:p>
            <w:pPr>
              <w:ind w:left="60"/>
              <w:spacing w:after="0"/>
              <w:rPr>
                <w:sz w:val="20"/>
                <w:szCs w:val="20"/>
                <w:color w:val="auto"/>
              </w:rPr>
            </w:pPr>
            <w:r>
              <w:rPr>
                <w:rFonts w:ascii="Arial" w:cs="Arial" w:eastAsia="Arial" w:hAnsi="Arial"/>
                <w:sz w:val="18"/>
                <w:szCs w:val="18"/>
                <w:color w:val="auto"/>
              </w:rPr>
              <w:t>CLAIMS PROCEDURE</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ind w:left="180"/>
              <w:spacing w:after="0"/>
              <w:rPr>
                <w:sz w:val="20"/>
                <w:szCs w:val="20"/>
                <w:color w:val="auto"/>
              </w:rPr>
            </w:pPr>
            <w:r>
              <w:rPr>
                <w:rFonts w:ascii="Arial" w:cs="Arial" w:eastAsia="Arial" w:hAnsi="Arial"/>
                <w:sz w:val="18"/>
                <w:szCs w:val="18"/>
                <w:color w:val="auto"/>
              </w:rPr>
              <w:t>9.1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Claims</w:t>
            </w:r>
          </w:p>
        </w:tc>
        <w:tc>
          <w:tcPr>
            <w:tcW w:w="6100" w:type="dxa"/>
            <w:vAlign w:val="bottom"/>
            <w:gridSpan w:val="2"/>
          </w:tcPr>
          <w:p>
            <w:pPr>
              <w:jc w:val="center"/>
              <w:ind w:left="5670"/>
              <w:spacing w:after="0"/>
              <w:rPr>
                <w:sz w:val="20"/>
                <w:szCs w:val="20"/>
                <w:color w:val="auto"/>
              </w:rPr>
            </w:pPr>
            <w:r>
              <w:rPr>
                <w:rFonts w:ascii="Arial" w:cs="Arial" w:eastAsia="Arial" w:hAnsi="Arial"/>
                <w:sz w:val="18"/>
                <w:szCs w:val="18"/>
                <w:color w:val="auto"/>
                <w:w w:val="89"/>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100" w:type="dxa"/>
            <w:vAlign w:val="bottom"/>
            <w:gridSpan w:val="2"/>
          </w:tcPr>
          <w:p>
            <w:pPr>
              <w:ind w:left="400"/>
              <w:spacing w:after="0"/>
              <w:rPr>
                <w:sz w:val="20"/>
                <w:szCs w:val="20"/>
                <w:color w:val="auto"/>
              </w:rPr>
            </w:pPr>
            <w:r>
              <w:rPr>
                <w:rFonts w:ascii="Arial" w:cs="Arial" w:eastAsia="Arial" w:hAnsi="Arial"/>
                <w:sz w:val="18"/>
                <w:szCs w:val="18"/>
                <w:color w:val="auto"/>
              </w:rPr>
              <w:t>ii</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ind w:left="180"/>
              <w:spacing w:after="0"/>
              <w:rPr>
                <w:sz w:val="20"/>
                <w:szCs w:val="20"/>
                <w:color w:val="auto"/>
              </w:rPr>
            </w:pPr>
            <w:r>
              <w:rPr>
                <w:rFonts w:ascii="Arial" w:cs="Arial" w:eastAsia="Arial" w:hAnsi="Arial"/>
                <w:sz w:val="18"/>
                <w:szCs w:val="18"/>
                <w:color w:val="auto"/>
              </w:rPr>
              <w:t>9.2</w:t>
            </w:r>
          </w:p>
        </w:tc>
        <w:tc>
          <w:tcPr>
            <w:tcW w:w="10200" w:type="dxa"/>
            <w:vAlign w:val="bottom"/>
            <w:vMerge w:val="restart"/>
          </w:tcPr>
          <w:p>
            <w:pPr>
              <w:ind w:left="180"/>
              <w:spacing w:after="0"/>
              <w:rPr>
                <w:sz w:val="20"/>
                <w:szCs w:val="20"/>
                <w:color w:val="auto"/>
              </w:rPr>
            </w:pPr>
            <w:r>
              <w:rPr>
                <w:rFonts w:ascii="Arial" w:cs="Arial" w:eastAsia="Arial" w:hAnsi="Arial"/>
                <w:sz w:val="18"/>
                <w:szCs w:val="18"/>
                <w:color w:val="auto"/>
              </w:rPr>
              <w:t>Review</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10200" w:type="dxa"/>
            <w:vAlign w:val="bottom"/>
            <w:vMerge w:val="continue"/>
          </w:tcPr>
          <w:p>
            <w:pPr>
              <w:spacing w:after="0"/>
              <w:rPr>
                <w:sz w:val="16"/>
                <w:szCs w:val="16"/>
                <w:color w:val="auto"/>
              </w:rPr>
            </w:pP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20" w:type="dxa"/>
            <w:vAlign w:val="bottom"/>
          </w:tcPr>
          <w:p>
            <w:pPr>
              <w:ind w:left="180"/>
              <w:spacing w:after="0"/>
              <w:rPr>
                <w:sz w:val="20"/>
                <w:szCs w:val="20"/>
                <w:color w:val="auto"/>
              </w:rPr>
            </w:pPr>
            <w:r>
              <w:rPr>
                <w:rFonts w:ascii="Arial" w:cs="Arial" w:eastAsia="Arial" w:hAnsi="Arial"/>
                <w:sz w:val="18"/>
                <w:szCs w:val="18"/>
                <w:color w:val="auto"/>
              </w:rPr>
              <w:t>9.3</w:t>
            </w:r>
          </w:p>
        </w:tc>
        <w:tc>
          <w:tcPr>
            <w:tcW w:w="10200" w:type="dxa"/>
            <w:vAlign w:val="bottom"/>
          </w:tcPr>
          <w:p>
            <w:pPr>
              <w:ind w:left="180"/>
              <w:spacing w:after="0"/>
              <w:rPr>
                <w:sz w:val="20"/>
                <w:szCs w:val="20"/>
                <w:color w:val="auto"/>
              </w:rPr>
            </w:pPr>
            <w:r>
              <w:rPr>
                <w:rFonts w:ascii="Arial" w:cs="Arial" w:eastAsia="Arial" w:hAnsi="Arial"/>
                <w:sz w:val="18"/>
                <w:szCs w:val="18"/>
                <w:color w:val="auto"/>
              </w:rPr>
              <w:t>Disability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10920" w:type="dxa"/>
            <w:vAlign w:val="bottom"/>
            <w:gridSpan w:val="2"/>
          </w:tcPr>
          <w:p>
            <w:pPr>
              <w:spacing w:after="0"/>
              <w:rPr>
                <w:sz w:val="20"/>
                <w:szCs w:val="20"/>
                <w:color w:val="auto"/>
              </w:rPr>
            </w:pPr>
            <w:r>
              <w:rPr>
                <w:rFonts w:ascii="Arial" w:cs="Arial" w:eastAsia="Arial" w:hAnsi="Arial"/>
                <w:sz w:val="18"/>
                <w:szCs w:val="18"/>
                <w:color w:val="auto"/>
              </w:rPr>
              <w:t>ARTICLE X   AMENDMENT AND TERMINATION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10920" w:type="dxa"/>
            <w:vAlign w:val="bottom"/>
            <w:gridSpan w:val="2"/>
          </w:tcPr>
          <w:p>
            <w:pPr>
              <w:spacing w:after="0"/>
              <w:rPr>
                <w:sz w:val="20"/>
                <w:szCs w:val="20"/>
                <w:color w:val="auto"/>
              </w:rPr>
            </w:pPr>
            <w:r>
              <w:rPr>
                <w:rFonts w:ascii="Arial" w:cs="Arial" w:eastAsia="Arial" w:hAnsi="Arial"/>
                <w:sz w:val="18"/>
                <w:szCs w:val="18"/>
                <w:color w:val="auto"/>
              </w:rPr>
              <w:t>ARTICLE XI   MISCELLANEOUS PROVISIONS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8"/>
        </w:trPr>
        <w:tc>
          <w:tcPr>
            <w:tcW w:w="720" w:type="dxa"/>
            <w:vAlign w:val="bottom"/>
          </w:tcPr>
          <w:p>
            <w:pPr>
              <w:ind w:left="140"/>
              <w:spacing w:after="0"/>
              <w:rPr>
                <w:sz w:val="20"/>
                <w:szCs w:val="20"/>
                <w:color w:val="auto"/>
              </w:rPr>
            </w:pPr>
            <w:r>
              <w:rPr>
                <w:rFonts w:ascii="Arial" w:cs="Arial" w:eastAsia="Arial" w:hAnsi="Arial"/>
                <w:sz w:val="18"/>
                <w:szCs w:val="18"/>
                <w:color w:val="auto"/>
              </w:rPr>
              <w:t>11.1</w:t>
            </w:r>
          </w:p>
        </w:tc>
        <w:tc>
          <w:tcPr>
            <w:tcW w:w="102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11.2</w:t>
            </w:r>
          </w:p>
        </w:tc>
        <w:tc>
          <w:tcPr>
            <w:tcW w:w="10200" w:type="dxa"/>
            <w:vAlign w:val="bottom"/>
          </w:tcPr>
          <w:p>
            <w:pPr>
              <w:ind w:left="180"/>
              <w:spacing w:after="0"/>
              <w:rPr>
                <w:sz w:val="20"/>
                <w:szCs w:val="20"/>
                <w:color w:val="auto"/>
              </w:rPr>
            </w:pPr>
            <w:r>
              <w:rPr>
                <w:rFonts w:ascii="Arial" w:cs="Arial" w:eastAsia="Arial" w:hAnsi="Arial"/>
                <w:sz w:val="18"/>
                <w:szCs w:val="18"/>
                <w:color w:val="auto"/>
              </w:rPr>
              <w:t>No Contract of Employment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11.3</w:t>
            </w:r>
          </w:p>
        </w:tc>
        <w:tc>
          <w:tcPr>
            <w:tcW w:w="10200" w:type="dxa"/>
            <w:vAlign w:val="bottom"/>
          </w:tcPr>
          <w:p>
            <w:pPr>
              <w:ind w:left="180"/>
              <w:spacing w:after="0"/>
              <w:rPr>
                <w:sz w:val="20"/>
                <w:szCs w:val="20"/>
                <w:color w:val="auto"/>
              </w:rPr>
            </w:pPr>
            <w:r>
              <w:rPr>
                <w:rFonts w:ascii="Arial" w:cs="Arial" w:eastAsia="Arial" w:hAnsi="Arial"/>
                <w:sz w:val="18"/>
                <w:szCs w:val="18"/>
                <w:color w:val="auto"/>
              </w:rPr>
              <w:t>Rights of Participants and Beneficiaries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11.4</w:t>
            </w:r>
          </w:p>
        </w:tc>
        <w:tc>
          <w:tcPr>
            <w:tcW w:w="10200" w:type="dxa"/>
            <w:vAlign w:val="bottom"/>
          </w:tcPr>
          <w:p>
            <w:pPr>
              <w:ind w:left="180"/>
              <w:spacing w:after="0"/>
              <w:rPr>
                <w:sz w:val="20"/>
                <w:szCs w:val="20"/>
                <w:color w:val="auto"/>
              </w:rPr>
            </w:pPr>
            <w:r>
              <w:rPr>
                <w:rFonts w:ascii="Arial" w:cs="Arial" w:eastAsia="Arial" w:hAnsi="Arial"/>
                <w:sz w:val="18"/>
                <w:szCs w:val="18"/>
                <w:color w:val="auto"/>
              </w:rPr>
              <w:t>Nonalienation of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11.5</w:t>
            </w:r>
          </w:p>
        </w:tc>
        <w:tc>
          <w:tcPr>
            <w:tcW w:w="10200" w:type="dxa"/>
            <w:vAlign w:val="bottom"/>
          </w:tcPr>
          <w:p>
            <w:pPr>
              <w:ind w:left="180"/>
              <w:spacing w:after="0"/>
              <w:rPr>
                <w:sz w:val="20"/>
                <w:szCs w:val="20"/>
                <w:color w:val="auto"/>
              </w:rPr>
            </w:pPr>
            <w:r>
              <w:rPr>
                <w:rFonts w:ascii="Arial" w:cs="Arial" w:eastAsia="Arial" w:hAnsi="Arial"/>
                <w:sz w:val="18"/>
                <w:szCs w:val="18"/>
                <w:color w:val="auto"/>
              </w:rPr>
              <w:t>Tax Treatment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11.6</w:t>
            </w:r>
          </w:p>
        </w:tc>
        <w:tc>
          <w:tcPr>
            <w:tcW w:w="10200" w:type="dxa"/>
            <w:vAlign w:val="bottom"/>
          </w:tcPr>
          <w:p>
            <w:pPr>
              <w:ind w:left="180"/>
              <w:spacing w:after="0"/>
              <w:rPr>
                <w:sz w:val="20"/>
                <w:szCs w:val="20"/>
                <w:color w:val="auto"/>
              </w:rPr>
            </w:pPr>
            <w:r>
              <w:rPr>
                <w:rFonts w:ascii="Arial" w:cs="Arial" w:eastAsia="Arial" w:hAnsi="Arial"/>
                <w:sz w:val="18"/>
                <w:szCs w:val="18"/>
                <w:color w:val="auto"/>
              </w:rPr>
              <w:t>Other Plans and Agreements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11.7</w:t>
            </w:r>
          </w:p>
        </w:tc>
        <w:tc>
          <w:tcPr>
            <w:tcW w:w="10200" w:type="dxa"/>
            <w:vAlign w:val="bottom"/>
          </w:tcPr>
          <w:p>
            <w:pPr>
              <w:ind w:left="180"/>
              <w:spacing w:after="0"/>
              <w:rPr>
                <w:sz w:val="20"/>
                <w:szCs w:val="20"/>
                <w:color w:val="auto"/>
              </w:rPr>
            </w:pPr>
            <w:r>
              <w:rPr>
                <w:rFonts w:ascii="Arial" w:cs="Arial" w:eastAsia="Arial" w:hAnsi="Arial"/>
                <w:sz w:val="18"/>
                <w:szCs w:val="18"/>
                <w:color w:val="auto"/>
              </w:rPr>
              <w:t>Number and Gender</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11.8</w:t>
            </w:r>
          </w:p>
        </w:tc>
        <w:tc>
          <w:tcPr>
            <w:tcW w:w="10200" w:type="dxa"/>
            <w:vAlign w:val="bottom"/>
          </w:tcPr>
          <w:p>
            <w:pPr>
              <w:ind w:left="180"/>
              <w:spacing w:after="0"/>
              <w:rPr>
                <w:sz w:val="20"/>
                <w:szCs w:val="20"/>
                <w:color w:val="auto"/>
              </w:rPr>
            </w:pPr>
            <w:r>
              <w:rPr>
                <w:rFonts w:ascii="Arial" w:cs="Arial" w:eastAsia="Arial" w:hAnsi="Arial"/>
                <w:sz w:val="18"/>
                <w:szCs w:val="18"/>
                <w:color w:val="auto"/>
              </w:rPr>
              <w:t>Plan Provisions Controlling</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11.9</w:t>
            </w:r>
          </w:p>
        </w:tc>
        <w:tc>
          <w:tcPr>
            <w:tcW w:w="102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11.10</w:t>
            </w:r>
          </w:p>
        </w:tc>
        <w:tc>
          <w:tcPr>
            <w:tcW w:w="10200" w:type="dxa"/>
            <w:vAlign w:val="bottom"/>
          </w:tcPr>
          <w:p>
            <w:pPr>
              <w:ind w:left="180"/>
              <w:spacing w:after="0"/>
              <w:rPr>
                <w:sz w:val="20"/>
                <w:szCs w:val="20"/>
                <w:color w:val="auto"/>
              </w:rPr>
            </w:pPr>
            <w:r>
              <w:rPr>
                <w:rFonts w:ascii="Arial" w:cs="Arial" w:eastAsia="Arial" w:hAnsi="Arial"/>
                <w:sz w:val="18"/>
                <w:szCs w:val="18"/>
                <w:color w:val="auto"/>
              </w:rPr>
              <w:t>Evidence Conclusive</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11.11</w:t>
            </w:r>
          </w:p>
        </w:tc>
        <w:tc>
          <w:tcPr>
            <w:tcW w:w="10200" w:type="dxa"/>
            <w:vAlign w:val="bottom"/>
          </w:tcPr>
          <w:p>
            <w:pPr>
              <w:ind w:left="180"/>
              <w:spacing w:after="0"/>
              <w:rPr>
                <w:sz w:val="20"/>
                <w:szCs w:val="20"/>
                <w:color w:val="auto"/>
              </w:rPr>
            </w:pPr>
            <w:r>
              <w:rPr>
                <w:rFonts w:ascii="Arial" w:cs="Arial" w:eastAsia="Arial" w:hAnsi="Arial"/>
                <w:sz w:val="18"/>
                <w:szCs w:val="18"/>
                <w:color w:val="auto"/>
              </w:rPr>
              <w:t>Status of Plan Under ERISA</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11.12</w:t>
            </w:r>
          </w:p>
        </w:tc>
        <w:tc>
          <w:tcPr>
            <w:tcW w:w="10200" w:type="dxa"/>
            <w:vAlign w:val="bottom"/>
          </w:tcPr>
          <w:p>
            <w:pPr>
              <w:ind w:left="180"/>
              <w:spacing w:after="0"/>
              <w:rPr>
                <w:sz w:val="20"/>
                <w:szCs w:val="20"/>
                <w:color w:val="auto"/>
              </w:rPr>
            </w:pPr>
            <w:r>
              <w:rPr>
                <w:rFonts w:ascii="Arial" w:cs="Arial" w:eastAsia="Arial" w:hAnsi="Arial"/>
                <w:sz w:val="18"/>
                <w:szCs w:val="18"/>
                <w:color w:val="auto"/>
              </w:rPr>
              <w:t>Name and Address Changes</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 w:type="dxa"/>
            <w:vAlign w:val="bottom"/>
          </w:tcPr>
          <w:p>
            <w:pPr>
              <w:ind w:left="140"/>
              <w:spacing w:after="0"/>
              <w:rPr>
                <w:sz w:val="20"/>
                <w:szCs w:val="20"/>
                <w:color w:val="auto"/>
              </w:rPr>
            </w:pPr>
            <w:r>
              <w:rPr>
                <w:rFonts w:ascii="Arial" w:cs="Arial" w:eastAsia="Arial" w:hAnsi="Arial"/>
                <w:sz w:val="18"/>
                <w:szCs w:val="18"/>
                <w:color w:val="auto"/>
              </w:rPr>
              <w:t>11.13</w:t>
            </w:r>
          </w:p>
        </w:tc>
        <w:tc>
          <w:tcPr>
            <w:tcW w:w="10200" w:type="dxa"/>
            <w:vAlign w:val="bottom"/>
          </w:tcPr>
          <w:p>
            <w:pPr>
              <w:ind w:left="180"/>
              <w:spacing w:after="0"/>
              <w:rPr>
                <w:sz w:val="20"/>
                <w:szCs w:val="20"/>
                <w:color w:val="auto"/>
              </w:rPr>
            </w:pPr>
            <w:r>
              <w:rPr>
                <w:rFonts w:ascii="Arial" w:cs="Arial" w:eastAsia="Arial" w:hAnsi="Arial"/>
                <w:sz w:val="18"/>
                <w:szCs w:val="18"/>
                <w:color w:val="auto"/>
              </w:rPr>
              <w:t>Assignability by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20" w:type="dxa"/>
            <w:vAlign w:val="bottom"/>
          </w:tcPr>
          <w:p>
            <w:pPr>
              <w:ind w:left="140"/>
              <w:spacing w:after="0"/>
              <w:rPr>
                <w:sz w:val="20"/>
                <w:szCs w:val="20"/>
                <w:color w:val="auto"/>
              </w:rPr>
            </w:pPr>
            <w:r>
              <w:rPr>
                <w:rFonts w:ascii="Arial" w:cs="Arial" w:eastAsia="Arial" w:hAnsi="Arial"/>
                <w:sz w:val="18"/>
                <w:szCs w:val="18"/>
                <w:color w:val="auto"/>
              </w:rPr>
              <w:t>11.14</w:t>
            </w:r>
          </w:p>
        </w:tc>
        <w:tc>
          <w:tcPr>
            <w:tcW w:w="10200" w:type="dxa"/>
            <w:vAlign w:val="bottom"/>
          </w:tcPr>
          <w:p>
            <w:pPr>
              <w:ind w:left="180"/>
              <w:spacing w:after="0"/>
              <w:rPr>
                <w:sz w:val="20"/>
                <w:szCs w:val="20"/>
                <w:color w:val="auto"/>
              </w:rPr>
            </w:pPr>
            <w:r>
              <w:rPr>
                <w:rFonts w:ascii="Arial" w:cs="Arial" w:eastAsia="Arial" w:hAnsi="Arial"/>
                <w:sz w:val="18"/>
                <w:szCs w:val="18"/>
                <w:color w:val="auto"/>
              </w:rPr>
              <w:t>Special rule for 2005-2007</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 and Effective Date</w:t>
      </w:r>
    </w:p>
    <w:p>
      <w:pPr>
        <w:spacing w:after="0" w:line="12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Brady Corporation established the Brady Corporation Restoration Plan effective as of January 1, 2000, and it is hereby restated effective as of January 1, 2008. This document describes how this Plan has been administered for periods after 2004 and prior to January 1, 2008 and how it shall be administered for periods after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p>
    <w:p>
      <w:pPr>
        <w:spacing w:after="0" w:line="121"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Plan is intended to restore to key management employees of Brady and its affiliates income deferral opportunities and employer contributions they would have had under the Company’s tax qualified Brady Matched 401(k) Plan and Brady Funded Retirement Plan but for the limitations of the Internal Revenue Code of 1986, as amended and to provide certain additional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Section 409A</w:t>
      </w:r>
    </w:p>
    <w:p>
      <w:pPr>
        <w:spacing w:after="0" w:line="121"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30" w:name="page31"/>
    <w:bookmarkEnd w:id="30"/>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used in the Plan with initial capital letters, shall have the meaning given to them in this Article.</w:t>
      </w:r>
    </w:p>
    <w:p>
      <w:pPr>
        <w:spacing w:after="0" w:line="113" w:lineRule="exact"/>
        <w:rPr>
          <w:sz w:val="20"/>
          <w:szCs w:val="20"/>
          <w:color w:val="auto"/>
        </w:rPr>
      </w:pPr>
    </w:p>
    <w:p>
      <w:pPr>
        <w:ind w:left="340" w:right="260" w:hanging="337"/>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Account</w:t>
      </w:r>
      <w:r>
        <w:rPr>
          <w:rFonts w:ascii="Arial" w:cs="Arial" w:eastAsia="Arial" w:hAnsi="Arial"/>
          <w:sz w:val="18"/>
          <w:szCs w:val="18"/>
          <w:color w:val="auto"/>
        </w:rPr>
        <w:t xml:space="preserve"> shall mean the account maintained to record a Participant’s interest in the Plan and shall be composed of the following subaccounts: Elective Deferral Account, Matching Contribution Account and Employer Contribution Account.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Additional Employer Contribution</w:t>
      </w:r>
      <w:r>
        <w:rPr>
          <w:rFonts w:ascii="Arial" w:cs="Arial" w:eastAsia="Arial" w:hAnsi="Arial"/>
          <w:sz w:val="18"/>
          <w:szCs w:val="18"/>
          <w:color w:val="auto"/>
        </w:rPr>
        <w:t xml:space="preserve"> shall mean the amount credited to a Participant pursuant to Section 4.6.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Additional Matching Contribution</w:t>
      </w:r>
      <w:r>
        <w:rPr>
          <w:rFonts w:ascii="Arial" w:cs="Arial" w:eastAsia="Arial" w:hAnsi="Arial"/>
          <w:sz w:val="18"/>
          <w:szCs w:val="18"/>
          <w:color w:val="auto"/>
        </w:rPr>
        <w:t xml:space="preserve"> shall mean the amount credited to a Participant pursuant to Section 4.5.</w:t>
      </w:r>
    </w:p>
    <w:p>
      <w:pPr>
        <w:spacing w:after="0" w:line="131" w:lineRule="exact"/>
        <w:rPr>
          <w:sz w:val="20"/>
          <w:szCs w:val="20"/>
          <w:color w:val="auto"/>
        </w:rPr>
      </w:pPr>
    </w:p>
    <w:p>
      <w:pPr>
        <w:ind w:left="340" w:right="120" w:hanging="337"/>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each incorporated or unincorporated trade or business in which Brady Corporation directly or indirectly owns, as applicable, eighty percent (80%) of the voting stock or eighty percent (80%) of the capital or profits interest.</w:t>
      </w:r>
    </w:p>
    <w:p>
      <w:pPr>
        <w:spacing w:after="0" w:line="67" w:lineRule="exact"/>
        <w:rPr>
          <w:sz w:val="20"/>
          <w:szCs w:val="20"/>
          <w:color w:val="auto"/>
        </w:rPr>
      </w:pPr>
    </w:p>
    <w:p>
      <w:pPr>
        <w:jc w:val="both"/>
        <w:ind w:left="340" w:hanging="337"/>
        <w:spacing w:after="0" w:line="28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Beneficiary</w:t>
      </w:r>
      <w:r>
        <w:rPr>
          <w:rFonts w:ascii="Arial" w:cs="Arial" w:eastAsia="Arial" w:hAnsi="Arial"/>
          <w:sz w:val="16"/>
          <w:szCs w:val="16"/>
          <w:color w:val="auto"/>
        </w:rPr>
        <w:t xml:space="preserve">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Employer; provided, however, that the designation on file with the Employer at the time of the Participant’s death shall be controlling.</w:t>
      </w:r>
    </w:p>
    <w:p>
      <w:pPr>
        <w:spacing w:after="0" w:line="2" w:lineRule="exact"/>
        <w:rPr>
          <w:sz w:val="20"/>
          <w:szCs w:val="20"/>
          <w:color w:val="auto"/>
        </w:rPr>
      </w:pPr>
    </w:p>
    <w:p>
      <w:pPr>
        <w:ind w:left="340" w:right="280"/>
        <w:spacing w:after="0" w:line="271" w:lineRule="auto"/>
        <w:rPr>
          <w:sz w:val="20"/>
          <w:szCs w:val="20"/>
          <w:color w:val="auto"/>
        </w:rPr>
      </w:pPr>
      <w:r>
        <w:rPr>
          <w:rFonts w:ascii="Arial" w:cs="Arial" w:eastAsia="Arial" w:hAnsi="Arial"/>
          <w:sz w:val="17"/>
          <w:szCs w:val="17"/>
          <w:color w:val="auto"/>
        </w:rPr>
        <w:t>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Employer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Board</w:t>
      </w:r>
      <w:r>
        <w:rPr>
          <w:rFonts w:ascii="Arial" w:cs="Arial" w:eastAsia="Arial" w:hAnsi="Arial"/>
          <w:sz w:val="18"/>
          <w:szCs w:val="18"/>
          <w:color w:val="auto"/>
        </w:rPr>
        <w:t xml:space="preserve"> shall mean the Board of Directors of Brady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Code</w:t>
      </w:r>
      <w:r>
        <w:rPr>
          <w:rFonts w:ascii="Arial" w:cs="Arial" w:eastAsia="Arial" w:hAnsi="Arial"/>
          <w:sz w:val="18"/>
          <w:szCs w:val="18"/>
          <w:color w:val="auto"/>
        </w:rPr>
        <w:t xml:space="preserve"> shall mean the Internal Revenue Code of 1986, as amended, and any regulations issued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shall mean the Compensation Committee of the Board.</w:t>
      </w:r>
    </w:p>
    <w:p>
      <w:pPr>
        <w:spacing w:after="0" w:line="131" w:lineRule="exact"/>
        <w:rPr>
          <w:sz w:val="20"/>
          <w:szCs w:val="20"/>
          <w:color w:val="auto"/>
        </w:rPr>
      </w:pPr>
    </w:p>
    <w:p>
      <w:pPr>
        <w:jc w:val="both"/>
        <w:ind w:left="340" w:right="180" w:hanging="337"/>
        <w:spacing w:after="0" w:line="26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shall mean the total compensation payable to a Participant by the Employer for any period (prior to elective deferrals under this Plan or any other plan or deferral agreement) required to be reported as wages on the Employee’s Form W-2 for income tax purposes, but reduced by all of the following items (even if includable 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1" w:name="page32"/>
    <w:bookmarkEnd w:id="31"/>
    <w:p>
      <w:pPr>
        <w:ind w:left="500"/>
        <w:spacing w:after="0"/>
        <w:rPr>
          <w:sz w:val="20"/>
          <w:szCs w:val="20"/>
          <w:color w:val="auto"/>
        </w:rPr>
      </w:pPr>
      <w:r>
        <w:rPr>
          <w:rFonts w:ascii="Arial" w:cs="Arial" w:eastAsia="Arial" w:hAnsi="Arial"/>
          <w:sz w:val="17"/>
          <w:szCs w:val="17"/>
          <w:color w:val="auto"/>
        </w:rPr>
        <w:t>gross income): reimbursements or other expense allowances, fringe benefits (cash and non-cash), moving expenses and welfare benefits.</w:t>
      </w:r>
    </w:p>
    <w:p>
      <w:pPr>
        <w:spacing w:after="0" w:line="125"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Elective Deferral</w:t>
      </w:r>
      <w:r>
        <w:rPr>
          <w:rFonts w:ascii="Arial" w:cs="Arial" w:eastAsia="Arial" w:hAnsi="Arial"/>
          <w:sz w:val="18"/>
          <w:szCs w:val="18"/>
          <w:color w:val="auto"/>
        </w:rPr>
        <w:t xml:space="preserve"> shall mean the portion of a Participant’s Compensation that is reduced and credited to his Elective Deferral Account pursuant to his election under Section 4.1.</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Elective Deferral Account</w:t>
      </w:r>
      <w:r>
        <w:rPr>
          <w:rFonts w:ascii="Arial" w:cs="Arial" w:eastAsia="Arial" w:hAnsi="Arial"/>
          <w:sz w:val="17"/>
          <w:szCs w:val="17"/>
          <w:color w:val="auto"/>
        </w:rPr>
        <w:t xml:space="preserve"> shall mean the account maintained to record a Participant’s interest in the Plan attributable to his Elective Deferrals.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Eligible Employee</w:t>
      </w:r>
      <w:r>
        <w:rPr>
          <w:rFonts w:ascii="Arial" w:cs="Arial" w:eastAsia="Arial" w:hAnsi="Arial"/>
          <w:sz w:val="18"/>
          <w:szCs w:val="18"/>
          <w:color w:val="auto"/>
        </w:rPr>
        <w:t xml:space="preserve"> shall mean an Employee eligible under Section 3.1 and 3.2(a).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mean an employee of the Employer.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shall mean Brady Corporation and any Affiliate that adopts the Plan with the approval of the Board.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Employer Contribution</w:t>
      </w:r>
      <w:r>
        <w:rPr>
          <w:rFonts w:ascii="Arial" w:cs="Arial" w:eastAsia="Arial" w:hAnsi="Arial"/>
          <w:sz w:val="18"/>
          <w:szCs w:val="18"/>
          <w:color w:val="auto"/>
        </w:rPr>
        <w:t xml:space="preserve"> shall mean the amount credited to a Participant pursuant to Section 4.4.</w:t>
      </w:r>
    </w:p>
    <w:p>
      <w:pPr>
        <w:spacing w:after="0" w:line="131" w:lineRule="exact"/>
        <w:rPr>
          <w:sz w:val="20"/>
          <w:szCs w:val="20"/>
          <w:color w:val="auto"/>
        </w:rPr>
      </w:pPr>
    </w:p>
    <w:p>
      <w:pPr>
        <w:ind w:left="440" w:right="820" w:hanging="431"/>
        <w:spacing w:after="0" w:line="28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Employer Contribution Account</w:t>
      </w:r>
      <w:r>
        <w:rPr>
          <w:rFonts w:ascii="Arial" w:cs="Arial" w:eastAsia="Arial" w:hAnsi="Arial"/>
          <w:sz w:val="18"/>
          <w:szCs w:val="18"/>
          <w:color w:val="auto"/>
        </w:rPr>
        <w:t xml:space="preserve"> shall mean the account maintained to record a Participant’s interest in the Plan attributable to Employer Contributions and Additional Employer Contributions on his behalf.</w:t>
      </w:r>
    </w:p>
    <w:p>
      <w:pPr>
        <w:spacing w:after="0" w:line="67" w:lineRule="exact"/>
        <w:rPr>
          <w:sz w:val="20"/>
          <w:szCs w:val="20"/>
          <w:color w:val="auto"/>
        </w:rPr>
      </w:pPr>
    </w:p>
    <w:p>
      <w:pPr>
        <w:ind w:left="440" w:right="300" w:hanging="431"/>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Excess Compensation</w:t>
      </w:r>
      <w:r>
        <w:rPr>
          <w:rFonts w:ascii="Arial" w:cs="Arial" w:eastAsia="Arial" w:hAnsi="Arial"/>
          <w:sz w:val="18"/>
          <w:szCs w:val="18"/>
          <w:color w:val="auto"/>
        </w:rPr>
        <w:t xml:space="preserve"> shall mean the portion of Compensation earned by a Participant during a Plan Year after the date the Compensation he has earned during the Plan Year equals the limit in Code Section 401(a)(17) for such Plan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Matching Contribution</w:t>
      </w:r>
      <w:r>
        <w:rPr>
          <w:rFonts w:ascii="Arial" w:cs="Arial" w:eastAsia="Arial" w:hAnsi="Arial"/>
          <w:sz w:val="18"/>
          <w:szCs w:val="18"/>
          <w:color w:val="auto"/>
        </w:rPr>
        <w:t xml:space="preserve"> shall mean the amount credited to a Participant pursuant to Section 4.3.</w:t>
      </w:r>
    </w:p>
    <w:p>
      <w:pPr>
        <w:spacing w:after="0" w:line="131" w:lineRule="exact"/>
        <w:rPr>
          <w:sz w:val="20"/>
          <w:szCs w:val="20"/>
          <w:color w:val="auto"/>
        </w:rPr>
      </w:pPr>
    </w:p>
    <w:p>
      <w:pPr>
        <w:ind w:left="440" w:right="860" w:hanging="431"/>
        <w:spacing w:after="0" w:line="282"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Matching Contribution Account</w:t>
      </w:r>
      <w:r>
        <w:rPr>
          <w:rFonts w:ascii="Arial" w:cs="Arial" w:eastAsia="Arial" w:hAnsi="Arial"/>
          <w:sz w:val="18"/>
          <w:szCs w:val="18"/>
          <w:color w:val="auto"/>
        </w:rPr>
        <w:t xml:space="preserve"> shall mean the account maintained to record a Participant’s interest in the Plan attributable to Matching Contributions and Additional Matching Contributions on his behalf.</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shall mean (i) an Eligible Employee under Section 3.1 and 3.2(a) or (ii) a former Eligible Employee who has an Account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Plan</w:t>
      </w:r>
      <w:r>
        <w:rPr>
          <w:rFonts w:ascii="Arial" w:cs="Arial" w:eastAsia="Arial" w:hAnsi="Arial"/>
          <w:sz w:val="16"/>
          <w:szCs w:val="16"/>
          <w:color w:val="auto"/>
        </w:rPr>
        <w:t xml:space="preserve"> shall mean the Brady Corporation Restoration Plan, as set forth in this document, as the same may be amended or restated from time to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Plan Year</w:t>
      </w:r>
      <w:r>
        <w:rPr>
          <w:rFonts w:ascii="Arial" w:cs="Arial" w:eastAsia="Arial" w:hAnsi="Arial"/>
          <w:sz w:val="18"/>
          <w:szCs w:val="18"/>
          <w:color w:val="auto"/>
        </w:rPr>
        <w:t xml:space="preserve"> shall mean the calendar year.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color w:val="auto"/>
        </w:rPr>
        <w:t>Qualified 401(k) Plan</w:t>
      </w:r>
      <w:r>
        <w:rPr>
          <w:rFonts w:ascii="Arial" w:cs="Arial" w:eastAsia="Arial" w:hAnsi="Arial"/>
          <w:sz w:val="17"/>
          <w:szCs w:val="17"/>
          <w:color w:val="auto"/>
        </w:rPr>
        <w:t xml:space="preserve"> shall mean the Brady Matched 401(k) Plan (or any successor plan thereto qualified under Code §§ 401(a) and 401(k)).</w:t>
      </w:r>
    </w:p>
    <w:p>
      <w:pPr>
        <w:spacing w:after="0" w:line="142" w:lineRule="exact"/>
        <w:rPr>
          <w:sz w:val="20"/>
          <w:szCs w:val="20"/>
          <w:color w:val="auto"/>
        </w:rPr>
      </w:pPr>
    </w:p>
    <w:p>
      <w:pPr>
        <w:ind w:left="440" w:right="120" w:hanging="431"/>
        <w:spacing w:after="0" w:line="282"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have the meaning set forth in IRS Regulation Section 1.409A-1 the requirements of which are summarized in part as follows: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044" w:right="419" w:bottom="1440" w:gutter="0" w:footer="0" w:header="0"/>
        </w:sectPr>
      </w:pPr>
    </w:p>
    <w:bookmarkStart w:id="32" w:name="page33"/>
    <w:bookmarkEnd w:id="32"/>
    <w:p>
      <w:pPr>
        <w:ind w:left="446" w:hanging="446"/>
        <w:spacing w:after="0" w:line="287" w:lineRule="auto"/>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The Participant shall have a Separation from Service with the Employer if the Participant dies, retires, or otherwise has a termination of employment with the Employer. However, for purposes of this Section 2.24,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Employer under an applicable statute or by contract. For purposes of this paragraph (a) of this Section 2.24, a leave of absence constitutes a bona fide leave of absence only if there is a reasonable expectation that the Participant will return to perform services for the Employer.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w:t>
      </w:r>
    </w:p>
    <w:p>
      <w:pPr>
        <w:spacing w:after="0" w:line="78"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Whether a termination of employment has occurred is determined based on whether the facts and circumstances indicate that the Employer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Employer if the Participant has been providing services to the Employer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 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w:t>
      </w:r>
    </w:p>
    <w:p>
      <w:pPr>
        <w:spacing w:after="0" w:line="15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33" w:name="page34"/>
    <w:bookmarkEnd w:id="33"/>
    <w:p>
      <w:pPr>
        <w:ind w:left="446"/>
        <w:spacing w:after="0" w:line="283" w:lineRule="auto"/>
        <w:rPr>
          <w:sz w:val="20"/>
          <w:szCs w:val="20"/>
          <w:color w:val="auto"/>
        </w:rPr>
      </w:pPr>
      <w:r>
        <w:rPr>
          <w:rFonts w:ascii="Arial" w:cs="Arial" w:eastAsia="Arial" w:hAnsi="Arial"/>
          <w:sz w:val="16"/>
          <w:szCs w:val="16"/>
          <w:color w:val="auto"/>
        </w:rPr>
        <w:t>preceding 36-month period. The presumption is rebuttable by demonstrating that the Employer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Employer if the Participant has been providing services to the Employer less than 36 months (or that the level of bona fide services would not be so reduced). For example, the Participant may demonstrate that the Employer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Employer reasonably anticipated that the Participant would not provide services in the future. For purposes of this paragraph (b), for periods during which the Participant is on a paid bona fide leave of absence (as defined in paragraph (a) of this Section 2.24) and has not otherwise terminated employment pursuant to paragraph (a) of this Section 2.24,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w:t>
      </w:r>
    </w:p>
    <w:p>
      <w:pPr>
        <w:spacing w:after="0" w:line="2" w:lineRule="exact"/>
        <w:rPr>
          <w:sz w:val="20"/>
          <w:szCs w:val="20"/>
          <w:color w:val="auto"/>
        </w:rPr>
      </w:pPr>
    </w:p>
    <w:p>
      <w:pPr>
        <w:ind w:left="446" w:right="260"/>
        <w:spacing w:after="0" w:line="290" w:lineRule="auto"/>
        <w:rPr>
          <w:sz w:val="20"/>
          <w:szCs w:val="20"/>
          <w:color w:val="auto"/>
        </w:rPr>
      </w:pPr>
      <w:r>
        <w:rPr>
          <w:rFonts w:ascii="Arial" w:cs="Arial" w:eastAsia="Arial" w:hAnsi="Arial"/>
          <w:sz w:val="17"/>
          <w:szCs w:val="17"/>
          <w:color w:val="auto"/>
        </w:rPr>
        <w:t>Section 2.24) and has not otherwise terminated employment pursuant to paragraph (a) of this Section 2.24, are disregarded for purposes of this paragraph (b) of this Section 2.24 (including for purposes of determining the applicable 36-month (or shorter) period).</w:t>
      </w:r>
    </w:p>
    <w:p>
      <w:pPr>
        <w:spacing w:after="0" w:line="53" w:lineRule="exact"/>
        <w:rPr>
          <w:sz w:val="20"/>
          <w:szCs w:val="20"/>
          <w:color w:val="auto"/>
        </w:rPr>
      </w:pPr>
    </w:p>
    <w:p>
      <w:pPr>
        <w:ind w:left="446" w:right="80" w:hanging="446"/>
        <w:spacing w:after="0" w:line="289" w:lineRule="auto"/>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Asset Purchase Transactions</w:t>
      </w:r>
      <w:r>
        <w:rPr>
          <w:rFonts w:ascii="Arial" w:cs="Arial" w:eastAsia="Arial" w:hAnsi="Arial"/>
          <w:sz w:val="16"/>
          <w:szCs w:val="16"/>
          <w:color w:val="auto"/>
        </w:rPr>
        <w:t>. Where as part of a sale or other disposition of assets by the Employer as seller to an unrelated service recipient (buyer), a Participant of the Employer would otherwise experience a Separation from Service with the Employer, the Employer and the buyer may retain the discretion to specify, and may specify, whether a Participant providing services to the Employer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Employer immediately before the asset purchase transaction and providing services to the buyer after and in connection with the asset purchase transaction are treated consistently (regardless of position at the Employer)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w:t>
      </w:r>
    </w:p>
    <w:p>
      <w:pPr>
        <w:spacing w:after="0" w:line="14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34" w:name="page35"/>
    <w:bookmarkEnd w:id="34"/>
    <w:p>
      <w:pPr>
        <w:ind w:left="900"/>
        <w:spacing w:after="0"/>
        <w:rPr>
          <w:sz w:val="20"/>
          <w:szCs w:val="20"/>
          <w:color w:val="auto"/>
        </w:rPr>
      </w:pPr>
      <w:r>
        <w:rPr>
          <w:rFonts w:ascii="Arial" w:cs="Arial" w:eastAsia="Arial" w:hAnsi="Arial"/>
          <w:sz w:val="18"/>
          <w:szCs w:val="18"/>
          <w:color w:val="auto"/>
        </w:rPr>
        <w:t>refer only to a transfer of substantial assets, such as a plant or division or substantially all the assets of a trade or business.</w:t>
      </w:r>
    </w:p>
    <w:p>
      <w:pPr>
        <w:spacing w:after="0" w:line="117" w:lineRule="exact"/>
        <w:rPr>
          <w:sz w:val="20"/>
          <w:szCs w:val="20"/>
          <w:color w:val="auto"/>
        </w:rPr>
      </w:pPr>
    </w:p>
    <w:p>
      <w:pPr>
        <w:ind w:left="900" w:right="4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Dual Status</w:t>
      </w:r>
      <w:r>
        <w:rPr>
          <w:rFonts w:ascii="Arial" w:cs="Arial" w:eastAsia="Arial" w:hAnsi="Arial"/>
          <w:sz w:val="16"/>
          <w:szCs w:val="16"/>
          <w:color w:val="auto"/>
        </w:rPr>
        <w:t>. If a Participant provides services both as an employee of the Employer and as an independent contractor of the Employer,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Employer and a member of the board of directors of the Employer,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b w:val="1"/>
          <w:bCs w:val="1"/>
          <w:color w:val="auto"/>
        </w:rPr>
        <w:t>Specified Employee</w:t>
      </w:r>
      <w:r>
        <w:rPr>
          <w:rFonts w:ascii="Arial" w:cs="Arial" w:eastAsia="Arial" w:hAnsi="Arial"/>
          <w:sz w:val="16"/>
          <w:szCs w:val="16"/>
          <w:color w:val="auto"/>
        </w:rPr>
        <w:t xml:space="preserve"> shall have the meaning set forth in IRS Regulation Section 1.409A-1 the requirements of which are summarized in part as follows:</w:t>
      </w:r>
    </w:p>
    <w:p>
      <w:pPr>
        <w:spacing w:after="0" w:line="144" w:lineRule="exact"/>
        <w:rPr>
          <w:sz w:val="20"/>
          <w:szCs w:val="20"/>
          <w:color w:val="auto"/>
        </w:rPr>
      </w:pPr>
    </w:p>
    <w:p>
      <w:pPr>
        <w:ind w:left="900" w:right="60" w:hanging="446"/>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“Specified Employee” means a Participant who as of the date of his separation from service is a “key employee” as defined in Code Section 416(i) (disregarding Section 416(i)(5)), i.e., an employee who at any time during the 12 month period ending on an identification date is an officer of the Employer or one of its affiliates having an annual compensation as defined in IRS Regulation Section 1.409A-1(i)(2) greater than $130,000, a 5% owner of the Employer or one of its affiliates or a 1% owner of the Employer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74" w:lineRule="exact"/>
        <w:rPr>
          <w:rFonts w:ascii="Arial" w:cs="Arial" w:eastAsia="Arial" w:hAnsi="Arial"/>
          <w:sz w:val="16"/>
          <w:szCs w:val="16"/>
          <w:color w:val="auto"/>
        </w:rPr>
      </w:pPr>
    </w:p>
    <w:p>
      <w:pPr>
        <w:ind w:left="900" w:right="4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of a public offering, merger, acquisition, spin-off, reorganization or other corporate transaction, “Specified Employees” shall be determined as provided in IRS Reg. Section 1.409A-(1)(i)(6).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left="380" w:hanging="431"/>
        <w:spacing w:after="0" w:line="290"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b w:val="1"/>
          <w:bCs w:val="1"/>
          <w:color w:val="auto"/>
        </w:rPr>
        <w:t>Unforeseeable Emergency</w:t>
      </w:r>
      <w:r>
        <w:rPr>
          <w:rFonts w:ascii="Arial" w:cs="Arial" w:eastAsia="Arial" w:hAnsi="Arial"/>
          <w:sz w:val="16"/>
          <w:szCs w:val="16"/>
          <w:color w:val="auto"/>
        </w:rPr>
        <w:t xml:space="preserve">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040" w:right="299" w:bottom="1440" w:gutter="0" w:footer="0" w:header="0"/>
        </w:sectPr>
      </w:pPr>
    </w:p>
    <w:bookmarkStart w:id="36" w:name="page37"/>
    <w:bookmarkEnd w:id="36"/>
    <w:p>
      <w:pPr>
        <w:jc w:val="center"/>
        <w:ind w:right="-19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Eligibility to Participate</w:t>
      </w:r>
    </w:p>
    <w:p>
      <w:pPr>
        <w:spacing w:after="0" w:line="135"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An Employee shall be eligible to elect deferrals and receive Employer contributions in accordance with the provisions of Article IV beginning on the date the Committee advises the Employee he is eligible because the Committee in its discretion has determined that the Employee may reasonably be anticipated to earn Compensation from the Employer in excess of the limit described in Code Section 401(a)(17).</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Continuation of Eligibility</w:t>
      </w:r>
    </w:p>
    <w:p>
      <w:pPr>
        <w:spacing w:after="0" w:line="121" w:lineRule="exact"/>
        <w:rPr>
          <w:sz w:val="20"/>
          <w:szCs w:val="20"/>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Employee shall continue to be eligible to elect deferrals and receive Employer contributions in accordance with the provisions of Article IV only for so long as he continues in employment with the Employer.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has a Separation from Service shall cease to be eligible and shall again be eligible to elect deferrals and receive Employer contributions in accordance with the provisions of Article IV only in accordance with Section 3.1.</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58" w:right="419" w:bottom="1440" w:gutter="0" w:footer="0" w:header="0"/>
        </w:sectPr>
      </w:pPr>
    </w:p>
    <w:bookmarkStart w:id="37" w:name="page38"/>
    <w:bookmarkEnd w:id="37"/>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DEFERRALS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Elective Deferrals</w:t>
      </w:r>
    </w:p>
    <w:p>
      <w:pPr>
        <w:spacing w:after="0" w:line="121" w:lineRule="exact"/>
        <w:rPr>
          <w:sz w:val="20"/>
          <w:szCs w:val="20"/>
          <w:color w:val="auto"/>
        </w:rPr>
      </w:pPr>
    </w:p>
    <w:p>
      <w:pPr>
        <w:ind w:left="900" w:right="3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Eligible Employee may elect an Elective Deferral of up to four percent (4%) of his Excess Compensation for services performed during a Plan Year by completing and filing such forms as may be required by the Employer.</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Eligible Employee’s Elective Deferral election under paragraph (a) of this Section shall apply to and reduce his Excess Compensation, i.e., the portion of his Compensation earned during a Plan Year after the date the Compensation he has earned during the Plan Year equals the limit in Code Section 401(a)(17) for such Plan Year.</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Additional Rules Governing Deferral Elections</w:t>
      </w:r>
    </w:p>
    <w:p>
      <w:pPr>
        <w:spacing w:after="0" w:line="121" w:lineRule="exact"/>
        <w:rPr>
          <w:sz w:val="20"/>
          <w:szCs w:val="20"/>
          <w:color w:val="auto"/>
        </w:rPr>
      </w:pPr>
    </w:p>
    <w:p>
      <w:pPr>
        <w:ind w:left="900" w:right="100" w:hanging="446"/>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Eligible Employee’s election under Section 4.1 shall (i) if made within the thirty (30) day period following the date he is first eligible to participate in the Plan, be effective for that portion of his Excess Compensation to be paid for services performed subsequent to the election, and</w:t>
      </w:r>
    </w:p>
    <w:p>
      <w:pPr>
        <w:ind w:left="900" w:right="620" w:hanging="1"/>
        <w:spacing w:after="0" w:line="261" w:lineRule="auto"/>
        <w:tabs>
          <w:tab w:leader="none" w:pos="11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not made within said thirty (30) day period, be effective for Excess Compensation paid for services performed during the Plan Year following the date the election is received by the Employer, or its designee.</w:t>
      </w:r>
    </w:p>
    <w:p>
      <w:pPr>
        <w:spacing w:after="0" w:line="89"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Eligible Employee’s election for a Plan Year under this Article IV shall be irrevocable after the last day upon which such election is permitted to be made for such Plan Year and shall continue in effect for subsequent Plan Years until changed or revoked pursuant to paragraph (c) below.</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Eligible Employee may change or revoke his election which would otherwise be effective for a Plan Year by completing and filing such forms as may be required by the Employer by the last day of the preceding Plan Year.</w:t>
      </w:r>
    </w:p>
    <w:p>
      <w:pPr>
        <w:spacing w:after="0" w:line="75"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paragraphs (a), (b) and (c), in the event that a Participant makes application for a hardship distribution under Section 7.3 and the Administrator determines that an Unforeseeable Emergency exists, his deferral election otherwise in effect under this Article IV and any other nonqualified deferred compensation plan of the account balance type shall immediately terminate upon such determination. To resume deferrals thereafter, a Participant must make an election satisfying the provisions of paragraph (c).</w:t>
      </w:r>
    </w:p>
    <w:p>
      <w:pPr>
        <w:spacing w:after="0" w:line="76" w:lineRule="exact"/>
        <w:rPr>
          <w:rFonts w:ascii="Arial" w:cs="Arial" w:eastAsia="Arial" w:hAnsi="Arial"/>
          <w:sz w:val="17"/>
          <w:szCs w:val="17"/>
          <w:color w:val="auto"/>
        </w:rPr>
      </w:pPr>
    </w:p>
    <w:p>
      <w:pPr>
        <w:ind w:left="900" w:right="1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paragraphs (a), (b) and (c), if an Eligible Employee receives a withdrawal of his elective contributions under the Qualified 401(k) Plan or any other 401(k) plan (i.e., a qualified cash or deferred arrangement) of the Employer (or any affiliate treated under the Code as a single employer with the Employer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38" w:name="page39"/>
    <w:bookmarkEnd w:id="38"/>
    <w:p>
      <w:pPr>
        <w:ind w:left="900"/>
        <w:spacing w:after="0" w:line="255" w:lineRule="auto"/>
        <w:rPr>
          <w:sz w:val="20"/>
          <w:szCs w:val="20"/>
          <w:color w:val="auto"/>
        </w:rPr>
      </w:pPr>
      <w:r>
        <w:rPr>
          <w:rFonts w:ascii="Arial" w:cs="Arial" w:eastAsia="Arial" w:hAnsi="Arial"/>
          <w:sz w:val="18"/>
          <w:szCs w:val="18"/>
          <w:color w:val="auto"/>
        </w:rPr>
        <w:t>for purposes of the 401(k) plan) due to financial hardship pursuant to IRS Regulation Section 1.40(k)-1(d)(3) or its successor, his deferral election under this Section 4.1 shall be revoked automatically (effective on the date such hardship withdrawal is paid). In addition, such Eligible Employee shall not be eligible to have another deferral election in effect until the first day of the Plan Year which begins after a six month suspension period that begins on the first day of the calendar month following the date the hardship withdrawal is paid. Such Eligible Employee may then resume deferrals by making an election, pursuant to the rules of paragraph (c) above, effective for any Plan Year which begins after the end of such suspension period.</w:t>
      </w:r>
    </w:p>
    <w:p>
      <w:pPr>
        <w:spacing w:after="0" w:line="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Matching Contribution</w:t>
      </w:r>
    </w:p>
    <w:p>
      <w:pPr>
        <w:spacing w:after="0" w:line="135"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An Eligible Employee shall be credited with a Matching Contribution for a Plan Year in an amount equal to the amount of the Elective Deferral made on the Eligible Employee’s behalf for the Plan Year.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Employer Contribution</w:t>
      </w:r>
    </w:p>
    <w:p>
      <w:pPr>
        <w:spacing w:after="0" w:line="135" w:lineRule="exact"/>
        <w:rPr>
          <w:sz w:val="20"/>
          <w:szCs w:val="20"/>
          <w:color w:val="auto"/>
        </w:rPr>
      </w:pPr>
    </w:p>
    <w:p>
      <w:pPr>
        <w:ind w:left="460" w:right="300"/>
        <w:spacing w:after="0" w:line="308" w:lineRule="auto"/>
        <w:rPr>
          <w:sz w:val="20"/>
          <w:szCs w:val="20"/>
          <w:color w:val="auto"/>
        </w:rPr>
      </w:pPr>
      <w:r>
        <w:rPr>
          <w:rFonts w:ascii="Arial" w:cs="Arial" w:eastAsia="Arial" w:hAnsi="Arial"/>
          <w:sz w:val="17"/>
          <w:szCs w:val="17"/>
          <w:color w:val="auto"/>
        </w:rPr>
        <w:t>An Eligible Employee shall be credited with an Employer Contribution for a Plan Year in an amount equal to 4% of the Eligible Employee’s Excess Compensation for the Plan Year; provided the Eligible Employee remains in the Employer’s employ on the last day of such Plan Year.</w:t>
      </w:r>
    </w:p>
    <w:p>
      <w:pPr>
        <w:spacing w:after="0" w:line="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Additional Matching Contribution</w:t>
      </w:r>
    </w:p>
    <w:p>
      <w:pPr>
        <w:spacing w:after="0" w:line="135" w:lineRule="exact"/>
        <w:rPr>
          <w:sz w:val="20"/>
          <w:szCs w:val="20"/>
          <w:color w:val="auto"/>
        </w:rPr>
      </w:pPr>
    </w:p>
    <w:p>
      <w:pPr>
        <w:ind w:left="460" w:right="60"/>
        <w:spacing w:after="0" w:line="276" w:lineRule="auto"/>
        <w:rPr>
          <w:sz w:val="20"/>
          <w:szCs w:val="20"/>
          <w:color w:val="auto"/>
        </w:rPr>
      </w:pPr>
      <w:r>
        <w:rPr>
          <w:rFonts w:ascii="Arial" w:cs="Arial" w:eastAsia="Arial" w:hAnsi="Arial"/>
          <w:sz w:val="17"/>
          <w:szCs w:val="17"/>
          <w:color w:val="auto"/>
        </w:rPr>
        <w:t>There shall be credited to the Participant’s Matching Contribution Account for a Plan Year an amount in addition to amounts credited under Section 4.3 for the same year. The amount credited under this Section 4.5 shall be equal to .04(X-(Y-Z)) where X is the limit in Code Section 401(a)(17) for such Plan Year, Y is the Participant’s Compensation for the Plan Year as defined in Section 2.9 and Z is the amount of elective deferrals for the Plan Year under all nonqualified deferred compensation plans and agreements (including this Plan) of the Employer covering the Participant. No amount shall be credited under this Section if X does not exceed the remainder of Y minus Z.</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Additional Employer Contribution</w:t>
      </w:r>
    </w:p>
    <w:p>
      <w:pPr>
        <w:spacing w:after="0" w:line="135"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As of the last day of a Plan Year, there shall be credited to the Participant’s Employer Contribution Account an amount in addition to amounts credited under Section 4.4 for the same year. The amount credited under this Section 4.6 shall be equal to .04(X-(Y-Z)) where X is the limit in Code</w:t>
      </w:r>
    </w:p>
    <w:p>
      <w:pPr>
        <w:ind w:left="460" w:right="220"/>
        <w:spacing w:after="0" w:line="277" w:lineRule="auto"/>
        <w:rPr>
          <w:sz w:val="20"/>
          <w:szCs w:val="20"/>
          <w:color w:val="auto"/>
        </w:rPr>
      </w:pPr>
      <w:r>
        <w:rPr>
          <w:rFonts w:ascii="Arial" w:cs="Arial" w:eastAsia="Arial" w:hAnsi="Arial"/>
          <w:sz w:val="17"/>
          <w:szCs w:val="17"/>
          <w:color w:val="auto"/>
        </w:rPr>
        <w:t>Section 401(a)(17) for such Plan Year, Y is the Participant’s Compensation for the Plan Year as defined in Section 2.9 and Z is the amount of elective deferrals for the Plan Year under all nonqualified deferred compensation plans and agreements (other than this Plan) of the Employer covering the Participant. No amount shall be credited under this Section if X does not exceed the remainder of Y minus Z.</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ACCOUNTS AND CREDITS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Credits to Accounts</w:t>
      </w:r>
    </w:p>
    <w:p>
      <w:pPr>
        <w:spacing w:after="0" w:line="121" w:lineRule="exact"/>
        <w:rPr>
          <w:sz w:val="20"/>
          <w:szCs w:val="20"/>
          <w:color w:val="auto"/>
        </w:rPr>
      </w:pPr>
    </w:p>
    <w:p>
      <w:pPr>
        <w:ind w:left="900" w:right="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amount equal to the amount by which a Participant’s Compensation has been reduced pursuant to his deferral election under Section 4.1 shall be credited to his Elective Deferral Account.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Matching Contributions and Additional Matching Contributions on a Participant’s behalf shall be credited to his Matching Contribution Account.</w:t>
      </w:r>
    </w:p>
    <w:p>
      <w:pPr>
        <w:spacing w:after="0" w:line="153" w:lineRule="exact"/>
        <w:rPr>
          <w:rFonts w:ascii="Arial" w:cs="Arial" w:eastAsia="Arial" w:hAnsi="Arial"/>
          <w:sz w:val="16"/>
          <w:szCs w:val="16"/>
          <w:color w:val="auto"/>
        </w:rPr>
      </w:pPr>
    </w:p>
    <w:p>
      <w:pPr>
        <w:ind w:left="900" w:right="6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Employer Contributions and Additional Employer Contributions on a Participant’s behalf shall be credited to his Employer Contribution Account.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Said credits shall be made at times established by the Committee but no later than 60 days after the last day of the Plan Year to which they relate.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Account shall also be credited or charged with deemed earnings and losses as if it were invested in accordance with Section 5.3.</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No Funding</w:t>
      </w:r>
    </w:p>
    <w:p>
      <w:pPr>
        <w:spacing w:after="0" w:line="121" w:lineRule="exact"/>
        <w:rPr>
          <w:sz w:val="20"/>
          <w:szCs w:val="20"/>
          <w:color w:val="auto"/>
        </w:rPr>
      </w:pPr>
    </w:p>
    <w:p>
      <w:pPr>
        <w:ind w:left="900" w:right="10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of any individual to receive payment under the provisions of this Plan shall be an unsecured claim against the general assets of the Employer, and no provisions contained in this Plan, nor any action taken pursuant to this Plan, shall be construed to give any individual at any time a security interest in any asset of the Employer, of any affiliated company, or of the stockholders of the Employer. The liabilities of the Employer to any individual pursuant to this Plan shall be those of a debtor pursuant to such contractual obligations as are created by this Plan and, to the extent any person acquires a right to receive payment from the Employer under this Plan, such right shall be no greater than the right of any unsecured general creditor of the Employer.</w:t>
      </w:r>
    </w:p>
    <w:p>
      <w:pPr>
        <w:spacing w:after="0" w:line="98"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Employer may establish a grantor trust (but shall not be required to do so) to which shall be contributed (subject to the claims of the general creditors of the Employer) the amounts credited to the Accounts. If a grantor trust is so established, except as specifically provided otherwise by the terms of the trust agreement for the trust, payment by the trust of the amounts due to a Participant or his Beneficiary under the Plan shall be considered a payment by the Employer for purposes of the Plan.</w:t>
      </w:r>
    </w:p>
    <w:p>
      <w:pPr>
        <w:spacing w:after="0" w:line="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Deemed Investment of Accounts</w:t>
      </w:r>
    </w:p>
    <w:p>
      <w:pPr>
        <w:spacing w:after="0" w:line="121" w:lineRule="exact"/>
        <w:rPr>
          <w:sz w:val="20"/>
          <w:szCs w:val="20"/>
          <w:color w:val="auto"/>
        </w:rPr>
      </w:pPr>
    </w:p>
    <w:p>
      <w:pPr>
        <w:ind w:left="900" w:right="1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shall select one or more investment funds for the deemed investment of Accounts. However, in no event shall the Employer be required to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40" w:name="page41"/>
    <w:bookmarkEnd w:id="40"/>
    <w:p>
      <w:pPr>
        <w:ind w:left="900" w:right="280"/>
        <w:spacing w:after="0" w:line="277" w:lineRule="auto"/>
        <w:rPr>
          <w:sz w:val="20"/>
          <w:szCs w:val="20"/>
          <w:color w:val="auto"/>
        </w:rPr>
      </w:pPr>
      <w:r>
        <w:rPr>
          <w:rFonts w:ascii="Arial" w:cs="Arial" w:eastAsia="Arial" w:hAnsi="Arial"/>
          <w:sz w:val="18"/>
          <w:szCs w:val="18"/>
          <w:color w:val="auto"/>
        </w:rPr>
        <w:t>make any such investment in the investment funds, and to the extent such investments are made, such investments shall remain an asset of the Employer subject to the claims of its general creditors.</w:t>
      </w:r>
    </w:p>
    <w:p>
      <w:pPr>
        <w:spacing w:after="0" w:line="62" w:lineRule="exact"/>
        <w:rPr>
          <w:sz w:val="20"/>
          <w:szCs w:val="20"/>
          <w:color w:val="auto"/>
        </w:rPr>
      </w:pPr>
    </w:p>
    <w:p>
      <w:pPr>
        <w:ind w:left="900" w:right="100" w:hanging="446"/>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the date credited to the respective Account, a Participant’s Elective Deferrals, Matching Contributions, Additional Matching Contributions, Employer Contributions and Additional Employer Contributions shall be deemed to be invested in one or more of the investment funds designated by the Participant for such deemed investment. Once made, the Participant’s investment designation shall continue in effect for all future Elective Deferrals, Matching Contributions, Additional Matching Contributions, Employer Contributions and Additional Employer Contributions until changed by the Participant. Any such change may be elected by the Participant at the times established by the Committee, which shall be no less frequently than quarterly, and shall be effective only for Elective Deferrals, Matching Contributions, Additional Matching Contributions, Employer Contributions and Additional Employer Contributions credited from and after its effective date.</w:t>
      </w:r>
    </w:p>
    <w:p>
      <w:pPr>
        <w:spacing w:after="0" w:line="72"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Participant may elect to reallocate the balance of his Accounts deemed to be invested in the investment funds under this Section at the times established by the Committee, which shall be no less frequently quarterly.</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Committee. The Committee may prescribe uniform percentages for such elections and designations.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distribution of a Participant’s Account which is not a distribution of the entire account shall be taken pro rata from each of the investment funds in which the account is deemed to be invested.</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Reports to Participants</w:t>
      </w:r>
    </w:p>
    <w:p>
      <w:pPr>
        <w:spacing w:after="0" w:line="13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Employer shall provide annual reports to each Participant showing (a) the value of the Account as of the most recent December 31st (b) the amount of contributions made by the Employer for the year ending on such date and (c) the amount of any investment earnings or loss credited or debited to the Participant’s Account.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left="474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Participant shall be fully vested and nonforfeitable at all times in all of his Accounts herein.</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79"/>
          </w:cols>
          <w:pgMar w:left="680" w:top="1256" w:right="1440"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MANNER AND TIMING OF DISTRIBUTION</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Payment of Benefits</w:t>
      </w:r>
    </w:p>
    <w:p>
      <w:pPr>
        <w:spacing w:after="0" w:line="121" w:lineRule="exact"/>
        <w:rPr>
          <w:sz w:val="20"/>
          <w:szCs w:val="20"/>
          <w:color w:val="auto"/>
        </w:rPr>
      </w:pPr>
    </w:p>
    <w:p>
      <w:pPr>
        <w:ind w:left="900" w:right="4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7.2:</w:t>
      </w:r>
    </w:p>
    <w:p>
      <w:pPr>
        <w:spacing w:after="0" w:line="73" w:lineRule="exact"/>
        <w:rPr>
          <w:rFonts w:ascii="Arial" w:cs="Arial" w:eastAsia="Arial" w:hAnsi="Arial"/>
          <w:sz w:val="18"/>
          <w:szCs w:val="18"/>
          <w:color w:val="auto"/>
        </w:rPr>
      </w:pPr>
    </w:p>
    <w:p>
      <w:pPr>
        <w:ind w:left="1360" w:right="560" w:hanging="447"/>
        <w:spacing w:after="0" w:line="277"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first day of the second month following the Participant’s Separation from Service; or</w:t>
      </w:r>
    </w:p>
    <w:p>
      <w:pPr>
        <w:spacing w:after="0" w:line="75" w:lineRule="exact"/>
        <w:rPr>
          <w:rFonts w:ascii="Arial" w:cs="Arial" w:eastAsia="Arial" w:hAnsi="Arial"/>
          <w:sz w:val="18"/>
          <w:szCs w:val="18"/>
          <w:color w:val="auto"/>
        </w:rPr>
      </w:pPr>
    </w:p>
    <w:p>
      <w:pPr>
        <w:ind w:left="1360" w:right="60" w:hanging="447"/>
        <w:spacing w:after="0" w:line="255"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Installments</w:t>
      </w:r>
      <w:r>
        <w:rPr>
          <w:rFonts w:ascii="Arial" w:cs="Arial" w:eastAsia="Arial" w:hAnsi="Arial"/>
          <w:sz w:val="18"/>
          <w:szCs w:val="18"/>
          <w:color w:val="auto"/>
        </w:rPr>
        <w:t>. This subparagraph (ii) shall only be applicable after April 30, 2006. The value of the balance of the Account shall be paid in annual installments with the first of such installment to be paid on the first day of the second month following the Participant’s Separation from Service and with subsequent annual installments to be paid on an anniversary of the payment of the first installment. Annual installments shall be paid in one of the alternative methods specified below over the number of years selected by the Participant in the payment election made pursuant to Section 7.2, but not to exceed 10. The earnings (or losses) provided for in Section 5.1(e) shall continue to accrue on the balance remaining in the Account during the period of installment payments. The alternative methods available are as follows:</w:t>
      </w:r>
    </w:p>
    <w:p>
      <w:pPr>
        <w:spacing w:after="0" w:line="81" w:lineRule="exact"/>
        <w:rPr>
          <w:rFonts w:ascii="Arial" w:cs="Arial" w:eastAsia="Arial" w:hAnsi="Arial"/>
          <w:sz w:val="18"/>
          <w:szCs w:val="18"/>
          <w:color w:val="auto"/>
        </w:rPr>
      </w:pPr>
    </w:p>
    <w:p>
      <w:pPr>
        <w:ind w:left="1380" w:firstLine="447"/>
        <w:spacing w:after="0" w:line="259" w:lineRule="auto"/>
        <w:tabs>
          <w:tab w:leader="none" w:pos="2125"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w:t>
      </w:r>
    </w:p>
    <w:p>
      <w:pPr>
        <w:spacing w:after="0" w:line="78" w:lineRule="exact"/>
        <w:rPr>
          <w:rFonts w:ascii="Arial" w:cs="Arial" w:eastAsia="Arial" w:hAnsi="Arial"/>
          <w:sz w:val="18"/>
          <w:szCs w:val="18"/>
          <w:color w:val="auto"/>
        </w:rPr>
      </w:pPr>
    </w:p>
    <w:p>
      <w:pPr>
        <w:ind w:left="1380" w:right="60" w:firstLine="447"/>
        <w:spacing w:after="0" w:line="276" w:lineRule="auto"/>
        <w:tabs>
          <w:tab w:leader="none" w:pos="2115"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Percentage or Fixed Dollar Method</w:t>
      </w:r>
      <w:r>
        <w:rPr>
          <w:rFonts w:ascii="Arial" w:cs="Arial" w:eastAsia="Arial" w:hAnsi="Arial"/>
          <w:sz w:val="17"/>
          <w:szCs w:val="17"/>
          <w:color w:val="auto"/>
        </w:rPr>
        <w:t>. The annual installment shall be calculated by multiplying the most recent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Executive,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43" w:name="page44"/>
    <w:bookmarkEnd w:id="43"/>
    <w:p>
      <w:pPr>
        <w:ind w:left="1380"/>
        <w:spacing w:after="0"/>
        <w:rPr>
          <w:sz w:val="20"/>
          <w:szCs w:val="20"/>
          <w:color w:val="auto"/>
        </w:rPr>
      </w:pPr>
      <w:r>
        <w:rPr>
          <w:rFonts w:ascii="Arial" w:cs="Arial" w:eastAsia="Arial" w:hAnsi="Arial"/>
          <w:sz w:val="18"/>
          <w:szCs w:val="18"/>
          <w:color w:val="auto"/>
        </w:rPr>
        <w:t>the final installment payment will include 100% of the then remaining Account value.</w:t>
      </w:r>
    </w:p>
    <w:p>
      <w:pPr>
        <w:spacing w:after="0" w:line="117" w:lineRule="exact"/>
        <w:rPr>
          <w:sz w:val="20"/>
          <w:szCs w:val="20"/>
          <w:color w:val="auto"/>
        </w:rPr>
      </w:pPr>
    </w:p>
    <w:p>
      <w:pPr>
        <w:ind w:left="900" w:hanging="446"/>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57"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is unable to engage in any substantial gainful activity by reason of any medically determinable or physical or mental impairment which can be expected to result in death or can be expected to last for a continuous period of not less than 12 months, or</w:t>
      </w:r>
    </w:p>
    <w:p>
      <w:pPr>
        <w:spacing w:after="0" w:line="51" w:lineRule="exact"/>
        <w:rPr>
          <w:rFonts w:ascii="Arial" w:cs="Arial" w:eastAsia="Arial" w:hAnsi="Arial"/>
          <w:sz w:val="17"/>
          <w:szCs w:val="17"/>
          <w:color w:val="auto"/>
        </w:rPr>
      </w:pPr>
    </w:p>
    <w:p>
      <w:pPr>
        <w:ind w:left="1360" w:right="140" w:hanging="447"/>
        <w:spacing w:after="0" w:line="312"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Employer or one of its affiliates in which the Participant is covered.</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Payment Election</w:t>
      </w:r>
    </w:p>
    <w:p>
      <w:pPr>
        <w:spacing w:after="0" w:line="135"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An individual who first becomes a Participant at the beginning of a Plan Year shall, prior to his date of participation, complete a payment election form specifying the form of payment applicable to such Participant’s Account under the Plan. Absent an actual election by such Participant by the effective date of participation, the Participant shall be deemed to have elected the five (5) annual installment payment form. An individual who first becomes a Participant other than on the first day of a Plan Year shall, no later than 30 days after the effective date of participation, complete a payment election form specifying the form of payment applicable to such Participant’s Account. In the event such a Participant does not make an actual election within such 30 day period, the Participant shall be deemed to have elected the five (5) annual installment payment form; provided, however, that if such Participant is already a participant in any other nonqualified plan or plans sponsored by the Employer of the account balance type, the most recent payment election prior to the date he became a Participant in this Plan with respect to any one of those plans shall be the payment election form deemed elected under this Plan regardless of whether the individual elects a different payment election form during that initial 30 day period. Elections shall be made on a “payment election form” – the form established from time to time by the Committee which a Participant completes, signs and returns to the Committee to make an election under the Plan. To the extent authorized by the Committee, such form may be provided electronically and, in such case, need not be signed by the Participant. A Participant may change the form of payment by completing and filing a new payment election form with the Committee, and the payment election form on file with the Committee as of the date of the Participant’s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left="460"/>
        <w:spacing w:after="0" w:line="287" w:lineRule="auto"/>
        <w:rPr>
          <w:sz w:val="20"/>
          <w:szCs w:val="20"/>
          <w:color w:val="auto"/>
        </w:rPr>
      </w:pPr>
      <w:r>
        <w:rPr>
          <w:rFonts w:ascii="Arial" w:cs="Arial" w:eastAsia="Arial" w:hAnsi="Arial"/>
          <w:sz w:val="16"/>
          <w:szCs w:val="16"/>
          <w:color w:val="auto"/>
        </w:rPr>
        <w:t>Separation from Service shall be controlling. Notwithstanding the foregoing, a payment election form changing the Participant’s form of payment shall not be effective if the Participant has a Separation from Service within twelve months after the date on which the election change is filed with the Committee. Any change in payment method must have the effect of delaying the commencement of payments to a date which is at least five (5) years following the initially scheduled commencement date of payment previously in effect. For purposes of compliance with Code Section 409A, a series of installment payments is designated as a single payment rather than a right to a series of separate payments; therefore, a Participant who has elected (or is deemed to have elected) any option available under Section 7.1(a)(i) or (ii) 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has the same meaning as in Section 7.1(b). In the event that the Participant’s new payment election would not be effective under the foregoing rules, the payment election previously in effect shall be controlling.</w:t>
      </w:r>
    </w:p>
    <w:p>
      <w:pPr>
        <w:spacing w:after="0" w:line="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Financial Hardship</w:t>
      </w:r>
    </w:p>
    <w:p>
      <w:pPr>
        <w:spacing w:after="0" w:line="135"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Committee’s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Article IV and any other nonqualified deferred compensation plan of the account balance type sponsored by the Employer.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Article IV and any other nonqualified deferred compensation plan of the account balance type sponsored by the Employer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Delayed Distribution</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5" w:name="page46"/>
    <w:bookmarkEnd w:id="45"/>
    <w:p>
      <w:pPr>
        <w:ind w:left="900" w:hanging="446"/>
        <w:spacing w:after="0" w:line="27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payment otherwise required to be made pursuant to the provisions of this Article VII shall be delayed if the Employer reasonably anticipates that the Employer’s deduction with respect to such payment would be limited or eliminated by application of Code Section 162(m); provided, however that such payment shall be made on the earliest date on which the Employer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83"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if the Employer reasonably determines that the making of the payment will jeopardize the ability of the Employer to continue as a going concern; provided, however, that payments shall be made on the earliest date on which the Employer reasonably determines that the making of the payment will not jeopardize the ability of the Employer to continue as a going concern.</w:t>
      </w:r>
    </w:p>
    <w:p>
      <w:pPr>
        <w:spacing w:after="0" w:line="92"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if the Employer reasonably anticipates that the making of the payment will violate federal securities laws or other applicable law; provided, however, that payments shall nevertheless be made on the earliest date on which the Employer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93"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upon such other events and conditions as the Internal Revenue Service may prescribe in generally applicable guidance published in the Internal Revenue Bulletin.</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Inclusion in Income Under Section 409A</w:t>
      </w:r>
    </w:p>
    <w:p>
      <w:pPr>
        <w:spacing w:after="0" w:line="13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Notwithstanding any other provision of this Article VII,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w:t>
      </w:r>
    </w:p>
    <w:p>
      <w:pPr>
        <w:spacing w:after="0" w:line="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Domestic Relations Order</w:t>
      </w:r>
    </w:p>
    <w:p>
      <w:pPr>
        <w:spacing w:after="0" w:line="135"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Notwithstanding any other provision of this Article VII, payments shall be made from the Account of a Participant in this Plan to such individual or individuals (other than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t>Participant) and at such times as are necessary to comply with a domestic relations order (as defined in Code Section 414(p)(1)(B)).</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De Minimis Amounts</w:t>
      </w:r>
    </w:p>
    <w:p>
      <w:pPr>
        <w:spacing w:after="0" w:line="13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Notwithstanding any other provision of this Article VII hereof,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IRS Regulations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OPERATION AND ADMINISTRATION</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Administrator</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be the plan administrator and shall be responsible for and perform the duties imposed on a plan administrator.</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Committee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Committee shall have the power and duty to administer the Plan in accordance with its terms, including, but not limited to, the following:</w:t>
      </w:r>
    </w:p>
    <w:p>
      <w:pPr>
        <w:spacing w:after="0" w:line="12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may deem necessary or desirable for the efficient administration of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interpret the Plan, including the right to remedy possible ambiguities, inconsistencies or omissions;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decide all questions related to participation in, and payment of amounts under, the Plan, including all factual questions related thereto;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maintain all necessary records for the administration of the Plan.</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Authority to Act</w:t>
      </w:r>
    </w:p>
    <w:p>
      <w:pPr>
        <w:spacing w:after="0" w:line="13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Brady Corporation or the Committee may authorize one or more of Brady Corporation’s employees, members, representatives or agents, as applicable, to execute on its behalf instructions or directions to any interested party, and any such interested party may rely thereupon and the information contained therein.</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Information from Participants</w:t>
      </w:r>
    </w:p>
    <w:p>
      <w:pPr>
        <w:spacing w:after="0" w:line="135" w:lineRule="exact"/>
        <w:rPr>
          <w:sz w:val="20"/>
          <w:szCs w:val="20"/>
          <w:color w:val="auto"/>
        </w:rPr>
      </w:pPr>
    </w:p>
    <w:p>
      <w:pPr>
        <w:ind w:left="460" w:right="800"/>
        <w:spacing w:after="0" w:line="342" w:lineRule="auto"/>
        <w:rPr>
          <w:sz w:val="20"/>
          <w:szCs w:val="20"/>
          <w:color w:val="auto"/>
        </w:rPr>
      </w:pPr>
      <w:r>
        <w:rPr>
          <w:rFonts w:ascii="Arial" w:cs="Arial" w:eastAsia="Arial" w:hAnsi="Arial"/>
          <w:sz w:val="16"/>
          <w:szCs w:val="16"/>
          <w:color w:val="auto"/>
        </w:rPr>
        <w:t>Each Participant and Beneficiary shall furnish the Committee in the form prescribed by it and at its request, such personal data, affidavits, authorizations to obtain information, or other information as the Committee deems necessary or desirable for the administration of the Plan.</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Committee Discretion</w:t>
      </w:r>
    </w:p>
    <w:p>
      <w:pPr>
        <w:spacing w:after="0" w:line="13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 xml:space="preserve">The Committee has full and complete discretionary authority to determine eligibility for benefits, to construe the terms of the Plan and to decide any matter presented through the claims review procedure. Any final determination by the Committee (including claims decisions made pursuant to Article IX)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6"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t>capricious upon the evidence considered by the Committee at the time of such determination.</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Committee Members’ Conflict of Interest</w:t>
      </w:r>
    </w:p>
    <w:p>
      <w:pPr>
        <w:spacing w:after="0" w:line="135"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A member of the Committee who is covered hereunder may not vote or decide upon any matter relating solely to himself or vote in any case in which his individual right to any benefit under the Plan is particularly involved. Decisions shall be made by remaining Committee or Board members even if there is no quorum under normal Committee or Board rules.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Governing Law</w:t>
      </w:r>
    </w:p>
    <w:p>
      <w:pPr>
        <w:spacing w:after="0" w:line="13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This Plan shall be construed in accordance with the laws of the State of Wisconsin to the extent not preempted by the provisions of the Employee Retirement Income Security Act of 1974, as amended, or other federal law.</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4"/>
          <w:szCs w:val="14"/>
          <w:b w:val="1"/>
          <w:bCs w:val="1"/>
          <w:color w:val="auto"/>
        </w:rPr>
        <w:t>Expenses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expenses and costs incurred in connection with the administration and operation of the Plan shall be borne by the Employer and/or the Trust.</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Minor or Incompetent Payees</w:t>
      </w:r>
    </w:p>
    <w:p>
      <w:pPr>
        <w:spacing w:after="0" w:line="135" w:lineRule="exact"/>
        <w:rPr>
          <w:sz w:val="20"/>
          <w:szCs w:val="20"/>
          <w:color w:val="auto"/>
        </w:rPr>
      </w:pPr>
    </w:p>
    <w:p>
      <w:pPr>
        <w:jc w:val="both"/>
        <w:ind w:left="460" w:right="40"/>
        <w:spacing w:after="0" w:line="286" w:lineRule="auto"/>
        <w:rPr>
          <w:sz w:val="20"/>
          <w:szCs w:val="20"/>
          <w:color w:val="auto"/>
        </w:rPr>
      </w:pPr>
      <w:r>
        <w:rPr>
          <w:rFonts w:ascii="Arial" w:cs="Arial" w:eastAsia="Arial" w:hAnsi="Arial"/>
          <w:sz w:val="17"/>
          <w:szCs w:val="17"/>
          <w:color w:val="auto"/>
        </w:rPr>
        <w:t>If a person to whom a benefit is payable is a minor or is otherwise incompetent by reason of a physical or mental disability, the Committee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Withholding</w:t>
      </w:r>
    </w:p>
    <w:p>
      <w:pPr>
        <w:spacing w:after="0" w:line="135"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The Employer shall comply with all applicable tax and governmental withholding requirements. To the extent required by law, the Employer shall withhold any taxes required to be withheld by the federal or any state or local government from payments made hereunder or from any other amounts paid to a Participant by the Employer. If FICA taxes must be withheld in connection with amounts credited hereunder before payments are otherwise due hereunder and if there are no other wages from which to withhold them, the Employer shall pay such FICA taxes generated by such payment (and taxes under Code Section 3401 triggered thereby and additional taxes under Section 3401 attributable to pyramiding of Section 3401 wages and taxes) but no more and the Participant’s Account hereunder shall be reduced by an amount equal to the payments made by the Employer.</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49" w:name="page50"/>
    <w:bookmarkEnd w:id="49"/>
    <w:p>
      <w:pPr>
        <w:spacing w:after="0"/>
        <w:tabs>
          <w:tab w:leader="none" w:pos="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color w:val="auto"/>
        </w:rPr>
        <w:t>Indemnification</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Except as otherwise provided by law, neither the Board nor the Committee nor any individual member of the Board or the Committee, nor the Employer, nor any officer, shareholder or employee of the Employer shall be liable for any error of judgment, action or failure to act hereunder or for any good faith exercise of discretion, excepting only liability for gross negligence or willful misconduct. Such individuals and entities shall be indemnified and held harmless by the Employer against any and all claims, damages, liabilities, costs and expenses (including attorneys’ fees) arising by reason of any good faith error of omission or commission with respect to any responsibility, duty or action hereunder. Nothing herein contained shall preclude the Employer from purchasing insurance to cover potential liability of one or more persons who serve in an administrative capacity with respect to the Plan.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Claims</w:t>
      </w:r>
    </w:p>
    <w:p>
      <w:pPr>
        <w:spacing w:after="0" w:line="135"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Committee or its designee. The Committee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6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Review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Claimant is entitled to request a review of any denial of his claim. The request for review must be submitted in writing to the Committee within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Committee. The Committee shall fully and fairly review the matter and shall consider all information submitted in the review request, without regard to whether or not such information was submitted or considered in the initial claim determination. The Committee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Committee’s decision shall include specific reasons for the decision, including references to the particular Plan provisions upon which the decision is based, notification that the Claimant can receive or review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51" w:name="page52"/>
    <w:bookmarkEnd w:id="51"/>
    <w:p>
      <w:pPr>
        <w:ind w:left="460" w:right="120"/>
        <w:spacing w:after="0" w:line="277" w:lineRule="auto"/>
        <w:rPr>
          <w:sz w:val="20"/>
          <w:szCs w:val="20"/>
          <w:color w:val="auto"/>
        </w:rPr>
      </w:pPr>
      <w:r>
        <w:rPr>
          <w:rFonts w:ascii="Arial" w:cs="Arial" w:eastAsia="Arial" w:hAnsi="Arial"/>
          <w:sz w:val="18"/>
          <w:szCs w:val="18"/>
          <w:color w:val="auto"/>
        </w:rPr>
        <w:t>copies of all documents, records and information relevant to the claim, and information as to the Claimant’s right to file suit under Section 502(a) of ERISA.</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Disability</w:t>
      </w:r>
    </w:p>
    <w:p>
      <w:pPr>
        <w:spacing w:after="0" w:line="135"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If a determination of disability for purposes of Section 7.1(b) or 7.2 becomes necessary and if such determination is considered to be with respect to a claim for benefits based on disability for purposes of 29 CFR Section 2560.503-1, then the Committee shall adopt and administer a special procedure for considering such disability claims meeting the requirements of 29 CFR Section 2560.503-1 for disability benefit claims.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Brady Corporation (through its Board of Directors or authorized officers or employees and/or the Committee) reserves the right to alter or amend the Plan, or any part thereof, in such manner as it may determine, at any time and for any reason. Further, the Board of Directors of Brady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Brady Corporation may prospectively change the manner in which earnings are credited or discontinue the crediting of earnings and, further, Brady Corporation may make any amendment it deems necessary or desirable for purposes of compliance with the requirements of Code Section 409A and regulations thereunder.</w:t>
      </w:r>
    </w:p>
    <w:p>
      <w:pPr>
        <w:spacing w:after="0" w:line="57"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VII of the Plan. If the Employer terminates the Plan and if the termination is of the type described in regulations issued by the Internal Revenue Service pursuant to Code Section 409A, then the Employer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VII of the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PROVISIONS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Headings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headings of the Plan have been inserted for convenience of reference and shall be ignored in the construction of the provisions herein.</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No Contract of Employment</w:t>
      </w:r>
    </w:p>
    <w:p>
      <w:pPr>
        <w:spacing w:after="0" w:line="135"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existence of the Plan shall not create or change any contract, express or implied, between the Employer and its employees and shall not affect the Employer’s right to take any action with respect to its employees.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Rights of Participants and Beneficiaries</w:t>
      </w:r>
    </w:p>
    <w:p>
      <w:pPr>
        <w:spacing w:after="0" w:line="135"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The interest and rights of a Participant and Beneficiary under the Plan shall be those of a general unsecured creditor of the Employer, and with respect to the creditors of the Employer, no Participant or Beneficiary shall have any preferred claims on, or any beneficial ownership in, the assets of the Employer, including any assets in which the Employer may invest to aid in meeting its obligations under the Plan.</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Nonalienation of Benefits</w:t>
      </w:r>
    </w:p>
    <w:p>
      <w:pPr>
        <w:spacing w:after="0" w:line="135"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All benefits payable hereunder are for the sole use and benefit of the Participants and their Beneficiaries and, to the extent permitted by law, shall be free, clear and discharged of and from, and are not to be in any way liable for, debts, contracts or agreements, now contracted or which may hereafter be contracted and from all claims and liabilities now or hereafter incurred by any Participant or Beneficiary covered by this Plan. No Participant or Beneficiary covered by this Plan shall have the right to anticipate, surrender, encumber, alienate or assign, whether voluntarily or involuntarily, any of the benefits to become due hereunder unto any person or person upon any terms whatsoever, and any attempt to do so shall be void.</w:t>
      </w:r>
    </w:p>
    <w:p>
      <w:pPr>
        <w:spacing w:after="0" w:line="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Tax Treatment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commitment or guarantee with respect to the tax treatment to be accorded to a Participant or Beneficiary under the Plan.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color w:val="auto"/>
        </w:rPr>
        <w:t>Other Plans and Agreements</w:t>
      </w:r>
    </w:p>
    <w:p>
      <w:pPr>
        <w:spacing w:after="0" w:line="121" w:lineRule="exact"/>
        <w:rPr>
          <w:sz w:val="20"/>
          <w:szCs w:val="20"/>
          <w:color w:val="auto"/>
        </w:rPr>
      </w:pPr>
    </w:p>
    <w:p>
      <w:pPr>
        <w:ind w:left="900" w:right="34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Participation in the Plan shall not affect a Participant’s rights to participate in and receive benefits under any other plans of the Employer, nor shall it affect his rights under any other agreement entered into with the Employer, unless explicitly provided otherwise by such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4" w:name="page55"/>
    <w:bookmarkEnd w:id="54"/>
    <w:p>
      <w:pPr>
        <w:jc w:val="both"/>
        <w:ind w:left="900" w:right="2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amount credited under or paid pursuant to the Plan shall not be treated as wages, salary or any other type of compensation or otherwise taken into account in the determination of the Participant’s benefits under any other plans of the Employer, unless explicitly provided otherwise by such plan.</w:t>
      </w:r>
    </w:p>
    <w:p>
      <w:pPr>
        <w:spacing w:after="0" w:line="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color w:val="auto"/>
        </w:rPr>
        <w:t>Number and Gender</w:t>
      </w:r>
    </w:p>
    <w:p>
      <w:pPr>
        <w:spacing w:after="0" w:line="135"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The use of the singular shall be interpreted to include the plural and the plural the singular, as the context shall require. The use of the masculine, feminine or neuter shall be interpreted to include the masculine, feminine or neuter, as the context shall require.</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Plan Provisions Controlling</w:t>
      </w:r>
    </w:p>
    <w:p>
      <w:pPr>
        <w:spacing w:after="0" w:line="135"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In the event of any conflict between the provisions of the Plan and the provisions of a summary or description of the Plan or the terms of any agreement or instrument related to the Plan, the provisions of the Plan shall be controlling.</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Severability</w:t>
      </w:r>
    </w:p>
    <w:p>
      <w:pPr>
        <w:spacing w:after="0" w:line="135"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If any provisions of the Plan shall be held illegal or invalid for any reason, such illegality or invalidity shall not affect the remaining parts of the Plan, but this Plan shall be construed and enforced as if the illegal and invalid provisions had never been included 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Evidence Conclusive</w:t>
      </w:r>
    </w:p>
    <w:p>
      <w:pPr>
        <w:spacing w:after="0" w:line="135"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Employer, the Committee and any person or persons involved in the administration of the Plan shall be entitled to rely upon any certification, statement, or representation made or evidence furnished by any person with respect to any facts required to be determined under any of the provisions of the Plan, and shall not be liable on account of the payment of any monies or the doing of any act or failure to act in reliance thereon. Any such certification, statement, representation, or evidence, upon being duly made or furnished, shall be conclusively binding upon the person furnishing it but not upon the Employer, the Committee or any other person involved in the administration of the Plan. Nothing herein contained shall be construed to prevent any of such parties from contesting any such certification, statement, representation, or evidence or to relieve any person from the duty of submitting satisfactory proof of any fact.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Status of Plan Under ERISA</w:t>
      </w:r>
    </w:p>
    <w:p>
      <w:pPr>
        <w:spacing w:after="0" w:line="135"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The Plan is intended to be an unfunded plan maintained by an Employer primarily for the purpose of providing deferred compensation for a select group of management or highly compensated employees, as described in Section 201(2), Section 301(a)(3), Section 401(a)(1) and Section 4021(b)(6) of the Employee Retirement Income Security Act of 1974, as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Name and Address Changes</w:t>
      </w:r>
    </w:p>
    <w:p>
      <w:pPr>
        <w:spacing w:after="0" w:line="135"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Each Participant shall keep his name and address on file with the Employer and shall promptly notify the Employer of any changes in his name or address. All notices required or contemplated by this Plan shall be deemed to have been given to a Participant if mailed with adequate postage prepaid thereon addressed to him at his last address on file with the Employer. If any check in payment of a benefit hereunder (which was mailed to the last address of the payee as shown on the Employer’s records) is returned unclaimed, further payments shall be discontinued unless evidence is furnished that the recipient is still alive.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Assignability by Corporation</w:t>
      </w:r>
    </w:p>
    <w:p>
      <w:pPr>
        <w:spacing w:after="0" w:line="135"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Employer shall have the right to assign all of its right, title and obligation in and under this Plan upon a merger or consolidation in which the Employer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Employer. Upon such assignment, all of the rights, as well as all obligations, of the Employer under this Plan shall thereupon cease and terminate.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Special rule for 2005-2007</w:t>
      </w:r>
      <w:r>
        <w:rPr>
          <w:rFonts w:ascii="Arial" w:cs="Arial" w:eastAsia="Arial" w:hAnsi="Arial"/>
          <w:sz w:val="18"/>
          <w:szCs w:val="18"/>
          <w:color w:val="auto"/>
        </w:rPr>
        <w:t>.</w:t>
      </w:r>
    </w:p>
    <w:p>
      <w:pPr>
        <w:spacing w:after="0" w:line="135" w:lineRule="exact"/>
        <w:rPr>
          <w:sz w:val="20"/>
          <w:szCs w:val="20"/>
          <w:color w:val="auto"/>
        </w:rPr>
      </w:pPr>
    </w:p>
    <w:p>
      <w:pPr>
        <w:ind w:left="520" w:right="60"/>
        <w:spacing w:after="0" w:line="255" w:lineRule="auto"/>
        <w:rPr>
          <w:sz w:val="20"/>
          <w:szCs w:val="20"/>
          <w:color w:val="auto"/>
        </w:rPr>
      </w:pPr>
      <w:r>
        <w:rPr>
          <w:rFonts w:ascii="Arial" w:cs="Arial" w:eastAsia="Arial" w:hAnsi="Arial"/>
          <w:sz w:val="18"/>
          <w:szCs w:val="18"/>
          <w:color w:val="auto"/>
        </w:rPr>
        <w:t>Notwithstanding the usual rules regarding distribution elections contained in Article VII, a Participant, on or before December 31, 2007, may make an election as to distribution of his Account from among the choices described in Section 7.1 hereof without complying with the rules described in Section 7.2 hereof as long as the effect of the election is not to accelerate payments into 2006 or to defer payments which would otherwise have been made in 2006 or to accelerate payments into 2007 or to defer payments which would otherwise have been made in 2007. Such election shall become effective after the last day upon which it is permitted to be made. In order to change any such election after it has become effective, the requirements of Section 7.2 hereof must be satisfied.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Employer has caused its duly authorized officer to execute this Plan document on its behalf this 19th day of February,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BRADY CORPORATION</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FRANK M. JAEHNERT</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Attested: /s/ HOYT R. STASTNEY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931"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720" w:hanging="26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ind w:right="240" w:firstLine="458"/>
        <w:spacing w:after="0" w:line="342"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58"/>
        <w:spacing w:after="0" w:line="27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58"/>
        <w:spacing w:after="0" w:line="264" w:lineRule="auto"/>
        <w:tabs>
          <w:tab w:leader="none" w:pos="7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 w:firstLine="458"/>
        <w:spacing w:after="0" w:line="264"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458"/>
        <w:spacing w:after="0" w:line="264" w:lineRule="auto"/>
        <w:tabs>
          <w:tab w:leader="none" w:pos="6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00" w:firstLine="458"/>
        <w:spacing w:after="0" w:line="277"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458"/>
        <w:spacing w:after="0" w:line="264" w:lineRule="auto"/>
        <w:tabs>
          <w:tab w:leader="none" w:pos="6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80" w:firstLine="413"/>
        <w:spacing w:after="0" w:line="308" w:lineRule="auto"/>
        <w:tabs>
          <w:tab w:leader="none" w:pos="65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 w:firstLine="458"/>
        <w:spacing w:after="0" w:line="277"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58"/>
        <w:spacing w:after="0" w:line="277" w:lineRule="auto"/>
        <w:tabs>
          <w:tab w:leader="none" w:pos="6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Frank M. Jaehnert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17" w:lineRule="exact"/>
        <w:rPr>
          <w:sz w:val="20"/>
          <w:szCs w:val="20"/>
          <w:color w:val="auto"/>
        </w:rPr>
      </w:pPr>
    </w:p>
    <w:p>
      <w:pPr>
        <w:ind w:left="720" w:hanging="26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ind w:right="240" w:firstLine="458"/>
        <w:spacing w:after="0" w:line="342"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58"/>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58"/>
        <w:spacing w:after="0" w:line="264" w:lineRule="auto"/>
        <w:tabs>
          <w:tab w:leader="none" w:pos="7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0" w:firstLine="458"/>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458"/>
        <w:spacing w:after="0" w:line="264" w:lineRule="auto"/>
        <w:tabs>
          <w:tab w:leader="none" w:pos="6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00" w:firstLine="458"/>
        <w:spacing w:after="0" w:line="277"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458"/>
        <w:spacing w:after="0" w:line="264" w:lineRule="auto"/>
        <w:tabs>
          <w:tab w:leader="none" w:pos="6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80" w:firstLine="413"/>
        <w:spacing w:after="0" w:line="308" w:lineRule="auto"/>
        <w:tabs>
          <w:tab w:leader="none" w:pos="6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 w:firstLine="458"/>
        <w:spacing w:after="0" w:line="277"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58"/>
        <w:spacing w:after="0" w:line="277" w:lineRule="auto"/>
        <w:tabs>
          <w:tab w:leader="none" w:pos="6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39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280" w:firstLine="683"/>
        <w:spacing w:after="0" w:line="277" w:lineRule="auto"/>
        <w:tabs>
          <w:tab w:leader="none" w:pos="9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that Form 10-Q fairly presents, in all material respects, the financial conditions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Frank M. Jaehnert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ind w:right="120" w:firstLine="66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36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800" w:firstLine="45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280" w:firstLine="683"/>
        <w:spacing w:after="0" w:line="277" w:lineRule="auto"/>
        <w:tabs>
          <w:tab w:leader="none" w:pos="9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that Form 10-Q fairly presents, in all material respects, the financial conditions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03"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3"/>
    </w:lvl>
  </w:abstractNum>
  <w:abstractNum w:abstractNumId="6">
    <w:nsid w:val="3F2DBA31"/>
    <w:multiLevelType w:val="hybridMultilevel"/>
    <w:lvl w:ilvl="0">
      <w:lvlJc w:val="left"/>
      <w:lvlText w:val="(%1)"/>
      <w:numFmt w:val="lowerLetter"/>
      <w:start w:val="4"/>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lvl w:ilvl="1">
      <w:lvlJc w:val="left"/>
      <w:lvlText w:val="(%2)"/>
      <w:numFmt w:val="lowerLetter"/>
      <w:start w:val="35"/>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2"/>
    </w:lvl>
  </w:abstractNum>
  <w:abstractNum w:abstractNumId="15">
    <w:nsid w:val="2D1D5A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
    <w:nsid w:val="6763845E"/>
    <w:multiLevelType w:val="hybridMultilevel"/>
    <w:lvl w:ilvl="0">
      <w:lvlJc w:val="left"/>
      <w:lvlText w:val="(%1)"/>
      <w:numFmt w:val="lowerLetter"/>
      <w:start w:val="2"/>
    </w:lvl>
    <w:lvl w:ilvl="1">
      <w:lvlJc w:val="left"/>
      <w:lvlText w:val="(%2)"/>
      <w:numFmt w:val="lowerRoman"/>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5"/>
    </w:lvl>
    <w:lvl w:ilvl="1">
      <w:lvlJc w:val="left"/>
      <w:lvlText w:val="%2)"/>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5"/>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2019-12-13T14:25:37Z</dcterms:created>
  <dcterms:modified xsi:type="dcterms:W3CDTF">2019-12-13T14:25:37Z</dcterms:modified>
</cp:coreProperties>
</file>