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210185</wp:posOffset>
            </wp:positionV>
            <wp:extent cx="15951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7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186690</wp:posOffset>
            </wp:positionV>
            <wp:extent cx="15951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4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226695</wp:posOffset>
            </wp:positionV>
            <wp:extent cx="1595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167640</wp:posOffset>
            </wp:positionV>
            <wp:extent cx="1595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2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1-14959</w:t>
      </w:r>
    </w:p>
    <w:p>
      <w:pPr>
        <w:sectPr>
          <w:pgSz w:w="11900" w:h="16838" w:orient="portrait"/>
          <w:cols w:equalWidth="0" w:num="1">
            <w:col w:w="11360"/>
          </w:cols>
          <w:pgMar w:left="240" w:top="1165" w:right="299" w:bottom="1440" w:gutter="0" w:footer="0" w:header="0"/>
        </w:sectPr>
      </w:pPr>
    </w:p>
    <w:p>
      <w:pPr>
        <w:spacing w:after="0" w:line="200" w:lineRule="exact"/>
        <w:rPr>
          <w:sz w:val="24"/>
          <w:szCs w:val="24"/>
          <w:color w:val="auto"/>
        </w:rPr>
      </w:pPr>
    </w:p>
    <w:p>
      <w:pPr>
        <w:spacing w:after="0" w:line="295" w:lineRule="exact"/>
        <w:rPr>
          <w:sz w:val="24"/>
          <w:szCs w:val="24"/>
          <w:color w:val="auto"/>
        </w:rPr>
      </w:pPr>
    </w:p>
    <w:p>
      <w:pPr>
        <w:ind w:left="242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39-0178960</w:t>
      </w:r>
    </w:p>
    <w:p>
      <w:pPr>
        <w:spacing w:after="0" w:line="82" w:lineRule="exact"/>
        <w:rPr>
          <w:sz w:val="24"/>
          <w:szCs w:val="24"/>
          <w:color w:val="auto"/>
        </w:rPr>
      </w:pPr>
    </w:p>
    <w:p>
      <w:pPr>
        <w:sectPr>
          <w:pgSz w:w="11900" w:h="16838" w:orient="portrait"/>
          <w:cols w:equalWidth="0" w:num="2">
            <w:col w:w="7540" w:space="720"/>
            <w:col w:w="3100"/>
          </w:cols>
          <w:pgMar w:left="240" w:top="1165" w:right="299" w:bottom="1440" w:gutter="0" w:footer="0" w:header="0"/>
          <w:type w:val="continuous"/>
        </w:sectPr>
      </w:pPr>
    </w:p>
    <w:p>
      <w:pPr>
        <w:jc w:val="center"/>
        <w:ind w:right="1780"/>
        <w:spacing w:after="0"/>
        <w:rPr>
          <w:sz w:val="20"/>
          <w:szCs w:val="20"/>
          <w:color w:val="auto"/>
        </w:rPr>
      </w:pPr>
      <w:r>
        <w:rPr>
          <w:rFonts w:ascii="Arial" w:cs="Arial" w:eastAsia="Arial" w:hAnsi="Arial"/>
          <w:sz w:val="14"/>
          <w:szCs w:val="14"/>
          <w:b w:val="1"/>
          <w:bCs w:val="1"/>
          <w:color w:val="auto"/>
        </w:rPr>
        <w:t>(State of</w:t>
      </w:r>
    </w:p>
    <w:p>
      <w:pPr>
        <w:spacing w:after="0" w:line="4" w:lineRule="exact"/>
        <w:rPr>
          <w:sz w:val="24"/>
          <w:szCs w:val="24"/>
          <w:color w:val="auto"/>
        </w:rPr>
      </w:pPr>
    </w:p>
    <w:p>
      <w:pPr>
        <w:jc w:val="center"/>
        <w:ind w:right="1780"/>
        <w:spacing w:after="0"/>
        <w:rPr>
          <w:sz w:val="20"/>
          <w:szCs w:val="20"/>
          <w:color w:val="auto"/>
        </w:rPr>
      </w:pPr>
      <w:r>
        <w:rPr>
          <w:rFonts w:ascii="Arial" w:cs="Arial" w:eastAsia="Arial" w:hAnsi="Arial"/>
          <w:sz w:val="13"/>
          <w:szCs w:val="13"/>
          <w:b w:val="1"/>
          <w:bCs w:val="1"/>
          <w:color w:val="auto"/>
        </w:rPr>
        <w:t>Incorporation)</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120"/>
        <w:spacing w:after="0"/>
        <w:rPr>
          <w:sz w:val="20"/>
          <w:szCs w:val="20"/>
          <w:color w:val="auto"/>
        </w:rPr>
      </w:pPr>
      <w:r>
        <w:rPr>
          <w:rFonts w:ascii="Arial" w:cs="Arial" w:eastAsia="Arial" w:hAnsi="Arial"/>
          <w:sz w:val="13"/>
          <w:szCs w:val="13"/>
          <w:b w:val="1"/>
          <w:bCs w:val="1"/>
          <w:color w:val="auto"/>
        </w:rPr>
        <w:t>Identification No.)</w:t>
      </w:r>
    </w:p>
    <w:p>
      <w:pPr>
        <w:spacing w:after="0" w:line="21" w:lineRule="exact"/>
        <w:rPr>
          <w:sz w:val="24"/>
          <w:szCs w:val="24"/>
          <w:color w:val="auto"/>
        </w:rPr>
      </w:pPr>
    </w:p>
    <w:p>
      <w:pPr>
        <w:sectPr>
          <w:pgSz w:w="11900" w:h="16838" w:orient="portrait"/>
          <w:cols w:equalWidth="0" w:num="2">
            <w:col w:w="7400" w:space="720"/>
            <w:col w:w="3240"/>
          </w:cols>
          <w:pgMar w:left="240" w:top="1165" w:right="299" w:bottom="1440" w:gutter="0" w:footer="0" w:header="0"/>
          <w:type w:val="continuous"/>
        </w:sectPr>
      </w:pPr>
    </w:p>
    <w:p>
      <w:pPr>
        <w:ind w:left="4640"/>
        <w:spacing w:after="0"/>
        <w:rPr>
          <w:sz w:val="20"/>
          <w:szCs w:val="20"/>
          <w:color w:val="auto"/>
        </w:rPr>
      </w:pPr>
      <w:r>
        <w:rPr>
          <w:rFonts w:ascii="Arial" w:cs="Arial" w:eastAsia="Arial" w:hAnsi="Arial"/>
          <w:sz w:val="18"/>
          <w:szCs w:val="18"/>
          <w:b w:val="1"/>
          <w:bCs w:val="1"/>
          <w:color w:val="auto"/>
        </w:rPr>
        <w:t>6555 West Good Hope Road</w:t>
      </w:r>
    </w:p>
    <w:p>
      <w:pPr>
        <w:spacing w:after="0" w:line="21"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Milwaukee, Wisconsin 53223</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(Address of Principal Executive Offices and Zip Code)</w:t>
      </w:r>
    </w:p>
    <w:p>
      <w:pPr>
        <w:sectPr>
          <w:pgSz w:w="11900" w:h="16838" w:orient="portrait"/>
          <w:cols w:equalWidth="0" w:num="1">
            <w:col w:w="11360"/>
          </w:cols>
          <w:pgMar w:left="240" w:top="1165" w:right="299" w:bottom="1440" w:gutter="0" w:footer="0" w:header="0"/>
          <w:type w:val="continuous"/>
        </w:sectPr>
      </w:pPr>
    </w:p>
    <w:p>
      <w:pPr>
        <w:spacing w:after="0" w:line="1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Louis T. Bolognini (414) 358-6600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167640</wp:posOffset>
            </wp:positionV>
            <wp:extent cx="15951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48" w:lineRule="exact"/>
        <w:rPr>
          <w:sz w:val="24"/>
          <w:szCs w:val="24"/>
          <w:color w:val="auto"/>
        </w:rPr>
      </w:pPr>
    </w:p>
    <w:p>
      <w:pPr>
        <w:ind w:left="840" w:hanging="805"/>
        <w:spacing w:after="0"/>
        <w:tabs>
          <w:tab w:leader="none" w:pos="8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Rule 13p-1 under the Securities Exchange Act (17 CFR 240.13p-1) for the reporting period from January 1 to December 31, 2016</w:t>
      </w:r>
    </w:p>
    <w:p>
      <w:pPr>
        <w:sectPr>
          <w:pgSz w:w="11900" w:h="16838" w:orient="portrait"/>
          <w:cols w:equalWidth="0" w:num="1">
            <w:col w:w="11360"/>
          </w:cols>
          <w:pgMar w:left="240" w:top="1165"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40"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Brady Corporation and its subsidiaries (“Brady”, “Company”, “we”, “us”, “our”) have developed and maintain an active initiative to identify sources of materials used in our products that contain metallic forms of tin, tantalum, tungsten or gold (“3TG Minerals” or “conflict minerals”), and to determine whether any such materials directly or indirectly fund or benefit armed groups in the Democratic Republic of the Congo or an adjoining country (the “Covered Countries”). For calendar year 2016, Brady has conducted its reasonable country of origin inquiry (“RCOI”) in good faith for the products manufactured, or contracted to manufacture, by the Company where 3TG Minerals are necessary to the functionality or production of such products. We also conducted due diligence on the source and chain of custody of 3TG Minerals in our supply chain. Based on information received through its RCOI and due diligence program, Brady does not have evidence that 3TG Minerals used in its products, directly or indirectly, fund the armed groups in the DRC and the Covered Countries. However, our due diligence with our suppliers is ongoing with continuous improvement in our supply chain transparency and responsible sourcing of materials contained in our products.</w:t>
      </w:r>
    </w:p>
    <w:p>
      <w:pPr>
        <w:spacing w:after="0" w:line="182" w:lineRule="exact"/>
        <w:rPr>
          <w:sz w:val="20"/>
          <w:szCs w:val="20"/>
          <w:color w:val="auto"/>
        </w:rPr>
      </w:pPr>
    </w:p>
    <w:p>
      <w:pPr>
        <w:jc w:val="both"/>
        <w:ind w:left="80"/>
        <w:spacing w:after="0" w:line="286" w:lineRule="auto"/>
        <w:rPr>
          <w:sz w:val="20"/>
          <w:szCs w:val="20"/>
          <w:color w:val="auto"/>
        </w:rPr>
      </w:pPr>
      <w:r>
        <w:rPr>
          <w:rFonts w:ascii="Arial" w:cs="Arial" w:eastAsia="Arial" w:hAnsi="Arial"/>
          <w:sz w:val="17"/>
          <w:szCs w:val="17"/>
          <w:color w:val="auto"/>
        </w:rPr>
        <w:t>Through our RCOI described in our Conflict Minerals Report, several suppliers disclosed to us that their only sources of 3TG Minerals were from scrap/recycled materials identified in their supply chains, and, as such, did not require due diligence. Brady has reason to believe that 3TG Minerals used in its products do not solely originate from recycled or scrap sources. This determination is included in the attached Conflict Minerals Report.</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Conflict Minerals Disclosure</w:t>
      </w:r>
    </w:p>
    <w:p>
      <w:pPr>
        <w:spacing w:after="0" w:line="23" w:lineRule="exact"/>
        <w:rPr>
          <w:sz w:val="20"/>
          <w:szCs w:val="20"/>
          <w:color w:val="auto"/>
        </w:rPr>
      </w:pPr>
    </w:p>
    <w:p>
      <w:pPr>
        <w:jc w:val="both"/>
        <w:ind w:left="80"/>
        <w:spacing w:after="0" w:line="261" w:lineRule="auto"/>
        <w:rPr>
          <w:sz w:val="20"/>
          <w:szCs w:val="20"/>
          <w:color w:val="auto"/>
        </w:rPr>
      </w:pPr>
      <w:r>
        <w:rPr>
          <w:rFonts w:ascii="Arial" w:cs="Arial" w:eastAsia="Arial" w:hAnsi="Arial"/>
          <w:sz w:val="18"/>
          <w:szCs w:val="18"/>
          <w:color w:val="auto"/>
        </w:rPr>
        <w:t>For calendar year 2016, Brady Corporation is filing a Conflict Minerals Report which is attached as Exhibit 1.01 in Item 2.01 and is also publicly available on our website at the below link.</w:t>
      </w:r>
    </w:p>
    <w:p>
      <w:pPr>
        <w:spacing w:after="0" w:line="184" w:lineRule="exact"/>
        <w:rPr>
          <w:sz w:val="20"/>
          <w:szCs w:val="20"/>
          <w:color w:val="auto"/>
        </w:rPr>
      </w:pPr>
    </w:p>
    <w:p>
      <w:pPr>
        <w:ind w:left="80"/>
        <w:spacing w:after="0"/>
        <w:rPr>
          <w:sz w:val="20"/>
          <w:szCs w:val="20"/>
          <w:color w:val="auto"/>
        </w:rPr>
      </w:pPr>
      <w:r>
        <w:rPr>
          <w:rFonts w:ascii="Arial" w:cs="Arial" w:eastAsia="Arial" w:hAnsi="Arial"/>
          <w:sz w:val="18"/>
          <w:szCs w:val="18"/>
          <w:color w:val="auto"/>
        </w:rPr>
        <w:t>http://www.bradycorp.com/en/about/sustainability-and-policies</w:t>
      </w:r>
    </w:p>
    <w:p>
      <w:pPr>
        <w:spacing w:after="0" w:line="167" w:lineRule="exact"/>
        <w:rPr>
          <w:sz w:val="20"/>
          <w:szCs w:val="20"/>
          <w:color w:val="auto"/>
        </w:rPr>
      </w:pPr>
    </w:p>
    <w:p>
      <w:pPr>
        <w:ind w:left="40"/>
        <w:spacing w:after="0"/>
        <w:tabs>
          <w:tab w:leader="none" w:pos="8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Exhibit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Conflict Minerals Report required by Item 1.01 is filed as Exhibit 1.01 to this Form SD.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2.01 Exhibits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8"/>
          <w:szCs w:val="18"/>
          <w:color w:val="auto"/>
        </w:rPr>
        <w:t>Exhibit 1.01 Conflict Minerals Report as required by Items 1.01 and 1.02 of this Form SD for calendar year ended December 31, 2016.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BRADY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6860" w:val="left"/>
        </w:tabs>
        <w:rPr>
          <w:sz w:val="20"/>
          <w:szCs w:val="20"/>
          <w:color w:val="auto"/>
        </w:rPr>
      </w:pPr>
      <w:r>
        <w:rPr>
          <w:rFonts w:ascii="Arial" w:cs="Arial" w:eastAsia="Arial" w:hAnsi="Arial"/>
          <w:sz w:val="18"/>
          <w:szCs w:val="18"/>
          <w:color w:val="auto"/>
        </w:rPr>
        <w:t>/s/ AARON J. PEARCE</w:t>
      </w:r>
      <w:r>
        <w:rPr>
          <w:sz w:val="20"/>
          <w:szCs w:val="20"/>
          <w:color w:val="auto"/>
        </w:rPr>
        <w:tab/>
      </w:r>
      <w:r>
        <w:rPr>
          <w:rFonts w:ascii="Arial" w:cs="Arial" w:eastAsia="Arial" w:hAnsi="Arial"/>
          <w:sz w:val="16"/>
          <w:szCs w:val="16"/>
          <w:color w:val="auto"/>
        </w:rPr>
        <w:t>Date: May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Aaron J. Pearce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420"/>
          </w:cols>
          <w:pgMar w:left="240" w:top="796"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00" w:lineRule="exact"/>
        <w:rPr>
          <w:sz w:val="20"/>
          <w:szCs w:val="20"/>
          <w:color w:val="auto"/>
        </w:rPr>
      </w:pPr>
    </w:p>
    <w:p>
      <w:pPr>
        <w:spacing w:after="0" w:line="223"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This report has been prepared by management of Brady Corporation (hereinafter referred to as “Brady”, the “Company”, “we”, “us”, or “our”) pursuant to Rule 13p-1 under the Securities Exchange Act of 1934 as amended, for the reporting period January 1 to December 31, 2016. The report discusses efforts undertaken by Brady to determine whether our products contain casserite, columbite-tantalite, gold, wolframite, or other derivatives, which are limited to metallic forms of tin, tantalum, tungsten and gold (collectively, “3TG Minerals”), and further, to determine whether any such materials directly or indirectly fund or benefit armed groups in the Democratic Republic of the Congo or any adjacent countries (“Covered Countries”). The scope of the reasonable country of origin inquiry (“RCOI”) and due diligence efforts discussed includes products both sourced directly by, and manufactured for Brady in calendar year 2016.</w:t>
      </w:r>
    </w:p>
    <w:p>
      <w:pPr>
        <w:spacing w:after="0" w:line="189"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statements below are based on the activities performed to date in good faith by Brady and are based on information available at the time of this filing.</w:t>
      </w:r>
    </w:p>
    <w:p>
      <w:pPr>
        <w:spacing w:after="0" w:line="170"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Brady manufactures, or contracts to manufacture, products that contain materials or components that use 3TG Minerals. Due to the depth of its supply chain, Brady is far removed from the sources of ore from which these metals are produced and the smelters/refiners that process them. We do not purchase raw ore or unrefined minerals and conduct no purchasing activities directly in the Covered Countries. The efforts undertaken by Brady to identify the country(ies) of origin of those ores reflect our circumstances and position in the supply chain, which is multiple steps removed from the smelter or mine. The information available globally on the traceability and sourcing of these ores is limited at this time, and this situation is not unique to Brady.</w:t>
      </w:r>
    </w:p>
    <w:p>
      <w:pPr>
        <w:spacing w:after="0" w:line="189" w:lineRule="exact"/>
        <w:rPr>
          <w:sz w:val="20"/>
          <w:szCs w:val="20"/>
          <w:color w:val="auto"/>
        </w:rPr>
      </w:pPr>
    </w:p>
    <w:p>
      <w:pPr>
        <w:ind w:left="560" w:hanging="552"/>
        <w:spacing w:after="0"/>
        <w:tabs>
          <w:tab w:leader="none" w:pos="5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Reasonable Country of Origin Inquiry</w:t>
      </w:r>
    </w:p>
    <w:p>
      <w:pPr>
        <w:spacing w:after="0" w:line="229"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Our 2016 RCOI began with identifying the products we manufacture or contract to manufacture that have a possibility of containing 3TG Minerals, or where 3TG minerals are required for the functionality or production of such products. In 2016, Brady expanded the scope of the review of its product lines by evaluating new products and their material suppliers to its RCOI during the filing year, and where there was uncertainty about whether a particular product potentially contained 3TG Minerals, it was included in the 2016 inquiries. The potential suppliers of the 3TG Minerals that may be contained in such products were determined to be “in scope.” The exact nature of the parts and materials identified in our products that may contain 3TG Minerals ranged over a broad spectrum of items, but were heavily concentrated in electronics and workplace safety products.</w:t>
      </w:r>
    </w:p>
    <w:p>
      <w:pPr>
        <w:spacing w:after="0" w:line="16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Brady conducted its RCOI of those suppliers deemed in scope, using the Conflict Materials Reporting Template (CMRT v.4.20), which is the Conflict Free Sourcing Initiative (CFSI) reporting template developed by the Electronic Industry Citizenship Coalition/Global e-Sustainability Initiative (EICC/GeSI).</w:t>
      </w:r>
    </w:p>
    <w:p>
      <w:pPr>
        <w:spacing w:after="0" w:line="181"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The supplier responses received were reviewed for completeness and consistency. We also verified “No 3TG content declarations” on a random basis to provide additional assurance of the claims made by suppliers. In certain other instances, suppliers were required to provide clarifications or additional detail where responses were incomplete or in need of explanation. Our RCOI process included an escalation procedure seeking information from non-responsive suppliers resulting in 85% in-scope supplier responses.</w:t>
      </w:r>
    </w:p>
    <w:p>
      <w:pPr>
        <w:spacing w:after="0" w:line="187"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For 2016, as compared to previous filing years, a number of the surveyed suppliers reported a significant improvement in their own supply chain RCOI initiatives, and 290 unique smelters (versus 245 in 2015, 225 in 2014 and only four in 2013) were identified as potentially being part of our supply chain. In addition, Brady undertook due diligence on the identified smelters to determine their status regarding conflict minerals.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such, we believe our process was reasonably designed and performed in good faith.</w:t>
      </w:r>
    </w:p>
    <w:p>
      <w:pPr>
        <w:sectPr>
          <w:pgSz w:w="11900" w:h="16838" w:orient="portrait"/>
          <w:cols w:equalWidth="0" w:num="1">
            <w:col w:w="11420"/>
          </w:cols>
          <w:pgMar w:left="240" w:top="580" w:right="239" w:bottom="1440" w:gutter="0" w:footer="0" w:header="0"/>
        </w:sectPr>
      </w:pPr>
    </w:p>
    <w:bookmarkStart w:id="3" w:name="page4"/>
    <w:bookmarkEnd w:id="3"/>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Design of Due Diligence Measures</w:t>
      </w:r>
    </w:p>
    <w:p>
      <w:pPr>
        <w:spacing w:after="0" w:line="229" w:lineRule="exact"/>
        <w:rPr>
          <w:rFonts w:ascii="Arial" w:cs="Arial" w:eastAsia="Arial" w:hAnsi="Arial"/>
          <w:sz w:val="18"/>
          <w:szCs w:val="18"/>
          <w:b w:val="1"/>
          <w:bCs w:val="1"/>
          <w:color w:val="auto"/>
        </w:rPr>
      </w:pPr>
    </w:p>
    <w:p>
      <w:pPr>
        <w:ind w:left="660" w:right="3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Brady designed its 3TG Minerals compliance procedures based on, and in conformity with, the five step framework the </w:t>
      </w:r>
      <w:r>
        <w:rPr>
          <w:rFonts w:ascii="Arial" w:cs="Arial" w:eastAsia="Arial" w:hAnsi="Arial"/>
          <w:sz w:val="18"/>
          <w:szCs w:val="18"/>
          <w:i w:val="1"/>
          <w:iCs w:val="1"/>
          <w:color w:val="auto"/>
        </w:rPr>
        <w:t>OECD Due Diligence</w:t>
      </w:r>
      <w:r>
        <w:rPr>
          <w:rFonts w:ascii="Arial" w:cs="Arial" w:eastAsia="Arial" w:hAnsi="Arial"/>
          <w:sz w:val="18"/>
          <w:szCs w:val="18"/>
          <w:color w:val="auto"/>
        </w:rPr>
        <w:t xml:space="preserve"> </w:t>
      </w:r>
      <w:r>
        <w:rPr>
          <w:rFonts w:ascii="Arial" w:cs="Arial" w:eastAsia="Arial" w:hAnsi="Arial"/>
          <w:sz w:val="18"/>
          <w:szCs w:val="18"/>
          <w:i w:val="1"/>
          <w:iCs w:val="1"/>
          <w:color w:val="auto"/>
        </w:rPr>
        <w:t>Guidance for Responsible Supply Chains of Minerals from Conflict-Affected and High-Risk Areas: Third Edition</w:t>
      </w:r>
      <w:r>
        <w:rPr>
          <w:rFonts w:ascii="Arial" w:cs="Arial" w:eastAsia="Arial" w:hAnsi="Arial"/>
          <w:sz w:val="18"/>
          <w:szCs w:val="18"/>
          <w:color w:val="auto"/>
        </w:rPr>
        <w:t>, and related supplements on tin,</w:t>
      </w:r>
      <w:r>
        <w:rPr>
          <w:rFonts w:ascii="Arial" w:cs="Arial" w:eastAsia="Arial" w:hAnsi="Arial"/>
          <w:sz w:val="18"/>
          <w:szCs w:val="18"/>
          <w:i w:val="1"/>
          <w:iCs w:val="1"/>
          <w:color w:val="auto"/>
        </w:rPr>
        <w:t xml:space="preserve"> </w:t>
      </w:r>
      <w:r>
        <w:rPr>
          <w:rFonts w:ascii="Arial" w:cs="Arial" w:eastAsia="Arial" w:hAnsi="Arial"/>
          <w:sz w:val="18"/>
          <w:szCs w:val="18"/>
          <w:color w:val="auto"/>
        </w:rPr>
        <w:t>tungsten, tantalum, and the supplement on gold (collectively, the “OECD guidance”) as these relate to our position in the supply chain as a downstream user.</w:t>
      </w:r>
    </w:p>
    <w:p>
      <w:pPr>
        <w:spacing w:after="0" w:line="18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Step 1: Establish strong company management systems</w:t>
      </w:r>
    </w:p>
    <w:p>
      <w:pPr>
        <w:spacing w:after="0" w:line="2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Step 2: Identify and assess risks in the supply chain</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Step 3: Design and implement a strategy to respond to identified risks</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Step 4: Carry out independent third-party audit of smelter/refiner's due diligence practices</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Step 5: Report annually on supply chain due diligence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 Measures Performed by Brady Corporation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the due diligence measures performed by Brady with respect to the reporting year:</w:t>
      </w:r>
    </w:p>
    <w:p>
      <w:pPr>
        <w:spacing w:after="0" w:line="221"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Step 1-Maintain strong company management systems</w:t>
      </w:r>
    </w:p>
    <w:p>
      <w:pPr>
        <w:spacing w:after="0" w:line="27" w:lineRule="exact"/>
        <w:rPr>
          <w:rFonts w:ascii="Arial" w:cs="Arial" w:eastAsia="Arial" w:hAnsi="Arial"/>
          <w:sz w:val="18"/>
          <w:szCs w:val="18"/>
          <w:color w:val="auto"/>
        </w:rPr>
      </w:pPr>
    </w:p>
    <w:p>
      <w:pPr>
        <w:ind w:left="1300" w:right="380" w:hanging="320"/>
        <w:spacing w:after="0" w:line="250"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Brady maintains an internal conflict minerals team involving sourcing and global product compliance staff. The focus of this team is to implement our conflict minerals program and ensure compliance.</w:t>
      </w:r>
    </w:p>
    <w:p>
      <w:pPr>
        <w:ind w:left="1300" w:right="100" w:hanging="320"/>
        <w:spacing w:after="0" w:line="250"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Brady maintains a Conflict Minerals policy and policy statement which is available on our company website (see link below) in addition to our due diligence process for assisting the chain of custody of 3TGMinerals. http://www.bradycorp.com/en/about/sustainability-and-policies</w:t>
      </w:r>
    </w:p>
    <w:p>
      <w:pPr>
        <w:spacing w:after="0" w:line="1" w:lineRule="exact"/>
        <w:rPr>
          <w:rFonts w:ascii="Arial" w:cs="Arial" w:eastAsia="Arial" w:hAnsi="Arial"/>
          <w:sz w:val="18"/>
          <w:szCs w:val="18"/>
          <w:color w:val="auto"/>
        </w:rPr>
      </w:pPr>
    </w:p>
    <w:p>
      <w:pPr>
        <w:ind w:left="1300" w:hanging="320"/>
        <w:spacing w:after="0" w:line="250"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Internal engagement – Brady conducted internal training to educate relevant employees in our conflict minerals program including reporting obligations.</w:t>
      </w:r>
    </w:p>
    <w:p>
      <w:pPr>
        <w:ind w:left="1300" w:hanging="320"/>
        <w:spacing w:after="0"/>
        <w:tabs>
          <w:tab w:leader="none" w:pos="1300" w:val="left"/>
        </w:tabs>
        <w:numPr>
          <w:ilvl w:val="1"/>
          <w:numId w:val="5"/>
        </w:numPr>
        <w:rPr>
          <w:rFonts w:ascii="Arial" w:cs="Arial" w:eastAsia="Arial" w:hAnsi="Arial"/>
          <w:sz w:val="17"/>
          <w:szCs w:val="17"/>
          <w:color w:val="auto"/>
        </w:rPr>
      </w:pPr>
      <w:r>
        <w:rPr>
          <w:rFonts w:ascii="Arial" w:cs="Arial" w:eastAsia="Arial" w:hAnsi="Arial"/>
          <w:sz w:val="17"/>
          <w:szCs w:val="17"/>
          <w:color w:val="auto"/>
        </w:rPr>
        <w:t>Supplier engagement – Brady communicated the requirements of the conflict minerals rule to its suppliers regarding 3TG Minerals.</w:t>
      </w:r>
    </w:p>
    <w:p>
      <w:pPr>
        <w:spacing w:after="0" w:line="20" w:lineRule="exact"/>
        <w:rPr>
          <w:rFonts w:ascii="Arial" w:cs="Arial" w:eastAsia="Arial" w:hAnsi="Arial"/>
          <w:sz w:val="17"/>
          <w:szCs w:val="17"/>
          <w:color w:val="auto"/>
        </w:rPr>
      </w:pPr>
    </w:p>
    <w:p>
      <w:pPr>
        <w:ind w:left="1300" w:hanging="320"/>
        <w:spacing w:after="0"/>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Uses the tools created by EICC/GeSI including the conflict minerals reporting template for supply chain surveys to identify the smelters.</w:t>
      </w:r>
    </w:p>
    <w:p>
      <w:pPr>
        <w:spacing w:after="0" w:line="32" w:lineRule="exact"/>
        <w:rPr>
          <w:rFonts w:ascii="Arial" w:cs="Arial" w:eastAsia="Arial" w:hAnsi="Arial"/>
          <w:sz w:val="16"/>
          <w:szCs w:val="16"/>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conflict minerals team reports on our conflict minerals program to senior management on regular basis.</w:t>
      </w:r>
    </w:p>
    <w:p>
      <w:pPr>
        <w:spacing w:after="0" w:line="9" w:lineRule="exact"/>
        <w:rPr>
          <w:rFonts w:ascii="Arial" w:cs="Arial" w:eastAsia="Arial" w:hAnsi="Arial"/>
          <w:sz w:val="18"/>
          <w:szCs w:val="18"/>
          <w:color w:val="auto"/>
        </w:rPr>
      </w:pPr>
    </w:p>
    <w:p>
      <w:pPr>
        <w:ind w:left="1300" w:right="460" w:hanging="320"/>
        <w:spacing w:after="0" w:line="250"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We maintain a mechanism to enable the reporting of any customer facing questions related to conflict minerals and other supply chain matters.</w:t>
      </w:r>
    </w:p>
    <w:p>
      <w:pPr>
        <w:ind w:left="1300" w:hanging="320"/>
        <w:spacing w:after="0"/>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We retain conflict minerals program documentation in accordance with the Company’s existing corporate retention policy and procedures.</w:t>
      </w:r>
    </w:p>
    <w:p>
      <w:pPr>
        <w:spacing w:after="0" w:line="229" w:lineRule="exact"/>
        <w:rPr>
          <w:rFonts w:ascii="Arial" w:cs="Arial" w:eastAsia="Arial" w:hAnsi="Arial"/>
          <w:sz w:val="16"/>
          <w:szCs w:val="16"/>
          <w:color w:val="auto"/>
        </w:rPr>
      </w:pPr>
    </w:p>
    <w:p>
      <w:pPr>
        <w:ind w:left="980" w:hanging="324"/>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Step 2-Identify and assess risk in the supply chain</w:t>
      </w:r>
    </w:p>
    <w:p>
      <w:pPr>
        <w:spacing w:after="0" w:line="27" w:lineRule="exact"/>
        <w:rPr>
          <w:rFonts w:ascii="Arial" w:cs="Arial" w:eastAsia="Arial" w:hAnsi="Arial"/>
          <w:sz w:val="18"/>
          <w:szCs w:val="18"/>
          <w:b w:val="1"/>
          <w:bCs w:val="1"/>
          <w:color w:val="auto"/>
        </w:rPr>
      </w:pPr>
    </w:p>
    <w:p>
      <w:pPr>
        <w:ind w:left="1300" w:right="280" w:hanging="320"/>
        <w:spacing w:after="0" w:line="250"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Brady conflict minerals team conducted a detailed review of the products manufactured or contracted to be manufactured during the reporting year 2016 to identify products that may be in scope of the rule.</w:t>
      </w: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Brady identified the direct suppliers of products or components that may contain 3TG Minerals.</w:t>
      </w:r>
    </w:p>
    <w:p>
      <w:pPr>
        <w:spacing w:after="0" w:line="9" w:lineRule="exact"/>
        <w:rPr>
          <w:rFonts w:ascii="Arial" w:cs="Arial" w:eastAsia="Arial" w:hAnsi="Arial"/>
          <w:sz w:val="18"/>
          <w:szCs w:val="18"/>
          <w:color w:val="auto"/>
        </w:rPr>
      </w:pPr>
    </w:p>
    <w:p>
      <w:pPr>
        <w:ind w:left="1300" w:right="200" w:hanging="320"/>
        <w:spacing w:after="0" w:line="250"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Brady conducted supply chain surveys of the in scope suppliers using the industry-developed CMRT and requested that suppliers conduct their own 3TG Mineral inquiries to identify smelters and refineries as well as the country of origin of 3TG Minerals in products that are supplied to Brady.</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7"/>
          <w:szCs w:val="17"/>
          <w:color w:val="auto"/>
        </w:rPr>
      </w:pPr>
      <w:r>
        <w:rPr>
          <w:rFonts w:ascii="Arial" w:cs="Arial" w:eastAsia="Arial" w:hAnsi="Arial"/>
          <w:sz w:val="17"/>
          <w:szCs w:val="17"/>
          <w:color w:val="auto"/>
        </w:rPr>
        <w:t>Conducted follow ups with non-responding direct suppliers and also worked to clarify and validate the responses from the suppliers.</w:t>
      </w:r>
    </w:p>
    <w:p>
      <w:pPr>
        <w:spacing w:after="0" w:line="20" w:lineRule="exact"/>
        <w:rPr>
          <w:rFonts w:ascii="Arial" w:cs="Arial" w:eastAsia="Arial" w:hAnsi="Arial"/>
          <w:sz w:val="17"/>
          <w:szCs w:val="17"/>
          <w:color w:val="auto"/>
        </w:rPr>
      </w:pPr>
    </w:p>
    <w:p>
      <w:pPr>
        <w:ind w:left="1300" w:right="480" w:hanging="320"/>
        <w:spacing w:after="0" w:line="261"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Compared smelter listings supplied by responding suppliers with the CFSI list of validated conflict free and verified facilities. Further smelter confirmation was conducted using a commercially available smelter verification service.</w:t>
      </w:r>
    </w:p>
    <w:p>
      <w:pPr>
        <w:spacing w:after="0" w:line="17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Step 3-Design and implement a strategy to respond to identified risks</w:t>
      </w:r>
    </w:p>
    <w:p>
      <w:pPr>
        <w:spacing w:after="0" w:line="27" w:lineRule="exact"/>
        <w:rPr>
          <w:rFonts w:ascii="Arial" w:cs="Arial" w:eastAsia="Arial" w:hAnsi="Arial"/>
          <w:sz w:val="18"/>
          <w:szCs w:val="18"/>
          <w:color w:val="auto"/>
        </w:rPr>
      </w:pPr>
    </w:p>
    <w:p>
      <w:pPr>
        <w:ind w:left="1300" w:right="640" w:hanging="320"/>
        <w:spacing w:after="0" w:line="250"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We have a risk management plan that addresses known issues with suppliers that do not meet the requirements of Brady’s corporate sourcing policy.</w:t>
      </w: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conflict minerals team reports to senior management and the Board of Directors on the status of direct supplier responses.</w:t>
      </w:r>
    </w:p>
    <w:p>
      <w:pPr>
        <w:sectPr>
          <w:pgSz w:w="11900" w:h="16838" w:orient="portrait"/>
          <w:cols w:equalWidth="0" w:num="1">
            <w:col w:w="11420"/>
          </w:cols>
          <w:pgMar w:left="240" w:top="580" w:right="239" w:bottom="1440" w:gutter="0" w:footer="0" w:header="0"/>
        </w:sectPr>
      </w:pPr>
    </w:p>
    <w:bookmarkStart w:id="4" w:name="page5"/>
    <w:bookmarkEnd w:id="4"/>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Step 4- Carry out independent third-party audit of smelter/refiner's due diligence practices</w:t>
      </w:r>
    </w:p>
    <w:p>
      <w:pPr>
        <w:spacing w:after="0" w:line="27" w:lineRule="exact"/>
        <w:rPr>
          <w:rFonts w:ascii="Arial" w:cs="Arial" w:eastAsia="Arial" w:hAnsi="Arial"/>
          <w:sz w:val="18"/>
          <w:szCs w:val="18"/>
          <w:color w:val="auto"/>
        </w:rPr>
      </w:pPr>
    </w:p>
    <w:p>
      <w:pPr>
        <w:ind w:left="1300" w:right="60" w:hanging="320"/>
        <w:spacing w:after="0" w:line="250"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Brady relies on CFSI’s published lists of smelters and refiners that have been audited by various industry groups. Brady is many steps removed from the mining of 3TG Minerals. We do not purchase raw ore or unrefined 3TG Minerals, and we do not conduct any purchasing activities in the Covered Countries.</w:t>
      </w:r>
    </w:p>
    <w:p>
      <w:pPr>
        <w:spacing w:after="0" w:line="1" w:lineRule="exact"/>
        <w:rPr>
          <w:rFonts w:ascii="Arial" w:cs="Arial" w:eastAsia="Arial" w:hAnsi="Arial"/>
          <w:sz w:val="18"/>
          <w:szCs w:val="18"/>
          <w:color w:val="auto"/>
        </w:rPr>
      </w:pPr>
    </w:p>
    <w:p>
      <w:pPr>
        <w:ind w:left="1300" w:right="120" w:hanging="320"/>
        <w:spacing w:after="0" w:line="261"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Supported the development and implementation of independent third party audits of smelters/refiners through our Conflict Minerals policy and procurement practices, which encourage suppliers to purchase materials from audited smelters/refiners.</w:t>
      </w:r>
    </w:p>
    <w:p>
      <w:pPr>
        <w:spacing w:after="0" w:line="17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Step 5-Report on supply chain due diligence</w:t>
      </w:r>
    </w:p>
    <w:p>
      <w:pPr>
        <w:spacing w:after="0" w:line="27" w:lineRule="exact"/>
        <w:rPr>
          <w:rFonts w:ascii="Arial" w:cs="Arial" w:eastAsia="Arial" w:hAnsi="Arial"/>
          <w:sz w:val="18"/>
          <w:szCs w:val="18"/>
          <w:color w:val="auto"/>
        </w:rPr>
      </w:pPr>
    </w:p>
    <w:p>
      <w:pPr>
        <w:ind w:left="1300" w:right="300" w:hanging="324"/>
        <w:spacing w:after="0" w:line="250" w:lineRule="auto"/>
        <w:rPr>
          <w:rFonts w:ascii="Arial" w:cs="Arial" w:eastAsia="Arial" w:hAnsi="Arial"/>
          <w:sz w:val="18"/>
          <w:szCs w:val="18"/>
          <w:color w:val="auto"/>
        </w:rPr>
      </w:pPr>
      <w:r>
        <w:rPr>
          <w:rFonts w:ascii="Arial" w:cs="Arial" w:eastAsia="Arial" w:hAnsi="Arial"/>
          <w:sz w:val="18"/>
          <w:szCs w:val="18"/>
          <w:color w:val="auto"/>
        </w:rPr>
        <w:t>Brady has publicly communicated its Conflict Minerals policy on our company website. (http://www.bradycorp.com/en/about/sustainability-and-policies)</w:t>
      </w:r>
    </w:p>
    <w:p>
      <w:pPr>
        <w:ind w:left="1300" w:right="1460" w:hanging="324"/>
        <w:spacing w:after="0" w:line="261" w:lineRule="auto"/>
        <w:rPr>
          <w:rFonts w:ascii="Arial" w:cs="Arial" w:eastAsia="Arial" w:hAnsi="Arial"/>
          <w:sz w:val="18"/>
          <w:szCs w:val="18"/>
          <w:color w:val="auto"/>
        </w:rPr>
      </w:pPr>
      <w:r>
        <w:rPr>
          <w:rFonts w:ascii="Arial" w:cs="Arial" w:eastAsia="Arial" w:hAnsi="Arial"/>
          <w:sz w:val="18"/>
          <w:szCs w:val="18"/>
          <w:color w:val="auto"/>
        </w:rPr>
        <w:t>• Brady’s Form SD and Conflict Minerals Report were filed with the SEC and are also available on our company website. (http://www.bradycorp.com/en/about/sustainability-and-policies)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Results of the Due Diligence measures</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Brady’s due diligence on the source and chain of custody of necessary 3TG Minerals contained in its products revealed that Brady currently has no evidence that the 290 smelters reported by its suppliers in the downstream supply chain are sourcing minerals from mines that may be funding any conflict in the Covered Countries. Additional due diligence is on-going, since we have not received responses from all of our suppliers (85% of supplier responses received to date).</w:t>
      </w:r>
    </w:p>
    <w:p>
      <w:pPr>
        <w:spacing w:after="0" w:line="39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Product Description; Processing Facilities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scope of our inquiry covered the following products, which we believe are the most likely to contain metallic forms of 3TG Minerals:</w:t>
      </w:r>
    </w:p>
    <w:p>
      <w:pPr>
        <w:spacing w:after="0" w:line="23"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Thermal transfer printers – both hand held and desk models – containing electronic parts;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Labels and tapes for thermal transfer printing, some of which are in cassettes containing electronic parts;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Preprinted labels and tapes, some with external coating, pipe and wire markers, and metal asset tags;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Safety signs and traffic signs;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Pads for medical applications and sorbent materials for environmental clean-up;</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Lock-out / tag-out devices (primarily plastic);</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Visitor identification badges, badge holders and lanyards, and wristbands;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Die-cut materials for the telecommunications industry – primarily plastics and polyester foams.</w:t>
      </w:r>
    </w:p>
    <w:p>
      <w:pPr>
        <w:spacing w:after="0" w:line="21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Brady also sells products that are purchased “as is” from manufacturers and not manufactured, or contracted to be manufactured, or whose design and bill of materials is not influenced in any way by Brady. These include traffic cones and barriers, barrier and perimeter tapes, and certain of our lock-out/tag-out devices. Brady also develops software for products that are factory installed or downloadable. All of the foregoing products are not within the scope of this report.</w:t>
      </w:r>
    </w:p>
    <w:p>
      <w:pPr>
        <w:spacing w:after="0" w:line="18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smelting and refining facilities used to process the 3TG Minerals that were identified by our suppliers are listed in Appendix 1 and the potential countries of origin of the 3TG Minerals are listed in Appendix 2 to this Conflict Minerals Report.</w:t>
      </w:r>
    </w:p>
    <w:p>
      <w:pPr>
        <w:spacing w:after="0" w:line="383"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Steps to Improve Due Diligence</w:t>
      </w:r>
    </w:p>
    <w:p>
      <w:pPr>
        <w:spacing w:after="0" w:line="229" w:lineRule="exact"/>
        <w:rPr>
          <w:rFonts w:ascii="Arial" w:cs="Arial" w:eastAsia="Arial" w:hAnsi="Arial"/>
          <w:sz w:val="18"/>
          <w:szCs w:val="18"/>
          <w:b w:val="1"/>
          <w:bCs w:val="1"/>
          <w:color w:val="auto"/>
        </w:rPr>
      </w:pPr>
    </w:p>
    <w:p>
      <w:pPr>
        <w:jc w:val="both"/>
        <w:ind w:left="6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We will continue to communicate our expectations and information requirements regarding 3TG Minerals to our direct suppliers, as a part of our supplier compliance program. Brady has incorporated detailed discussions of conflict minerals in our supplier manual, which is distributed to all suppliers, and in our specifications for all new parts. We also include conflict minerals information in discussions with our suppliers, including detailed on-site assessments that examine policies, procedures and practices. We will continue to monitor changes in circumstances that may impact the facts or our determination regarding the source of our 3TG Minerals. Over time we anticipate that the amount of information globally on the traceability and sourcing of these ores will increase and improve our knowledge. We will continue to make further inquiries to our direct suppliers with the goals of assessing our supply chain, including existing and new suppliers, and improving our understanding of each 3TG Mineral supply chain. In addition,</w:t>
      </w:r>
    </w:p>
    <w:p>
      <w:pPr>
        <w:sectPr>
          <w:pgSz w:w="11900" w:h="16838" w:orient="portrait"/>
          <w:cols w:equalWidth="0" w:num="1">
            <w:col w:w="11420"/>
          </w:cols>
          <w:pgMar w:left="240" w:top="580"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6"/>
          <w:szCs w:val="16"/>
          <w:color w:val="auto"/>
        </w:rPr>
        <w:t>we will continue to monitor the smelters in our supply chain that are currently participating in audit programs for their “Conflict-free” status.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Private Sector Audit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Pursuant to SEC rules and related guidance, an independent private sector audit was not required for Brady’s conflict minerals filing for calendar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year 2016.</w:t>
      </w:r>
    </w:p>
    <w:p>
      <w:pPr>
        <w:sectPr>
          <w:pgSz w:w="11900" w:h="16838" w:orient="portrait"/>
          <w:cols w:equalWidth="0" w:num="2">
            <w:col w:w="260" w:space="400"/>
            <w:col w:w="10760"/>
          </w:cols>
          <w:pgMar w:left="240" w:top="584" w:right="239" w:bottom="1440" w:gutter="0" w:footer="0" w:header="0"/>
          <w:type w:val="continuous"/>
        </w:sectPr>
      </w:pPr>
    </w:p>
    <w:bookmarkStart w:id="6" w:name="page7"/>
    <w:bookmarkEnd w:id="6"/>
    <w:p>
      <w:pPr>
        <w:ind w:left="5280"/>
        <w:spacing w:after="0"/>
        <w:rPr>
          <w:sz w:val="20"/>
          <w:szCs w:val="20"/>
          <w:color w:val="auto"/>
        </w:rPr>
      </w:pPr>
      <w:r>
        <w:rPr>
          <w:rFonts w:ascii="Arial" w:cs="Arial" w:eastAsia="Arial" w:hAnsi="Arial"/>
          <w:sz w:val="18"/>
          <w:szCs w:val="18"/>
          <w:b w:val="1"/>
          <w:bCs w:val="1"/>
          <w:color w:val="auto"/>
        </w:rPr>
        <w:t>Appendix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Smelters/Refiners Identified by Suppliers Identified in Brady’s Supply Chain</w:t>
      </w:r>
    </w:p>
    <w:p>
      <w:pPr>
        <w:spacing w:after="0" w:line="200" w:lineRule="exact"/>
        <w:rPr>
          <w:sz w:val="20"/>
          <w:szCs w:val="20"/>
          <w:color w:val="auto"/>
        </w:rPr>
      </w:pPr>
    </w:p>
    <w:p>
      <w:pPr>
        <w:spacing w:after="0" w:line="375"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Metal</w:t>
            </w:r>
          </w:p>
        </w:tc>
        <w:tc>
          <w:tcPr>
            <w:tcW w:w="47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Smelter Name</w:t>
            </w:r>
          </w:p>
        </w:tc>
        <w:tc>
          <w:tcPr>
            <w:tcW w:w="26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Smelter Country</w:t>
            </w:r>
          </w:p>
        </w:tc>
        <w:tc>
          <w:tcPr>
            <w:tcW w:w="17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Smelter ID</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Xinhai Rendan Shaoguan Tungsten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CID002095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22"/>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Xinfeng Huarui Tungsten &amp; Molybdenum New Material Co.,</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CID002830</w:t>
            </w:r>
          </w:p>
        </w:tc>
      </w:tr>
      <w:tr>
        <w:trPr>
          <w:trHeight w:val="230"/>
        </w:trPr>
        <w:tc>
          <w:tcPr>
            <w:tcW w:w="1400" w:type="dxa"/>
            <w:vAlign w:val="bottom"/>
            <w:tcBorders>
              <w:left w:val="single" w:sz="8" w:color="00000A"/>
              <w:right w:val="single" w:sz="8" w:color="00000A"/>
            </w:tcBorders>
          </w:tcPr>
          <w:p>
            <w:pPr>
              <w:spacing w:after="0"/>
              <w:rPr>
                <w:sz w:val="20"/>
                <w:szCs w:val="20"/>
                <w:color w:val="auto"/>
              </w:rPr>
            </w:pP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Ltd.</w:t>
            </w:r>
          </w:p>
        </w:tc>
        <w:tc>
          <w:tcPr>
            <w:tcW w:w="2620" w:type="dxa"/>
            <w:vAlign w:val="bottom"/>
            <w:tcBorders>
              <w:right w:val="single" w:sz="8" w:color="00000A"/>
            </w:tcBorders>
          </w:tcPr>
          <w:p>
            <w:pPr>
              <w:spacing w:after="0"/>
              <w:rPr>
                <w:sz w:val="20"/>
                <w:szCs w:val="20"/>
                <w:color w:val="auto"/>
              </w:rPr>
            </w:pPr>
          </w:p>
        </w:tc>
        <w:tc>
          <w:tcPr>
            <w:tcW w:w="178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Xiamen Tungsten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CID002082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Xiamen Tungsten (H.C.)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CID002320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Woltech Korea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KOREA (REPUBLIC OF)</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CID002843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Wolfram Bergbau und Hutten AG</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AUSTRIA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CID002044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Vietnam Youngsun Tungsten Industry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VIET NAM</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CID002011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Unecha Refractory metals plant</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CID002724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Tejing (Vietnam) Tungsten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VIET NAM</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CID001889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22"/>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6"/>
              </w:rPr>
              <w:t>South-East Nonferrous Metal Company Limited of Hengyang</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CID002815</w:t>
            </w:r>
          </w:p>
        </w:tc>
      </w:tr>
      <w:tr>
        <w:trPr>
          <w:trHeight w:val="230"/>
        </w:trPr>
        <w:tc>
          <w:tcPr>
            <w:tcW w:w="1400" w:type="dxa"/>
            <w:vAlign w:val="bottom"/>
            <w:tcBorders>
              <w:left w:val="single" w:sz="8" w:color="00000A"/>
              <w:right w:val="single" w:sz="8" w:color="00000A"/>
            </w:tcBorders>
          </w:tcPr>
          <w:p>
            <w:pPr>
              <w:spacing w:after="0"/>
              <w:rPr>
                <w:sz w:val="20"/>
                <w:szCs w:val="20"/>
                <w:color w:val="auto"/>
              </w:rPr>
            </w:pP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City</w:t>
            </w:r>
          </w:p>
        </w:tc>
        <w:tc>
          <w:tcPr>
            <w:tcW w:w="2620" w:type="dxa"/>
            <w:vAlign w:val="bottom"/>
            <w:tcBorders>
              <w:right w:val="single" w:sz="8" w:color="00000A"/>
            </w:tcBorders>
          </w:tcPr>
          <w:p>
            <w:pPr>
              <w:spacing w:after="0"/>
              <w:rPr>
                <w:sz w:val="20"/>
                <w:szCs w:val="20"/>
                <w:color w:val="auto"/>
              </w:rPr>
            </w:pPr>
          </w:p>
        </w:tc>
        <w:tc>
          <w:tcPr>
            <w:tcW w:w="178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Philippine Chuangxin Industrial Co., Inc.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PHILIPPINES</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CID002827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3"/>
              </w:rPr>
              <w:t>Nui Phao H.C. Starck Tungsten Chemicals Manufacturing LLC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VIET NAM</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CID002543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Niagara Refining LLC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CID002589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Moliren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CID002845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Malipo Haiyu Tungsten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CID002319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Kennametal Huntsville</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CID000105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Kennametal Fallon</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CID000966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Yaosheng Tungsten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CID002316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Xiushui Xianggan Nonferrous Metals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CID002535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Xinsheng Tungsten Industry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CID002317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22"/>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Tonggu Non-ferrous Metallurgical &amp; Chemical Co.,</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CID002318</w:t>
            </w:r>
          </w:p>
        </w:tc>
      </w:tr>
      <w:tr>
        <w:trPr>
          <w:trHeight w:val="230"/>
        </w:trPr>
        <w:tc>
          <w:tcPr>
            <w:tcW w:w="1400" w:type="dxa"/>
            <w:vAlign w:val="bottom"/>
            <w:tcBorders>
              <w:left w:val="single" w:sz="8" w:color="00000A"/>
              <w:right w:val="single" w:sz="8" w:color="00000A"/>
            </w:tcBorders>
          </w:tcPr>
          <w:p>
            <w:pPr>
              <w:spacing w:after="0"/>
              <w:rPr>
                <w:sz w:val="20"/>
                <w:szCs w:val="20"/>
                <w:color w:val="auto"/>
              </w:rPr>
            </w:pP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Ltd.</w:t>
            </w:r>
          </w:p>
        </w:tc>
        <w:tc>
          <w:tcPr>
            <w:tcW w:w="2620" w:type="dxa"/>
            <w:vAlign w:val="bottom"/>
            <w:tcBorders>
              <w:right w:val="single" w:sz="8" w:color="00000A"/>
            </w:tcBorders>
          </w:tcPr>
          <w:p>
            <w:pPr>
              <w:spacing w:after="0"/>
              <w:rPr>
                <w:sz w:val="20"/>
                <w:szCs w:val="20"/>
                <w:color w:val="auto"/>
              </w:rPr>
            </w:pPr>
          </w:p>
        </w:tc>
        <w:tc>
          <w:tcPr>
            <w:tcW w:w="178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Minmetals Gao'an Non-ferrous Metals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CID002313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Gan Bei Tungsten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CID002321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Dayu Longxintai Tungsten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CID002647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Jiangwu H.C. Starck Tungsten Products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CID002551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 New Metals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CID000825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Hydrometallurg, JSC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CID002649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Hunan Chunchang Nonferrous Metals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CID000769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520"/>
          </w:cols>
          <w:pgMar w:left="240" w:top="796" w:right="11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Hunan Chuangda Vanadium Tungsten Co., Ltd. Wuji</w:t>
            </w:r>
          </w:p>
        </w:tc>
        <w:tc>
          <w:tcPr>
            <w:tcW w:w="26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CID002579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Hunan Chenzhou Mining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CID000766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H.C. Starck Tungsten GmbH</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CID002541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H.C. Starck Smelting GmbH &amp; Co. KG</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CID002542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Guangdong Xianglu Tungsten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CID000218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Global Tungsten &amp; Powders Corp.</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CID000568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Ganzhou Yatai Tungsten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CID002536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Ganzhou Seadragon W &amp; Mo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CID002494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Ganzhou Jiangwu Ferrotungsten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CID002315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Ganzhou Huaxing Tungsten Products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CID000875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Fujian Jinxin Tungsten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CID000499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Dayu Weiliang Tungsten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CID000345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Chongyi Zhangyuan Tungsten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CID000258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Chenzhou Diamond Tungsten Products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CID002513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Asia Tungsten Products Vietnam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VIET NAM</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CID002502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ACL Metais Eireli</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CID002833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A.L.M.T. TUNGSTEN Corp.</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CID000004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Yunnan Chengfeng Non-ferrous Metals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CID002158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White Solder Metalurgia e Mineracao Ltda.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CID002036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VQB Mineral and Trading Group JSC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VIET NAM</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CID002015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Tuyen Quang Non-Ferrous Metals Joint Stock Company</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VIET NAM</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CID002574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Thaisarco</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THAILAND</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CID001898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Soft Metais Ltda.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CID001758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22"/>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Rui Da Hung</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TAIWAN, PROVINCE OF</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CID001539</w:t>
            </w:r>
          </w:p>
        </w:tc>
      </w:tr>
      <w:tr>
        <w:trPr>
          <w:trHeight w:val="230"/>
        </w:trPr>
        <w:tc>
          <w:tcPr>
            <w:tcW w:w="1400" w:type="dxa"/>
            <w:vAlign w:val="bottom"/>
            <w:tcBorders>
              <w:left w:val="single" w:sz="8" w:color="00000A"/>
              <w:right w:val="single" w:sz="8" w:color="00000A"/>
            </w:tcBorders>
          </w:tcPr>
          <w:p>
            <w:pPr>
              <w:spacing w:after="0"/>
              <w:rPr>
                <w:sz w:val="20"/>
                <w:szCs w:val="20"/>
                <w:color w:val="auto"/>
              </w:rPr>
            </w:pPr>
          </w:p>
        </w:tc>
        <w:tc>
          <w:tcPr>
            <w:tcW w:w="4720" w:type="dxa"/>
            <w:vAlign w:val="bottom"/>
            <w:tcBorders>
              <w:right w:val="single" w:sz="8" w:color="00000A"/>
            </w:tcBorders>
          </w:tcPr>
          <w:p>
            <w:pPr>
              <w:spacing w:after="0"/>
              <w:rPr>
                <w:sz w:val="20"/>
                <w:szCs w:val="20"/>
                <w:color w:val="auto"/>
              </w:rPr>
            </w:pP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Resind Industria e Comercio Ltda.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CID002706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Tommy Utama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CID001493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Tinindo Inter Nusa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CID001490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Timah (Persero) Tbk Mentok</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CID001482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Timah (Persero) Tbk Kundur</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CID001477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Sumber Jaya Indah</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CID001471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Sukses Inti Makmur</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CID002816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Stanindo Inti Perkasa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CID001468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Sariwiguna Binasentosa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CID001463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Refined Bangka Tin</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CID001460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Prima Timah Utama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CID001458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Panca Mega Persada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CID001457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O.M. Indonesia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CID002757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Mitra Stania Prima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CID001453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Kijang Jaya Mandiri</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CID002829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Karimun Mining</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CID001448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Inti Stania Prima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CID002530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520"/>
          </w:cols>
          <w:pgMar w:left="240" w:top="714" w:right="11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PT Eunindo Usaha Mandiri</w:t>
            </w:r>
          </w:p>
        </w:tc>
        <w:tc>
          <w:tcPr>
            <w:tcW w:w="26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CID001438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DS Jaya Abadi</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CID001434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Bukit Timah</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CID001428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Belitung Industri Sejahtera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CID001421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Bangka Tin Industry</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CID001419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Bangka Prima Tin</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CID002776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Babel Inti Perkasa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CID001402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ATD Makmur Mandiri Jaya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CID002503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Artha Cipta Langgeng</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CID001399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Aries Kencana Sejahtera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CID000309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22"/>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Operaciones Metalurgical S.A.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BOLIVIA (PLURINATIONAL</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CID001337</w:t>
            </w:r>
          </w:p>
        </w:tc>
      </w:tr>
      <w:tr>
        <w:trPr>
          <w:trHeight w:val="230"/>
        </w:trPr>
        <w:tc>
          <w:tcPr>
            <w:tcW w:w="1400" w:type="dxa"/>
            <w:vAlign w:val="bottom"/>
            <w:tcBorders>
              <w:left w:val="single" w:sz="8" w:color="00000A"/>
              <w:right w:val="single" w:sz="8" w:color="00000A"/>
            </w:tcBorders>
          </w:tcPr>
          <w:p>
            <w:pPr>
              <w:spacing w:after="0"/>
              <w:rPr>
                <w:sz w:val="20"/>
                <w:szCs w:val="20"/>
                <w:color w:val="auto"/>
              </w:rPr>
            </w:pPr>
          </w:p>
        </w:tc>
        <w:tc>
          <w:tcPr>
            <w:tcW w:w="4720" w:type="dxa"/>
            <w:vAlign w:val="bottom"/>
            <w:tcBorders>
              <w:right w:val="single" w:sz="8" w:color="00000A"/>
            </w:tcBorders>
          </w:tcPr>
          <w:p>
            <w:pPr>
              <w:spacing w:after="0"/>
              <w:rPr>
                <w:sz w:val="20"/>
                <w:szCs w:val="20"/>
                <w:color w:val="auto"/>
              </w:rPr>
            </w:pP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STATE OF)</w:t>
            </w:r>
          </w:p>
        </w:tc>
        <w:tc>
          <w:tcPr>
            <w:tcW w:w="178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O.M. Manufacturing Philippines, Inc.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PHILIPPINES</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CID002517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O.M. Manufacturing (Thailand)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THAILAND</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CID001314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Nghe Tinh Non-Ferrous Metals Joint Stock Company</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VIET NAM</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CID002573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Nankang Nanshan Tin Manufactory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CID001231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Modeltech Sdn Bhd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MALAYSIA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CID002858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Mitsubishi Materials Corporation</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CID001191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Minsur</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PERU</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CID001182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Mineracao Taboca S.A.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CID001173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Metallo-Chimique N.V.</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BELGIUM</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CID002773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Metallic Resources, Inc.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CID001142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Melt Metais e Ligas S.A.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CID002500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Malaysia Smelting Corporation (MSC)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MALAYSIA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CID001105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Magnu's Minerais Metais e Ligas Ltda.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CID002468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Ketai Advanced Material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CID000244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Huichang Jinshunda Tin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CID000760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HuiChang Hill Tin Industry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CID002844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Guanyang Guida Nonferrous Metal Smelting Plant</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CID002849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Gejiu Zili Mining And Metallurgy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CID000555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Gejiu Yunxin Nonferrous Electrolysis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CID001908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Gejiu Non-Ferrous Metal Processing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CID000538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Gejiu Kai Meng Industry and Trade LLC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CID000942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Gejiu Jinye Mineral Company</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CID002859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Gejiu Fengming Metallurgy Chemical Plant</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CID002848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Fenix Metals</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POLAND</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CID000468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Estanho de Rondonia S.A.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CID000448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22"/>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EM Vinto</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BOLIVIA (PLURINATIONAL</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CID000438</w:t>
            </w:r>
          </w:p>
        </w:tc>
      </w:tr>
      <w:tr>
        <w:trPr>
          <w:trHeight w:val="230"/>
        </w:trPr>
        <w:tc>
          <w:tcPr>
            <w:tcW w:w="1400" w:type="dxa"/>
            <w:vAlign w:val="bottom"/>
            <w:tcBorders>
              <w:left w:val="single" w:sz="8" w:color="00000A"/>
              <w:right w:val="single" w:sz="8" w:color="00000A"/>
            </w:tcBorders>
          </w:tcPr>
          <w:p>
            <w:pPr>
              <w:spacing w:after="0"/>
              <w:rPr>
                <w:sz w:val="20"/>
                <w:szCs w:val="20"/>
                <w:color w:val="auto"/>
              </w:rPr>
            </w:pPr>
          </w:p>
        </w:tc>
        <w:tc>
          <w:tcPr>
            <w:tcW w:w="4720" w:type="dxa"/>
            <w:vAlign w:val="bottom"/>
            <w:tcBorders>
              <w:right w:val="single" w:sz="8" w:color="00000A"/>
            </w:tcBorders>
          </w:tcPr>
          <w:p>
            <w:pPr>
              <w:spacing w:after="0"/>
              <w:rPr>
                <w:sz w:val="20"/>
                <w:szCs w:val="20"/>
                <w:color w:val="auto"/>
              </w:rPr>
            </w:pP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STATE OF)</w:t>
            </w:r>
          </w:p>
        </w:tc>
        <w:tc>
          <w:tcPr>
            <w:tcW w:w="178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Elmet S.L.U.</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SPAIN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CID002774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22"/>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Electro-Mechanical Facility of the Cao Bang Minerals &amp;</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VIET NAM</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CID002572</w:t>
            </w:r>
          </w:p>
        </w:tc>
      </w:tr>
      <w:tr>
        <w:trPr>
          <w:trHeight w:val="230"/>
        </w:trPr>
        <w:tc>
          <w:tcPr>
            <w:tcW w:w="1400" w:type="dxa"/>
            <w:vAlign w:val="bottom"/>
            <w:tcBorders>
              <w:left w:val="single" w:sz="8" w:color="00000A"/>
              <w:right w:val="single" w:sz="8" w:color="00000A"/>
            </w:tcBorders>
          </w:tcPr>
          <w:p>
            <w:pPr>
              <w:spacing w:after="0"/>
              <w:rPr>
                <w:sz w:val="20"/>
                <w:szCs w:val="20"/>
                <w:color w:val="auto"/>
              </w:rPr>
            </w:pP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Metallurgy Joint Stock Company</w:t>
            </w:r>
          </w:p>
        </w:tc>
        <w:tc>
          <w:tcPr>
            <w:tcW w:w="2620" w:type="dxa"/>
            <w:vAlign w:val="bottom"/>
            <w:tcBorders>
              <w:right w:val="single" w:sz="8" w:color="00000A"/>
            </w:tcBorders>
          </w:tcPr>
          <w:p>
            <w:pPr>
              <w:spacing w:after="0"/>
              <w:rPr>
                <w:sz w:val="20"/>
                <w:szCs w:val="20"/>
                <w:color w:val="auto"/>
              </w:rPr>
            </w:pPr>
          </w:p>
        </w:tc>
        <w:tc>
          <w:tcPr>
            <w:tcW w:w="178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520"/>
          </w:cols>
          <w:pgMar w:left="240" w:top="714" w:right="11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Dowa</w:t>
            </w:r>
          </w:p>
        </w:tc>
        <w:tc>
          <w:tcPr>
            <w:tcW w:w="26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CID000402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CV Venus Inti Perkasa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CID002455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CV United Smelting</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CID000315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CV Tiga Sekawan</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CID002593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CV Serumpun Sebalai</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CID000313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CV Gita Pesona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CID000306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CV Dua Sekawan</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CID002592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CV Ayi Jaya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CID002570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Cooperativa Metalurgica de Rondonia Ltda.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CID000295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CNMC (Guangxi) PGMA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CID000278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 Tin Group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CID001070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An Vinh Joint Stock Mineral Processing Company</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VIET NAM</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CID002703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Alpha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CID000292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Yunnan Tin Company Limited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CID002180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Zhuzhou Cemented Carbide Group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CID002232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Yichun Jin Yang Rare Metal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CID002307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XinXing HaoRong Electronic Material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CID002508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Ulba Metallurgical Plant JSC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KAZAKHSTAN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CID001969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Tranzact, Inc.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CID002571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Telex Metals</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CID001891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Taki Chemical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CID001869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Solikamsk Magnesium Works OAO</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CID001769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RFH Tantalum Smeltry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CID001522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Resind Industria e Comercio Ltda.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CID002707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QuantumClean</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CID001508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22"/>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Power Resources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MACEDONIA (THE FORMER</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CID002847</w:t>
            </w:r>
          </w:p>
        </w:tc>
      </w:tr>
      <w:tr>
        <w:trPr>
          <w:trHeight w:val="230"/>
        </w:trPr>
        <w:tc>
          <w:tcPr>
            <w:tcW w:w="1400" w:type="dxa"/>
            <w:vAlign w:val="bottom"/>
            <w:tcBorders>
              <w:left w:val="single" w:sz="8" w:color="00000A"/>
              <w:right w:val="single" w:sz="8" w:color="00000A"/>
            </w:tcBorders>
          </w:tcPr>
          <w:p>
            <w:pPr>
              <w:spacing w:after="0"/>
              <w:rPr>
                <w:sz w:val="20"/>
                <w:szCs w:val="20"/>
                <w:color w:val="auto"/>
              </w:rPr>
            </w:pPr>
          </w:p>
        </w:tc>
        <w:tc>
          <w:tcPr>
            <w:tcW w:w="4720" w:type="dxa"/>
            <w:vAlign w:val="bottom"/>
            <w:tcBorders>
              <w:right w:val="single" w:sz="8" w:color="00000A"/>
            </w:tcBorders>
          </w:tcPr>
          <w:p>
            <w:pPr>
              <w:spacing w:after="0"/>
              <w:rPr>
                <w:sz w:val="20"/>
                <w:szCs w:val="20"/>
                <w:color w:val="auto"/>
              </w:rPr>
            </w:pP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YUGOSLAV REPUBLIC OF)</w:t>
            </w:r>
          </w:p>
        </w:tc>
        <w:tc>
          <w:tcPr>
            <w:tcW w:w="178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NPM Silmet AS</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ESTONIA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CID001200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Ningxia Orient Tantalum Industry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CID001277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Mitsui Mining and Smelting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CID001192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Mineracao Taboca S.A.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CID001175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Metallurgical Products India Pvt.,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CID001163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LSM Brasil S.A.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CID001076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King-Tan Tantalum Industry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CID000973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KEMET Blue Powder</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CID002568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KEMET Blue Metals</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MEXICO</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CID002539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Jiujiang Zhongao Tantalum &amp; Niobium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CID002506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Jiujiang Nonferrous Metals Smelting Company Limited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CID000917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JiuJiang JinXin Nonferrous Metals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CID000914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520"/>
          </w:cols>
          <w:pgMar w:left="240" w:top="714" w:right="11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Jiangxi Tuohong New Raw Material</w:t>
            </w:r>
          </w:p>
        </w:tc>
        <w:tc>
          <w:tcPr>
            <w:tcW w:w="26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CID002842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Dinghai Tantalum &amp; Niobium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CID002512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Hi-Temp Specialty Metals, Inc.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CID000731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Hengyang King Xing Lifeng New Materials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CID002492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H.C. Starck Tantalum and Niobium GmbH</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CID002545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H.C. Starck Smelting GmbH &amp; Co. KG</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CID002550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H.C. Starck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CID002549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H.C. Starck Inc.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CID002548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H.C. Starck Hermsdorf GmbH</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CID002547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H.C. Starck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THAILAND</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CID002544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Guangdong Zhiyuan New Material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CID000616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Global Advanced Metals Boyertown</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CID002557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Global Advanced Metals Aizu</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CID002558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FIR Metals &amp; Resource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CID002505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F&amp;X Electro-Materials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CID000460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Exotech Inc.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CID000456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Duoluoshan</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CID000410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 Block Metals, LLC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CID002504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Conghua Tantalum and Niobium Smeltry</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CID000291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Changsha South Tantalum Niobium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CID000211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Zhongyuan Gold Smelter of Zhongjin Gold Corporation</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CID002224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Yokohama Metal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CID002129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Yamamoto Precious Metal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CID002100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WIELAND Edelmetalle GmbH</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CID002778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Western Australian Mint (T/a The Perth Mint)</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AUSTRALIA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CID002030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Valcambi S.A.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SWITZERLAND</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CID002003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Precious Metal Refining, Inc.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CID001993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Umicore S.A. Business Unit Precious Metals Refining</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BELGIUM</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CID001980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Umicore Precious Metals Thailand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THAILAND</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CID002314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Umicore Brasil Ltda.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CID001977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Torecom</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KOREA (REPUBLIC OF)</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CID001955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TOO Tau-Ken-Altyn</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KAZAKHSTAN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CID002615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Tongling Nonferrous Metals Group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CID001947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Tokuriki Honten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CID001938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The Refinery of Shandong Gold Mining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CID001916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Tanaka Kikinzoku Kogyo K.K.</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CID001875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T.C.A S.p.A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ITALY</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CID002580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Sumitomo Metal Mining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CID001798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520"/>
          </w:cols>
          <w:pgMar w:left="240" w:top="714" w:right="11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4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Solar Applied Materials Technology Corp.</w:t>
            </w:r>
          </w:p>
        </w:tc>
        <w:tc>
          <w:tcPr>
            <w:tcW w:w="26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TAIWAN, PROVINCE OF</w:t>
            </w:r>
          </w:p>
        </w:tc>
        <w:tc>
          <w:tcPr>
            <w:tcW w:w="17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CID001761</w:t>
            </w:r>
          </w:p>
        </w:tc>
      </w:tr>
      <w:tr>
        <w:trPr>
          <w:trHeight w:val="230"/>
        </w:trPr>
        <w:tc>
          <w:tcPr>
            <w:tcW w:w="1400" w:type="dxa"/>
            <w:vAlign w:val="bottom"/>
            <w:tcBorders>
              <w:left w:val="single" w:sz="8" w:color="00000A"/>
              <w:right w:val="single" w:sz="8" w:color="00000A"/>
            </w:tcBorders>
          </w:tcPr>
          <w:p>
            <w:pPr>
              <w:spacing w:after="0"/>
              <w:rPr>
                <w:sz w:val="20"/>
                <w:szCs w:val="20"/>
                <w:color w:val="auto"/>
              </w:rPr>
            </w:pPr>
          </w:p>
        </w:tc>
        <w:tc>
          <w:tcPr>
            <w:tcW w:w="4720" w:type="dxa"/>
            <w:vAlign w:val="bottom"/>
            <w:tcBorders>
              <w:right w:val="single" w:sz="8" w:color="00000A"/>
            </w:tcBorders>
          </w:tcPr>
          <w:p>
            <w:pPr>
              <w:spacing w:after="0"/>
              <w:rPr>
                <w:sz w:val="20"/>
                <w:szCs w:val="20"/>
                <w:color w:val="auto"/>
              </w:rPr>
            </w:pP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SOE Shyolkovsky Factory of Secondary Precious Metals</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CID001756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So Accurate Group, Inc.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CID001754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22"/>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Singway Technology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TAIWAN, PROVINCE OF</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CID002516</w:t>
            </w:r>
          </w:p>
        </w:tc>
      </w:tr>
      <w:tr>
        <w:trPr>
          <w:trHeight w:val="230"/>
        </w:trPr>
        <w:tc>
          <w:tcPr>
            <w:tcW w:w="1400" w:type="dxa"/>
            <w:vAlign w:val="bottom"/>
            <w:tcBorders>
              <w:left w:val="single" w:sz="8" w:color="00000A"/>
              <w:right w:val="single" w:sz="8" w:color="00000A"/>
            </w:tcBorders>
          </w:tcPr>
          <w:p>
            <w:pPr>
              <w:spacing w:after="0"/>
              <w:rPr>
                <w:sz w:val="20"/>
                <w:szCs w:val="20"/>
                <w:color w:val="auto"/>
              </w:rPr>
            </w:pPr>
          </w:p>
        </w:tc>
        <w:tc>
          <w:tcPr>
            <w:tcW w:w="4720" w:type="dxa"/>
            <w:vAlign w:val="bottom"/>
            <w:tcBorders>
              <w:right w:val="single" w:sz="8" w:color="00000A"/>
            </w:tcBorders>
          </w:tcPr>
          <w:p>
            <w:pPr>
              <w:spacing w:after="0"/>
              <w:rPr>
                <w:sz w:val="20"/>
                <w:szCs w:val="20"/>
                <w:color w:val="auto"/>
              </w:rPr>
            </w:pP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Sichuan Tianze Precious Metals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CID001736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Shandong Zhaojin Gold &amp; Silver Refinery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CID001622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Shandong Tiancheng Biological Gold Industrial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CID001619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SEMPSA Joyeria Plateria S.A.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SPAIN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CID001585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Schone Edelmetaal B.V.</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NETHERLANDS</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CID001573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SAXONIA Edelmetalle GmbH</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CID002777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Samwon Metals Corp.</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KOREA (REPUBLIC OF)</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CID001562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Samduck Precious Metals</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KOREA (REPUBLIC OF)</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CID001555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Sai Refinery</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CID002853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SAFINA A.S.</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CZECH REPUBLIC</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CID002290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Sabin Metal Corp.</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CID001546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SAAMP</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FRANCE</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CID002761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Royal Canadian Mint</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CANADA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CID001534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Republic Metals Corporation</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CID002510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Remondis Argentia B.V.</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NETHERLANDS</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CID002582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Rand Refinery (Pty)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SOUTH AFRICA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CID001512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PX Precinox S.A.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SWITZERLAND</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CID001498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Aneka Tambang (Persero) Tbk</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CID001397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Prioksky Plant of Non-Ferrous Metals</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CID001386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Penglai Penggang Gold Industry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CID001362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PAMP S.A.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SWITZERLAND</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CID001352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OJSC Novosibirsk Refinery</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CID000493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22"/>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7"/>
              </w:rPr>
              <w:t>OJSC "The Gulidov Krasnoyarsk Non-Ferrous Metals Plant"</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CID001326</w:t>
            </w:r>
          </w:p>
        </w:tc>
      </w:tr>
      <w:tr>
        <w:trPr>
          <w:trHeight w:val="230"/>
        </w:trPr>
        <w:tc>
          <w:tcPr>
            <w:tcW w:w="1400" w:type="dxa"/>
            <w:vAlign w:val="bottom"/>
            <w:tcBorders>
              <w:left w:val="single" w:sz="8" w:color="00000A"/>
              <w:right w:val="single" w:sz="8" w:color="00000A"/>
            </w:tcBorders>
          </w:tcPr>
          <w:p>
            <w:pPr>
              <w:spacing w:after="0"/>
              <w:rPr>
                <w:sz w:val="20"/>
                <w:szCs w:val="20"/>
                <w:color w:val="auto"/>
              </w:rPr>
            </w:pP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(OJSC Krastsvetmet)</w:t>
            </w:r>
          </w:p>
        </w:tc>
        <w:tc>
          <w:tcPr>
            <w:tcW w:w="2620" w:type="dxa"/>
            <w:vAlign w:val="bottom"/>
            <w:tcBorders>
              <w:right w:val="single" w:sz="8" w:color="00000A"/>
            </w:tcBorders>
          </w:tcPr>
          <w:p>
            <w:pPr>
              <w:spacing w:after="0"/>
              <w:rPr>
                <w:sz w:val="20"/>
                <w:szCs w:val="20"/>
                <w:color w:val="auto"/>
              </w:rPr>
            </w:pPr>
          </w:p>
        </w:tc>
        <w:tc>
          <w:tcPr>
            <w:tcW w:w="178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Ohura Precious Metal Industry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CID001325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1"/>
              </w:rPr>
              <w:t>Ogussa Osterreichische Gold- und Silber-Scheideanstalt GmbH</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AUSTRIA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CID002779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Nihon Material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CID001259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Navoi Mining and Metallurgical Combinat</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UZBEKISTAN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CID001236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Nadir Metal Rafineri San. Ve Tic. A.S.</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TURKEY</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CID001220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Moscow Special Alloys Processing Plant</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CID001204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Morris and Watson</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NEW ZEALAND</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CID002282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Modeltech Sdn Bhd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MALAYSIA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CID002857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520"/>
          </w:cols>
          <w:pgMar w:left="240" w:top="714" w:right="113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MMTC-PAMP India Pvt., Ltd.</w:t>
            </w:r>
          </w:p>
        </w:tc>
        <w:tc>
          <w:tcPr>
            <w:tcW w:w="26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INDIA</w:t>
            </w:r>
          </w:p>
        </w:tc>
        <w:tc>
          <w:tcPr>
            <w:tcW w:w="17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CID002509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Mitsui Mining and Smelting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CID001193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Mitsubishi Materials Corporation</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CID001188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Metalurgica Met-Mex Penoles S.A. De C.V.</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MEXICO</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CID001161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Matsuda Sangyo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CID001119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Materion</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CID001113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Luoyang Zijin Yinhui Gold Refinery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CID001093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LS-NIKKO Copper Inc.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KOREA (REPUBLIC OF)</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CID001078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Lingbao Jinyuan Tonghui Refinery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CID001058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Lingbao Gold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CID001056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Kyrgyzaltyn JSC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KYRGYZSTAN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CID001029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Korea Zinc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KOREA (REPUBLIC OF)</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CID002605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Kojima Chemicals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CID000981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KGHM Polska Miedz Spolka Akcyjna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POLAND</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CID002511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Kennecott Utah Copper LLC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CID000969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Kazzinc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KAZAKHSTAN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CID000957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Kazakhmys Smelting LLC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KAZAKHSTAN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CID000956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JX Nippon Mining &amp; Metals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CID000937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JSC Uralelectromed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CID000929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JSC Ekaterinburg Non-Ferrous Metal Processing Plant</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CID000927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Copper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CID000855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 Mint</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CID000823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Istanbul Gold Refinery</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TURKEY</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CID000814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Ishifuku Metal Industry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CID000807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22"/>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6"/>
              </w:rPr>
              <w:t>Inner Mongolia Qiankun Gold and Silver Refinery Share Co.,</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CID000801</w:t>
            </w:r>
          </w:p>
        </w:tc>
      </w:tr>
      <w:tr>
        <w:trPr>
          <w:trHeight w:val="230"/>
        </w:trPr>
        <w:tc>
          <w:tcPr>
            <w:tcW w:w="1400" w:type="dxa"/>
            <w:vAlign w:val="bottom"/>
            <w:tcBorders>
              <w:left w:val="single" w:sz="8" w:color="00000A"/>
              <w:right w:val="single" w:sz="8" w:color="00000A"/>
            </w:tcBorders>
          </w:tcPr>
          <w:p>
            <w:pPr>
              <w:spacing w:after="0"/>
              <w:rPr>
                <w:sz w:val="20"/>
                <w:szCs w:val="20"/>
                <w:color w:val="auto"/>
              </w:rPr>
            </w:pP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Ltd.</w:t>
            </w:r>
          </w:p>
        </w:tc>
        <w:tc>
          <w:tcPr>
            <w:tcW w:w="2620" w:type="dxa"/>
            <w:vAlign w:val="bottom"/>
            <w:tcBorders>
              <w:right w:val="single" w:sz="8" w:color="00000A"/>
            </w:tcBorders>
          </w:tcPr>
          <w:p>
            <w:pPr>
              <w:spacing w:after="0"/>
              <w:rPr>
                <w:sz w:val="20"/>
                <w:szCs w:val="20"/>
                <w:color w:val="auto"/>
              </w:rPr>
            </w:pPr>
          </w:p>
        </w:tc>
        <w:tc>
          <w:tcPr>
            <w:tcW w:w="1780" w:type="dxa"/>
            <w:vAlign w:val="bottom"/>
            <w:tcBorders>
              <w:right w:val="single" w:sz="8" w:color="00000A"/>
            </w:tcBorders>
          </w:tcPr>
          <w:p>
            <w:pPr>
              <w:spacing w:after="0"/>
              <w:rPr>
                <w:sz w:val="20"/>
                <w:szCs w:val="20"/>
                <w:color w:val="auto"/>
              </w:rPr>
            </w:pP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HwaSeong CJ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KOREA (REPUBLIC OF)</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CID000778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Hunan Chenzhou Mining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CID000767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Heraeus Precious Metals GmbH &amp; Co. KG</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CID000711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Heraeus Metals Hong Kong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CID000707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Heimerle + Meule GmbH</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CID000694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Hangzhou Fuchunjiang Smelting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CID000671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Guoda Safina High-Tech Environmental Refinery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CID000651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Guangdong Jinding Gold Limited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CID002312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Great Wall Precious Metals Co., Ltd. of CBPM</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CID001909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Gold Refinery of Zijin Mining Group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CID002243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Geib Refining Corporation</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CID002459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GCC Gujrat Gold Centre Pvt.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CID002852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520"/>
          </w:cols>
          <w:pgMar w:left="240" w:top="714" w:right="11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Gansu Seemine Material Hi-Tech Co., Ltd.</w:t>
            </w:r>
          </w:p>
        </w:tc>
        <w:tc>
          <w:tcPr>
            <w:tcW w:w="26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CID000522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Emirates Gold DMCC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ARAB EMIRATES</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CID002561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Eco-System Recycling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CID000425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DSC (Do Sung Corporation)</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KOREA (REPUBLIC OF)</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CID000359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Dowa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CID000401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DODUCO GmbH</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CID000362</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Daye Non-Ferrous Metals Mining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CID000343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Daejin Indus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KOREA (REPUBLIC OF)</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CID000328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Chugai Mining</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CID000264</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Chimet S.p.A.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ITALY</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CID000233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Cendres + Metaux S.A.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SWITZERLAND</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CID000189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CCR Refinery - Glencore Canada Corporation</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CANADA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CID000185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Caridad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MEXICO</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CID000180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 Hafner GmbH + Co. KG</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CID000176</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Boliden AB</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SWEDEN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CID000157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6"/>
              </w:rPr>
              <w:t>Bangko Sentral ng Pilipinas (Central Bank of the Philippines)</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PHILIPPINES</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CID000128</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Bangalore Refinery</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INDIA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CID002863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Aurubis AG</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CID000113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AU Traders and Refiners</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SOUTH AFRICA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CID002850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Atasay Kuyumculuk Sanayi Ve Ticaret A.S.</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TURKEY</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CID000103</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Asaka Riken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CID000090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Argor-Heraeus S.A.</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SWITZERLAND</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CID000077</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Almalyk Mining and Metallurgical Complex (AMMC)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UZBEKISTAN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CID000041</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Allgemeine Gold-und Silberscheideanstalt A.G.</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CID000035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Al Etihad Gold LLC</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ARAB EMIRATES</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CID002560</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Aida Chemical Industries Co., Ltd.</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CID000019</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Advanced Chemical Company</w:t>
            </w:r>
          </w:p>
        </w:tc>
        <w:tc>
          <w:tcPr>
            <w:tcW w:w="26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CID000015</w:t>
            </w:r>
          </w:p>
        </w:tc>
      </w:tr>
      <w:tr>
        <w:trPr>
          <w:trHeight w:val="27"/>
        </w:trPr>
        <w:tc>
          <w:tcPr>
            <w:tcW w:w="140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r>
      <w:tr>
        <w:trPr>
          <w:trHeight w:val="237"/>
        </w:trPr>
        <w:tc>
          <w:tcPr>
            <w:tcW w:w="1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Asahi Pretec Corp.</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CID000082</w:t>
            </w:r>
          </w:p>
        </w:tc>
      </w:tr>
      <w:tr>
        <w:trPr>
          <w:trHeight w:val="27"/>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7"/>
        </w:trPr>
        <w:tc>
          <w:tcPr>
            <w:tcW w:w="1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Asahi Refining USA Inc.</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CID000920</w:t>
            </w:r>
          </w:p>
        </w:tc>
      </w:tr>
      <w:tr>
        <w:trPr>
          <w:trHeight w:val="27"/>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7"/>
        </w:trPr>
        <w:tc>
          <w:tcPr>
            <w:tcW w:w="1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Metalor Technologies (Hong Kong) Ltd.</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CID001149</w:t>
            </w:r>
          </w:p>
        </w:tc>
      </w:tr>
      <w:tr>
        <w:trPr>
          <w:trHeight w:val="27"/>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7"/>
        </w:trPr>
        <w:tc>
          <w:tcPr>
            <w:tcW w:w="1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Metalor Technologies (Singapore) Pte., Ltd.</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SINGAPORE</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CID001152</w:t>
            </w:r>
          </w:p>
        </w:tc>
      </w:tr>
      <w:tr>
        <w:trPr>
          <w:trHeight w:val="27"/>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7"/>
        </w:trPr>
        <w:tc>
          <w:tcPr>
            <w:tcW w:w="1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Metalor Technologies S.A.</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CID001153</w:t>
            </w:r>
          </w:p>
        </w:tc>
      </w:tr>
      <w:tr>
        <w:trPr>
          <w:trHeight w:val="27"/>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7"/>
        </w:trPr>
        <w:tc>
          <w:tcPr>
            <w:tcW w:w="1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Metalor USA Refining Corporation</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CID001157</w:t>
            </w:r>
          </w:p>
        </w:tc>
      </w:tr>
      <w:tr>
        <w:trPr>
          <w:trHeight w:val="27"/>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7"/>
        </w:trPr>
        <w:tc>
          <w:tcPr>
            <w:tcW w:w="1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Elemetal Refining, LLC</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UNITED STATES OF AMERICA</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CID001322</w:t>
            </w:r>
          </w:p>
        </w:tc>
      </w:tr>
      <w:tr>
        <w:trPr>
          <w:trHeight w:val="27"/>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520"/>
          </w:cols>
          <w:pgMar w:left="240" w:top="714" w:right="1139"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18"/>
          <w:szCs w:val="18"/>
          <w:b w:val="1"/>
          <w:bCs w:val="1"/>
          <w:color w:val="auto"/>
        </w:rPr>
        <w:t>Appendix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Countries of Origin*</w:t>
      </w:r>
    </w:p>
    <w:p>
      <w:pPr>
        <w:spacing w:after="0" w:line="200" w:lineRule="exact"/>
        <w:rPr>
          <w:sz w:val="20"/>
          <w:szCs w:val="20"/>
          <w:color w:val="auto"/>
        </w:rPr>
      </w:pP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Australia</w:t>
            </w:r>
          </w:p>
        </w:tc>
        <w:tc>
          <w:tcPr>
            <w:tcW w:w="3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Madagascar</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Austria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Malaysia</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Benin</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Mali</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Bolivia (Plurinational State of)</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Mexico</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Brazil</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Mongolia</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Burkina Faso</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Myanmar</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Cambodia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Namibia</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Canada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Nicaragua</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Chile</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Nigeria</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China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Panama</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Colombia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Peru</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Democratic Republic of Congo</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Portugal</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Ecuador</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Eritrea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Rwanda</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Ethiopia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Senegal</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France</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Sierra Leone</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Ghana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South Africa</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Guatemala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Spain</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Guinea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Thailand</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Guyana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Togo</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Honduras</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Uganda</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India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Indonesia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Uzbekistan</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Japan</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Vietnam</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Laos</w:t>
            </w:r>
          </w:p>
        </w:tc>
        <w:tc>
          <w:tcPr>
            <w:tcW w:w="3820" w:type="dxa"/>
            <w:vAlign w:val="bottom"/>
            <w:tcBorders>
              <w:right w:val="single" w:sz="8" w:color="auto"/>
            </w:tcBorders>
          </w:tcPr>
          <w:p>
            <w:pPr>
              <w:spacing w:after="0"/>
              <w:rPr>
                <w:sz w:val="20"/>
                <w:szCs w:val="20"/>
                <w:color w:val="auto"/>
              </w:rPr>
            </w:pP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222222"/>
        </w:rPr>
        <w:t>*The information provided in this list is based on supplier declarations. However, Brady is many steps removed from the mines and smelters, there are many tiers of suppliers in our supply chain, and there is uncertainty as to whether ore from these countries would be present in our supply chain. Brady continues to work with our suppliers, and use publicly available information as well as commercially available services to take corrective actions as needed to further improve our due diligence as it relates to supply chain transparency.</w:t>
      </w:r>
    </w:p>
    <w:sectPr>
      <w:pgSz w:w="11900" w:h="16838" w:orient="portrait"/>
      <w:cols w:equalWidth="0" w:num="1">
        <w:col w:w="11360"/>
      </w:cols>
      <w:pgMar w:left="240" w:top="122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upperLetter"/>
      <w:start w:val="9"/>
    </w:lvl>
  </w:abstractNum>
  <w:abstractNum w:abstractNumId="2">
    <w:nsid w:val="3D1B58BA"/>
    <w:multiLevelType w:val="hybridMultilevel"/>
    <w:lvl w:ilvl="0">
      <w:lvlJc w:val="left"/>
      <w:lvlText w:val="%1."/>
      <w:numFmt w:val="upperLetter"/>
      <w:start w:val="35"/>
    </w:lvl>
  </w:abstractNum>
  <w:abstractNum w:abstractNumId="3">
    <w:nsid w:val="507ED7AB"/>
    <w:multiLevelType w:val="hybridMultilevel"/>
    <w:lvl w:ilvl="0">
      <w:lvlJc w:val="left"/>
      <w:lvlText w:val="%1."/>
      <w:numFmt w:val="upperLetter"/>
      <w:start w:val="61"/>
    </w:lvl>
  </w:abstractNum>
  <w:abstractNum w:abstractNumId="4">
    <w:nsid w:val="2EB141F2"/>
    <w:multiLevelType w:val="hybridMultilevel"/>
    <w:lvl w:ilvl="0">
      <w:lvlJc w:val="left"/>
      <w:lvlText w:val="•"/>
      <w:numFmt w:val="bullet"/>
      <w:start w:val="1"/>
    </w:lvl>
    <w:lvl w:ilvl="1">
      <w:lvlJc w:val="left"/>
      <w:lvlText w:val="§"/>
      <w:numFmt w:val="bullet"/>
      <w:start w:val="1"/>
    </w:lvl>
  </w:abstractNum>
  <w:abstractNum w:abstractNumId="5">
    <w:nsid w:val="41B71EFB"/>
    <w:multiLevelType w:val="hybridMultilevel"/>
    <w:lvl w:ilvl="0">
      <w:lvlJc w:val="left"/>
      <w:lvlText w:val="•"/>
      <w:numFmt w:val="bullet"/>
      <w:start w:val="1"/>
    </w:lvl>
    <w:lvl w:ilvl="1">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2019-12-05T11:57:22Z</dcterms:created>
  <dcterms:modified xsi:type="dcterms:W3CDTF">2019-12-05T11:57:22Z</dcterms:modified>
</cp:coreProperties>
</file>