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49225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92252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Nelligan Helena Regina</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6555 WEST GOOD HOPE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BRADY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BRC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09/25/2014</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686"/>
        <w:spacing w:after="0"/>
        <w:rPr>
          <w:sz w:val="20"/>
          <w:szCs w:val="20"/>
          <w:color w:val="auto"/>
        </w:rPr>
      </w:pPr>
      <w:r>
        <w:rPr>
          <w:rFonts w:ascii="Arial" w:cs="Arial" w:eastAsia="Arial" w:hAnsi="Arial"/>
          <w:sz w:val="17"/>
          <w:szCs w:val="17"/>
          <w:color w:val="0000FF"/>
        </w:rPr>
        <w:t>Senior Vice President - HR</w:t>
      </w:r>
    </w:p>
    <w:p>
      <w:pPr>
        <w:spacing w:after="0" w:line="333"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Arial" w:cs="Arial" w:eastAsia="Arial" w:hAnsi="Arial"/>
                <w:sz w:val="17"/>
                <w:szCs w:val="17"/>
                <w:color w:val="0000FF"/>
              </w:rPr>
              <w:t>MILWAUKEE</w:t>
            </w:r>
          </w:p>
        </w:tc>
        <w:tc>
          <w:tcPr>
            <w:tcW w:w="960" w:type="dxa"/>
            <w:vAlign w:val="bottom"/>
          </w:tcPr>
          <w:p>
            <w:pPr>
              <w:ind w:left="120"/>
              <w:spacing w:after="0"/>
              <w:rPr>
                <w:sz w:val="20"/>
                <w:szCs w:val="20"/>
                <w:color w:val="auto"/>
              </w:rPr>
            </w:pPr>
            <w:r>
              <w:rPr>
                <w:rFonts w:ascii="Arial" w:cs="Arial" w:eastAsia="Arial" w:hAnsi="Arial"/>
                <w:sz w:val="17"/>
                <w:szCs w:val="17"/>
                <w:color w:val="0000FF"/>
              </w:rPr>
              <w:t>WI</w:t>
            </w:r>
          </w:p>
        </w:tc>
        <w:tc>
          <w:tcPr>
            <w:tcW w:w="1680" w:type="dxa"/>
            <w:vAlign w:val="bottom"/>
          </w:tcPr>
          <w:p>
            <w:pPr>
              <w:ind w:left="440"/>
              <w:spacing w:after="0"/>
              <w:rPr>
                <w:sz w:val="20"/>
                <w:szCs w:val="20"/>
                <w:color w:val="auto"/>
              </w:rPr>
            </w:pPr>
            <w:r>
              <w:rPr>
                <w:rFonts w:ascii="Arial" w:cs="Arial" w:eastAsia="Arial" w:hAnsi="Arial"/>
                <w:sz w:val="17"/>
                <w:szCs w:val="17"/>
                <w:color w:val="0000FF"/>
              </w:rPr>
              <w:t>53223</w:t>
            </w:r>
          </w:p>
        </w:tc>
      </w:tr>
      <w:tr>
        <w:trPr>
          <w:trHeight w:val="156"/>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2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2"/>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8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4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2"/>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600" w:type="dxa"/>
            <w:vAlign w:val="bottom"/>
          </w:tcPr>
          <w:p>
            <w:pPr>
              <w:ind w:left="240"/>
              <w:spacing w:after="0" w:line="134" w:lineRule="exact"/>
              <w:rPr>
                <w:sz w:val="20"/>
                <w:szCs w:val="20"/>
                <w:color w:val="auto"/>
              </w:rPr>
            </w:pPr>
            <w:r>
              <w:rPr>
                <w:rFonts w:ascii="Arial" w:cs="Arial" w:eastAsia="Arial" w:hAnsi="Arial"/>
                <w:sz w:val="12"/>
                <w:szCs w:val="12"/>
                <w:b w:val="1"/>
                <w:bCs w:val="1"/>
                <w:color w:val="auto"/>
              </w:rPr>
              <w:t>(A) or</w:t>
            </w:r>
          </w:p>
        </w:tc>
        <w:tc>
          <w:tcPr>
            <w:tcW w:w="560" w:type="dxa"/>
            <w:vAlign w:val="bottom"/>
            <w:vMerge w:val="restart"/>
          </w:tcPr>
          <w:p>
            <w:pPr>
              <w:jc w:val="right"/>
              <w:ind w:right="53"/>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00" w:type="dxa"/>
            <w:vAlign w:val="bottom"/>
            <w:tcBorders>
              <w:bottom w:val="single" w:sz="8" w:color="2C2C2C"/>
            </w:tcBorders>
            <w:gridSpan w:val="3"/>
          </w:tcPr>
          <w:p>
            <w:pPr>
              <w:spacing w:after="0"/>
              <w:rPr>
                <w:sz w:val="4"/>
                <w:szCs w:val="4"/>
                <w:color w:val="auto"/>
              </w:rPr>
            </w:pPr>
          </w:p>
        </w:tc>
        <w:tc>
          <w:tcPr>
            <w:tcW w:w="19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940" w:type="dxa"/>
            <w:vAlign w:val="bottom"/>
            <w:tcBorders>
              <w:bottom w:val="single" w:sz="8" w:color="2C2C2C"/>
            </w:tcBorders>
            <w:gridSpan w:val="2"/>
          </w:tcPr>
          <w:p>
            <w:pPr>
              <w:ind w:left="940"/>
              <w:spacing w:after="0"/>
              <w:rPr>
                <w:sz w:val="20"/>
                <w:szCs w:val="20"/>
                <w:color w:val="auto"/>
              </w:rPr>
            </w:pPr>
            <w:r>
              <w:rPr>
                <w:rFonts w:ascii="Arial" w:cs="Arial" w:eastAsia="Arial" w:hAnsi="Arial"/>
                <w:sz w:val="17"/>
                <w:szCs w:val="17"/>
                <w:color w:val="0000FF"/>
              </w:rPr>
              <w:t>09/25/2014</w:t>
            </w:r>
          </w:p>
        </w:tc>
        <w:tc>
          <w:tcPr>
            <w:tcW w:w="6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0000FF"/>
                <w:w w:val="82"/>
              </w:rPr>
              <w:t>6,646</w:t>
            </w:r>
            <w:r>
              <w:rPr>
                <w:rFonts w:ascii="Arial" w:cs="Arial" w:eastAsia="Arial" w:hAnsi="Arial"/>
                <w:sz w:val="22"/>
                <w:szCs w:val="22"/>
                <w:color w:val="008000"/>
                <w:w w:val="82"/>
                <w:vertAlign w:val="superscript"/>
              </w:rPr>
              <w:t>(1)</w:t>
            </w:r>
          </w:p>
        </w:tc>
        <w:tc>
          <w:tcPr>
            <w:tcW w:w="60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right"/>
              <w:ind w:right="13"/>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400" w:type="dxa"/>
            <w:vAlign w:val="bottom"/>
            <w:tcBorders>
              <w:bottom w:val="single" w:sz="8" w:color="2C2C2C"/>
            </w:tcBorders>
            <w:gridSpan w:val="3"/>
          </w:tcPr>
          <w:p>
            <w:pPr>
              <w:ind w:left="500"/>
              <w:spacing w:after="0"/>
              <w:rPr>
                <w:sz w:val="20"/>
                <w:szCs w:val="20"/>
                <w:color w:val="auto"/>
              </w:rPr>
            </w:pPr>
            <w:r>
              <w:rPr>
                <w:rFonts w:ascii="Arial" w:cs="Arial" w:eastAsia="Arial" w:hAnsi="Arial"/>
                <w:sz w:val="17"/>
                <w:szCs w:val="17"/>
                <w:color w:val="0000FF"/>
              </w:rPr>
              <w:t>11,750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3"/>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80" w:type="dxa"/>
            <w:vAlign w:val="bottom"/>
            <w:gridSpan w:val="11"/>
          </w:tcPr>
          <w:p>
            <w:pPr>
              <w:jc w:val="right"/>
              <w:ind w:right="53"/>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2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(2)</w:t>
            </w: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center"/>
              <w:ind w:right="112"/>
              <w:spacing w:after="0"/>
              <w:rPr>
                <w:sz w:val="20"/>
                <w:szCs w:val="20"/>
                <w:color w:val="auto"/>
              </w:rPr>
            </w:pPr>
            <w:r>
              <w:rPr>
                <w:rFonts w:ascii="Arial" w:cs="Arial" w:eastAsia="Arial" w:hAnsi="Arial"/>
                <w:sz w:val="13"/>
                <w:szCs w:val="13"/>
                <w:color w:val="0000FF"/>
                <w:w w:val="93"/>
              </w:rPr>
              <w:t>Class A</w:t>
            </w:r>
          </w:p>
        </w:tc>
        <w:tc>
          <w:tcPr>
            <w:tcW w:w="560" w:type="dxa"/>
            <w:vAlign w:val="bottom"/>
            <w:vMerge w:val="restart"/>
          </w:tcPr>
          <w:p>
            <w:pPr>
              <w:jc w:val="right"/>
              <w:ind w:right="13"/>
              <w:spacing w:after="0"/>
              <w:rPr>
                <w:sz w:val="20"/>
                <w:szCs w:val="20"/>
                <w:color w:val="auto"/>
              </w:rPr>
            </w:pPr>
            <w:r>
              <w:rPr>
                <w:rFonts w:ascii="Arial" w:cs="Arial" w:eastAsia="Arial" w:hAnsi="Arial"/>
                <w:sz w:val="17"/>
                <w:szCs w:val="17"/>
                <w:color w:val="0000FF"/>
                <w:w w:val="88"/>
              </w:rPr>
              <w:t>21,766</w:t>
            </w: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800" w:type="dxa"/>
            <w:vAlign w:val="bottom"/>
            <w:vMerge w:val="restart"/>
          </w:tcPr>
          <w:p>
            <w:pPr>
              <w:ind w:left="22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22.66</w:t>
            </w:r>
          </w:p>
        </w:tc>
        <w:tc>
          <w:tcPr>
            <w:tcW w:w="1080" w:type="dxa"/>
            <w:vAlign w:val="bottom"/>
            <w:vMerge w:val="restart"/>
          </w:tcPr>
          <w:p>
            <w:pPr>
              <w:jc w:val="right"/>
              <w:ind w:right="138"/>
              <w:spacing w:after="0" w:line="148" w:lineRule="exact"/>
              <w:rPr>
                <w:sz w:val="20"/>
                <w:szCs w:val="20"/>
                <w:color w:val="auto"/>
              </w:rPr>
            </w:pPr>
            <w:r>
              <w:rPr>
                <w:rFonts w:ascii="Arial" w:cs="Arial" w:eastAsia="Arial" w:hAnsi="Arial"/>
                <w:sz w:val="13"/>
                <w:szCs w:val="13"/>
                <w:color w:val="0000FF"/>
              </w:rPr>
              <w:t>09/25/2014</w:t>
            </w:r>
          </w:p>
        </w:tc>
        <w:tc>
          <w:tcPr>
            <w:tcW w:w="1180" w:type="dxa"/>
            <w:vAlign w:val="bottom"/>
          </w:tcPr>
          <w:p>
            <w:pPr>
              <w:spacing w:after="0"/>
              <w:rPr>
                <w:sz w:val="5"/>
                <w:szCs w:val="5"/>
                <w:color w:val="auto"/>
              </w:rPr>
            </w:pPr>
          </w:p>
        </w:tc>
        <w:tc>
          <w:tcPr>
            <w:tcW w:w="760" w:type="dxa"/>
            <w:vAlign w:val="bottom"/>
            <w:vMerge w:val="restart"/>
          </w:tcPr>
          <w:p>
            <w:pPr>
              <w:ind w:left="180"/>
              <w:spacing w:after="0" w:line="148" w:lineRule="exact"/>
              <w:rPr>
                <w:sz w:val="20"/>
                <w:szCs w:val="20"/>
                <w:color w:val="auto"/>
              </w:rPr>
            </w:pPr>
            <w:r>
              <w:rPr>
                <w:rFonts w:ascii="Arial" w:cs="Arial" w:eastAsia="Arial" w:hAnsi="Arial"/>
                <w:sz w:val="13"/>
                <w:szCs w:val="13"/>
                <w:color w:val="0000FF"/>
              </w:rPr>
              <w:t>A</w:t>
            </w:r>
          </w:p>
        </w:tc>
        <w:tc>
          <w:tcPr>
            <w:tcW w:w="600" w:type="dxa"/>
            <w:vAlign w:val="bottom"/>
            <w:vMerge w:val="restart"/>
          </w:tcPr>
          <w:p>
            <w:pPr>
              <w:ind w:left="160"/>
              <w:spacing w:after="0" w:line="148" w:lineRule="exact"/>
              <w:rPr>
                <w:sz w:val="20"/>
                <w:szCs w:val="20"/>
                <w:color w:val="auto"/>
              </w:rPr>
            </w:pPr>
            <w:r>
              <w:rPr>
                <w:rFonts w:ascii="Arial" w:cs="Arial" w:eastAsia="Arial" w:hAnsi="Arial"/>
                <w:sz w:val="13"/>
                <w:szCs w:val="13"/>
                <w:color w:val="0000FF"/>
              </w:rPr>
              <w:t>21,766</w:t>
            </w:r>
          </w:p>
        </w:tc>
        <w:tc>
          <w:tcPr>
            <w:tcW w:w="34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74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09/25/2024</w:t>
            </w:r>
          </w:p>
        </w:tc>
        <w:tc>
          <w:tcPr>
            <w:tcW w:w="70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Common</w:t>
            </w:r>
          </w:p>
        </w:tc>
        <w:tc>
          <w:tcPr>
            <w:tcW w:w="560" w:type="dxa"/>
            <w:vAlign w:val="bottom"/>
            <w:vMerge w:val="continue"/>
          </w:tcPr>
          <w:p>
            <w:pPr>
              <w:spacing w:after="0"/>
              <w:rPr>
                <w:sz w:val="5"/>
                <w:szCs w:val="5"/>
                <w:color w:val="auto"/>
              </w:rPr>
            </w:pPr>
          </w:p>
        </w:tc>
        <w:tc>
          <w:tcPr>
            <w:tcW w:w="780" w:type="dxa"/>
            <w:vAlign w:val="bottom"/>
            <w:gridSpan w:val="2"/>
            <w:vMerge w:val="restart"/>
          </w:tcPr>
          <w:p>
            <w:pPr>
              <w:ind w:left="30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ind w:left="240"/>
              <w:spacing w:after="0" w:line="148" w:lineRule="exact"/>
              <w:rPr>
                <w:sz w:val="20"/>
                <w:szCs w:val="20"/>
                <w:color w:val="auto"/>
              </w:rPr>
            </w:pPr>
            <w:r>
              <w:rPr>
                <w:rFonts w:ascii="Arial" w:cs="Arial" w:eastAsia="Arial" w:hAnsi="Arial"/>
                <w:sz w:val="13"/>
                <w:szCs w:val="13"/>
                <w:color w:val="0000FF"/>
                <w:w w:val="90"/>
              </w:rPr>
              <w:t>21,766</w:t>
            </w:r>
          </w:p>
        </w:tc>
        <w:tc>
          <w:tcPr>
            <w:tcW w:w="280" w:type="dxa"/>
            <w:vAlign w:val="bottom"/>
          </w:tcPr>
          <w:p>
            <w:pPr>
              <w:spacing w:after="0"/>
              <w:rPr>
                <w:sz w:val="5"/>
                <w:szCs w:val="5"/>
                <w:color w:val="auto"/>
              </w:rPr>
            </w:pPr>
          </w:p>
        </w:tc>
        <w:tc>
          <w:tcPr>
            <w:tcW w:w="700" w:type="dxa"/>
            <w:vAlign w:val="bottom"/>
            <w:vMerge w:val="restart"/>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vMerge w:val="restart"/>
          </w:tcPr>
          <w:p>
            <w:pPr>
              <w:jc w:val="center"/>
              <w:ind w:right="112"/>
              <w:spacing w:after="0"/>
              <w:rPr>
                <w:sz w:val="20"/>
                <w:szCs w:val="20"/>
                <w:color w:val="auto"/>
              </w:rPr>
            </w:pPr>
            <w:r>
              <w:rPr>
                <w:rFonts w:ascii="Arial" w:cs="Arial" w:eastAsia="Arial" w:hAnsi="Arial"/>
                <w:sz w:val="13"/>
                <w:szCs w:val="13"/>
                <w:color w:val="0000FF"/>
                <w:w w:val="92"/>
              </w:rPr>
              <w:t>Stock</w:t>
            </w: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4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restricted stock units which vest one third each year for the three years subsequent to the grant date. Upon vesting, each restricted stock unit will be settled solely by delivery of one share of Class A Common Stock.</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options exercisable one third each year for the three years subsequent to the grant 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6"/>
              </w:rPr>
              <w:t>Heidi Knueppel, Attorney-In-</w:t>
            </w:r>
          </w:p>
        </w:tc>
        <w:tc>
          <w:tcPr>
            <w:tcW w:w="22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09/29/2014</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92376" TargetMode="External"/><Relationship Id="rId13" Type="http://schemas.openxmlformats.org/officeDocument/2006/relationships/hyperlink" Target="http://www.sec.gov/cgi-bin/browse-edgar?action=getcompany&amp;CIK=00007465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2019-12-16T04:21:57Z</dcterms:created>
  <dcterms:modified xsi:type="dcterms:W3CDTF">2019-12-16T04:21:57Z</dcterms:modified>
</cp:coreProperties>
</file>