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September 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BRADY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020"/>
          </w:cols>
          <w:pgMar w:left="240" w:top="314" w:right="639" w:bottom="1440" w:gutter="0" w:footer="0" w:header="0"/>
        </w:sectPr>
      </w:pPr>
    </w:p>
    <w:p>
      <w:pPr>
        <w:spacing w:after="0" w:line="212" w:lineRule="exact"/>
        <w:rPr>
          <w:sz w:val="24"/>
          <w:szCs w:val="24"/>
          <w:color w:val="auto"/>
        </w:rPr>
      </w:pPr>
    </w:p>
    <w:p>
      <w:pPr>
        <w:ind w:left="250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jc w:val="center"/>
        <w:ind w:right="1600"/>
        <w:spacing w:after="0"/>
        <w:rPr>
          <w:sz w:val="20"/>
          <w:szCs w:val="20"/>
          <w:color w:val="auto"/>
        </w:rPr>
      </w:pPr>
      <w:r>
        <w:rPr>
          <w:rFonts w:ascii="Arial" w:cs="Arial" w:eastAsia="Arial" w:hAnsi="Arial"/>
          <w:sz w:val="14"/>
          <w:szCs w:val="14"/>
          <w:b w:val="1"/>
          <w:bCs w:val="1"/>
          <w:color w:val="auto"/>
        </w:rPr>
        <w:t>(State</w:t>
      </w:r>
    </w:p>
    <w:p>
      <w:pPr>
        <w:jc w:val="center"/>
        <w:ind w:right="1600"/>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Arial" w:cs="Arial" w:eastAsia="Arial" w:hAnsi="Arial"/>
          <w:sz w:val="14"/>
          <w:szCs w:val="14"/>
          <w:b w:val="1"/>
          <w:bCs w:val="1"/>
          <w:color w:val="auto"/>
        </w:rPr>
        <w:t>(IRS Employer</w:t>
      </w:r>
    </w:p>
    <w:p>
      <w:pPr>
        <w:jc w:val="center"/>
        <w:ind w:right="1840"/>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2900"/>
          </w:cols>
          <w:pgMar w:left="240" w:top="314" w:right="639" w:bottom="1440" w:gutter="0" w:footer="0" w:header="0"/>
          <w:type w:val="continuous"/>
        </w:sectPr>
      </w:pPr>
    </w:p>
    <w:p>
      <w:pPr>
        <w:ind w:left="466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Milwaukee, Wisconsin 53223</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and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color w:val="auto"/>
        </w:rPr>
        <w:t>RESULTS OF OPERATIONS AND FINANCIAL CONDITION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On September 7, 2012, Brady Corporation (the “Corporation”) issued a press release announcing its fiscal 2012 fourth quarter financial results. A copy of the press release is being furnished to the Securities and Exchange Commission as Exhibit 99.1 attached hereto and is incorporated herein by reference.</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7.01</w:t>
      </w:r>
      <w:r>
        <w:rPr>
          <w:sz w:val="20"/>
          <w:szCs w:val="20"/>
          <w:color w:val="auto"/>
        </w:rPr>
        <w:tab/>
      </w:r>
      <w:r>
        <w:rPr>
          <w:rFonts w:ascii="Arial" w:cs="Arial" w:eastAsia="Arial" w:hAnsi="Arial"/>
          <w:sz w:val="16"/>
          <w:szCs w:val="16"/>
          <w:color w:val="auto"/>
        </w:rPr>
        <w:t>REGULATION FD DISCLOSURE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September 7, 2012, the Corporation hosted a conference call related to its fiscal 2012 fourth quarter financial results. A copy of the slides referenced in the conference call, which is also posted on the Corporation’s website, is being furnished to the Securities and Exchange Commission as Exhibit 99.3 attached hereto and is incorporated herein by reference.</w:t>
      </w: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8.01</w:t>
      </w:r>
      <w:r>
        <w:rPr>
          <w:sz w:val="20"/>
          <w:szCs w:val="20"/>
          <w:color w:val="auto"/>
        </w:rPr>
        <w:tab/>
      </w:r>
      <w:r>
        <w:rPr>
          <w:rFonts w:ascii="Arial" w:cs="Arial" w:eastAsia="Arial" w:hAnsi="Arial"/>
          <w:sz w:val="16"/>
          <w:szCs w:val="16"/>
          <w:color w:val="auto"/>
        </w:rPr>
        <w:t>OTHER EVENTS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Director Compensation</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On September 6, 2012, the Corporation’s Board of Directors approved an annual stock-based compensation award of approximately $75,000, half in time-based options and half in unrestricted shares of Class A Common Stock, for each non-management Director effective September 21,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Increase in Annual Dividend</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September 6, 2012, the Corporation announced that its Board of Directors had increased the annual cash dividend on its Class A Common Stock from $0.74 to $0.76 per share. A quarterly dividend in the amount of $0.19 per share will be paid on October 31, 2012, to shareholders of record as of the close of business on October 10, 2012. A copy of the press release regarding the dividend is attached hereto as Exhibit 99.2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September 7, 2012, the Corporation announced that its Board of Directors authorized a share buyback program for up to two million shares of the Corporation’s Class A Common Stock. The share repurchase plan may be implemented from time to time on the open market or in privately negotiated transactions. The repurchased shares will be available for use in connection with the Corporation’s stock-based plans and for other corporate purposes. A copy of the press release regarding the share buyback program is attached hereto as Exhibit 99.1 and is incorporated herein by reference.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6"/>
          <w:szCs w:val="16"/>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Exhibit No.</w:t>
            </w:r>
          </w:p>
        </w:tc>
        <w:tc>
          <w:tcPr>
            <w:tcW w:w="780" w:type="dxa"/>
            <w:vAlign w:val="bottom"/>
          </w:tcPr>
          <w:p>
            <w:pPr>
              <w:spacing w:after="0"/>
              <w:rPr>
                <w:sz w:val="14"/>
                <w:szCs w:val="14"/>
                <w:color w:val="auto"/>
              </w:rPr>
            </w:pPr>
          </w:p>
        </w:tc>
        <w:tc>
          <w:tcPr>
            <w:tcW w:w="9960" w:type="dxa"/>
            <w:vAlign w:val="bottom"/>
            <w:tcBorders>
              <w:bottom w:val="single" w:sz="8" w:color="auto"/>
            </w:tcBorders>
          </w:tcPr>
          <w:p>
            <w:pPr>
              <w:ind w:left="4380"/>
              <w:spacing w:after="0"/>
              <w:rPr>
                <w:sz w:val="20"/>
                <w:szCs w:val="20"/>
                <w:color w:val="auto"/>
              </w:rPr>
            </w:pPr>
            <w:r>
              <w:rPr>
                <w:rFonts w:ascii="Arial" w:cs="Arial" w:eastAsia="Arial" w:hAnsi="Arial"/>
                <w:sz w:val="14"/>
                <w:szCs w:val="14"/>
                <w:color w:val="auto"/>
              </w:rPr>
              <w:t>Description of Exhibit</w:t>
            </w:r>
          </w:p>
        </w:tc>
      </w:tr>
      <w:tr>
        <w:trPr>
          <w:trHeight w:val="302"/>
        </w:trPr>
        <w:tc>
          <w:tcPr>
            <w:tcW w:w="680" w:type="dxa"/>
            <w:vAlign w:val="bottom"/>
          </w:tcPr>
          <w:p>
            <w:pPr>
              <w:jc w:val="right"/>
              <w:ind w:right="277"/>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1"/>
              </w:rPr>
              <w:t>Press Release of Brady Corporation, dated September 7, 2012, relating to fourth quarter fiscal 2012 financial results and share buyback</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program.</w:t>
            </w:r>
          </w:p>
        </w:tc>
      </w:tr>
      <w:tr>
        <w:trPr>
          <w:trHeight w:val="324"/>
        </w:trPr>
        <w:tc>
          <w:tcPr>
            <w:tcW w:w="680" w:type="dxa"/>
            <w:vAlign w:val="bottom"/>
          </w:tcPr>
          <w:p>
            <w:pPr>
              <w:jc w:val="right"/>
              <w:ind w:right="277"/>
              <w:spacing w:after="0"/>
              <w:rPr>
                <w:sz w:val="20"/>
                <w:szCs w:val="20"/>
                <w:color w:val="auto"/>
              </w:rPr>
            </w:pPr>
            <w:r>
              <w:rPr>
                <w:rFonts w:ascii="Arial" w:cs="Arial" w:eastAsia="Arial" w:hAnsi="Arial"/>
                <w:sz w:val="18"/>
                <w:szCs w:val="18"/>
                <w:color w:val="auto"/>
                <w:w w:val="85"/>
              </w:rPr>
              <w:t>99.2</w:t>
            </w:r>
          </w:p>
        </w:tc>
        <w:tc>
          <w:tcPr>
            <w:tcW w:w="7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Press Release of Brady Corporation, dated September 6, 2012, relating to increase in quarterly dividend.</w:t>
            </w:r>
          </w:p>
        </w:tc>
      </w:tr>
      <w:tr>
        <w:trPr>
          <w:trHeight w:val="324"/>
        </w:trPr>
        <w:tc>
          <w:tcPr>
            <w:tcW w:w="680" w:type="dxa"/>
            <w:vAlign w:val="bottom"/>
          </w:tcPr>
          <w:p>
            <w:pPr>
              <w:jc w:val="right"/>
              <w:ind w:right="277"/>
              <w:spacing w:after="0"/>
              <w:rPr>
                <w:sz w:val="20"/>
                <w:szCs w:val="20"/>
                <w:color w:val="auto"/>
              </w:rPr>
            </w:pPr>
            <w:r>
              <w:rPr>
                <w:rFonts w:ascii="Arial" w:cs="Arial" w:eastAsia="Arial" w:hAnsi="Arial"/>
                <w:sz w:val="18"/>
                <w:szCs w:val="18"/>
                <w:color w:val="auto"/>
                <w:w w:val="85"/>
              </w:rPr>
              <w:t>99.3</w:t>
            </w:r>
          </w:p>
        </w:tc>
        <w:tc>
          <w:tcPr>
            <w:tcW w:w="78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5"/>
              </w:rPr>
              <w:t>Informational slides provided by Brady Corporation, dated September 7, 2012, relating to fourth quarter fiscal 2012 financial results.</w:t>
            </w:r>
          </w:p>
        </w:tc>
      </w:tr>
    </w:tbl>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7520" w:type="dxa"/>
            <w:vAlign w:val="bottom"/>
            <w:gridSpan w:val="2"/>
          </w:tcPr>
          <w:p>
            <w:pPr>
              <w:ind w:left="2140"/>
              <w:spacing w:after="0"/>
              <w:rPr>
                <w:sz w:val="20"/>
                <w:szCs w:val="20"/>
                <w:color w:val="auto"/>
              </w:rPr>
            </w:pPr>
            <w:r>
              <w:rPr>
                <w:rFonts w:ascii="Arial" w:cs="Arial" w:eastAsia="Arial" w:hAnsi="Arial"/>
                <w:sz w:val="18"/>
                <w:szCs w:val="18"/>
                <w:color w:val="auto"/>
              </w:rPr>
              <w:t>BRADY CORPORATION</w:t>
            </w:r>
          </w:p>
        </w:tc>
      </w:tr>
      <w:tr>
        <w:trPr>
          <w:trHeight w:val="433"/>
        </w:trPr>
        <w:tc>
          <w:tcPr>
            <w:tcW w:w="3900" w:type="dxa"/>
            <w:vAlign w:val="bottom"/>
          </w:tcPr>
          <w:p>
            <w:pPr>
              <w:spacing w:after="0"/>
              <w:rPr>
                <w:sz w:val="20"/>
                <w:szCs w:val="20"/>
                <w:color w:val="auto"/>
              </w:rPr>
            </w:pPr>
            <w:r>
              <w:rPr>
                <w:rFonts w:ascii="Arial" w:cs="Arial" w:eastAsia="Arial" w:hAnsi="Arial"/>
                <w:sz w:val="18"/>
                <w:szCs w:val="18"/>
                <w:color w:val="auto"/>
              </w:rPr>
              <w:t>Date: September 7, 2012</w:t>
            </w:r>
          </w:p>
        </w:tc>
        <w:tc>
          <w:tcPr>
            <w:tcW w:w="218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J. Felmer</w:t>
            </w:r>
          </w:p>
        </w:tc>
      </w:tr>
      <w:tr>
        <w:trPr>
          <w:trHeight w:val="202"/>
        </w:trPr>
        <w:tc>
          <w:tcPr>
            <w:tcW w:w="39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Thomas J. Felmer</w:t>
            </w:r>
          </w:p>
        </w:tc>
      </w:tr>
      <w:tr>
        <w:trPr>
          <w:trHeight w:val="222"/>
        </w:trPr>
        <w:tc>
          <w:tcPr>
            <w:tcW w:w="39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&amp; Chief Financial Officer</w:t>
            </w:r>
          </w:p>
        </w:tc>
      </w:tr>
    </w:tbl>
    <w:p>
      <w:pPr>
        <w:sectPr>
          <w:pgSz w:w="11900" w:h="16838" w:orient="portrait"/>
          <w:cols w:equalWidth="0" w:num="1">
            <w:col w:w="11420"/>
          </w:cols>
          <w:pgMar w:left="240" w:top="28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20" w:type="dxa"/>
            <w:vAlign w:val="bottom"/>
          </w:tcPr>
          <w:p>
            <w:pPr>
              <w:ind w:left="3660"/>
              <w:spacing w:after="0"/>
              <w:rPr>
                <w:sz w:val="20"/>
                <w:szCs w:val="20"/>
                <w:color w:val="auto"/>
              </w:rPr>
            </w:pPr>
            <w:r>
              <w:rPr>
                <w:rFonts w:ascii="Arial" w:cs="Arial" w:eastAsia="Arial" w:hAnsi="Arial"/>
                <w:sz w:val="18"/>
                <w:szCs w:val="18"/>
                <w:color w:val="auto"/>
              </w:rPr>
              <w:t>EXHIBIT INDEX</w:t>
            </w:r>
          </w:p>
        </w:tc>
      </w:tr>
      <w:tr>
        <w:trPr>
          <w:trHeight w:val="342"/>
        </w:trPr>
        <w:tc>
          <w:tcPr>
            <w:tcW w:w="620" w:type="dxa"/>
            <w:vAlign w:val="bottom"/>
          </w:tcPr>
          <w:p>
            <w:pPr>
              <w:jc w:val="right"/>
              <w:spacing w:after="0"/>
              <w:rPr>
                <w:sz w:val="20"/>
                <w:szCs w:val="20"/>
                <w:color w:val="auto"/>
              </w:rPr>
            </w:pPr>
            <w:r>
              <w:rPr>
                <w:rFonts w:ascii="Arial" w:cs="Arial" w:eastAsia="Arial" w:hAnsi="Arial"/>
                <w:sz w:val="14"/>
                <w:szCs w:val="14"/>
                <w:color w:val="auto"/>
              </w:rPr>
              <w:t>EXHIBIT</w:t>
            </w:r>
          </w:p>
        </w:tc>
        <w:tc>
          <w:tcPr>
            <w:tcW w:w="780" w:type="dxa"/>
            <w:vAlign w:val="bottom"/>
          </w:tcPr>
          <w:p>
            <w:pPr>
              <w:spacing w:after="0"/>
              <w:rPr>
                <w:sz w:val="24"/>
                <w:szCs w:val="24"/>
                <w:color w:val="auto"/>
              </w:rPr>
            </w:pPr>
          </w:p>
        </w:tc>
        <w:tc>
          <w:tcPr>
            <w:tcW w:w="10020" w:type="dxa"/>
            <w:vAlign w:val="bottom"/>
          </w:tcPr>
          <w:p>
            <w:pPr>
              <w:spacing w:after="0"/>
              <w:rPr>
                <w:sz w:val="24"/>
                <w:szCs w:val="24"/>
                <w:color w:val="auto"/>
              </w:rPr>
            </w:pPr>
          </w:p>
        </w:tc>
      </w:tr>
      <w:tr>
        <w:trPr>
          <w:trHeight w:val="159"/>
        </w:trPr>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5"/>
              </w:rPr>
              <w:t>NUMBER</w:t>
            </w:r>
          </w:p>
        </w:tc>
        <w:tc>
          <w:tcPr>
            <w:tcW w:w="780" w:type="dxa"/>
            <w:vAlign w:val="bottom"/>
          </w:tcPr>
          <w:p>
            <w:pPr>
              <w:spacing w:after="0"/>
              <w:rPr>
                <w:sz w:val="13"/>
                <w:szCs w:val="13"/>
                <w:color w:val="auto"/>
              </w:rPr>
            </w:pPr>
          </w:p>
        </w:tc>
        <w:tc>
          <w:tcPr>
            <w:tcW w:w="10020" w:type="dxa"/>
            <w:vAlign w:val="bottom"/>
          </w:tcPr>
          <w:p>
            <w:pPr>
              <w:ind w:left="4580"/>
              <w:spacing w:after="0" w:line="159" w:lineRule="exact"/>
              <w:rPr>
                <w:sz w:val="20"/>
                <w:szCs w:val="20"/>
                <w:color w:val="auto"/>
              </w:rPr>
            </w:pPr>
            <w:r>
              <w:rPr>
                <w:rFonts w:ascii="Arial" w:cs="Arial" w:eastAsia="Arial" w:hAnsi="Arial"/>
                <w:sz w:val="14"/>
                <w:szCs w:val="14"/>
                <w:color w:val="auto"/>
              </w:rPr>
              <w:t>DESCRIPTION</w:t>
            </w:r>
          </w:p>
        </w:tc>
      </w:tr>
      <w:tr>
        <w:trPr>
          <w:trHeight w:val="20"/>
        </w:trPr>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20" w:type="dxa"/>
            <w:vAlign w:val="bottom"/>
            <w:tcBorders>
              <w:bottom w:val="single" w:sz="8" w:color="auto"/>
            </w:tcBorders>
          </w:tcPr>
          <w:p>
            <w:pPr>
              <w:spacing w:after="0" w:line="20" w:lineRule="exact"/>
              <w:rPr>
                <w:sz w:val="1"/>
                <w:szCs w:val="1"/>
                <w:color w:val="auto"/>
              </w:rPr>
            </w:pPr>
          </w:p>
        </w:tc>
      </w:tr>
      <w:tr>
        <w:trPr>
          <w:trHeight w:val="283"/>
        </w:trPr>
        <w:tc>
          <w:tcPr>
            <w:tcW w:w="620" w:type="dxa"/>
            <w:vAlign w:val="bottom"/>
          </w:tcPr>
          <w:p>
            <w:pPr>
              <w:jc w:val="right"/>
              <w:ind w:right="220"/>
              <w:spacing w:after="0"/>
              <w:rPr>
                <w:sz w:val="20"/>
                <w:szCs w:val="20"/>
                <w:color w:val="auto"/>
              </w:rPr>
            </w:pPr>
            <w:r>
              <w:rPr>
                <w:rFonts w:ascii="Arial" w:cs="Arial" w:eastAsia="Arial" w:hAnsi="Arial"/>
                <w:sz w:val="18"/>
                <w:szCs w:val="18"/>
                <w:color w:val="auto"/>
                <w:w w:val="85"/>
              </w:rPr>
              <w:t>99.1</w:t>
            </w:r>
          </w:p>
        </w:tc>
        <w:tc>
          <w:tcPr>
            <w:tcW w:w="10800" w:type="dxa"/>
            <w:vAlign w:val="bottom"/>
            <w:gridSpan w:val="2"/>
          </w:tcPr>
          <w:p>
            <w:pPr>
              <w:ind w:left="780"/>
              <w:spacing w:after="0"/>
              <w:rPr>
                <w:sz w:val="20"/>
                <w:szCs w:val="20"/>
                <w:color w:val="auto"/>
              </w:rPr>
            </w:pPr>
            <w:r>
              <w:rPr>
                <w:rFonts w:ascii="Arial" w:cs="Arial" w:eastAsia="Arial" w:hAnsi="Arial"/>
                <w:sz w:val="18"/>
                <w:szCs w:val="18"/>
                <w:color w:val="auto"/>
                <w:w w:val="92"/>
              </w:rPr>
              <w:t>Press Release of Brady Corporation, dated September 7, 2012, relating to fourth quarter fiscal 2012 financial results and share buyback</w:t>
            </w:r>
          </w:p>
        </w:tc>
      </w:tr>
      <w:tr>
        <w:trPr>
          <w:trHeight w:val="222"/>
        </w:trPr>
        <w:tc>
          <w:tcPr>
            <w:tcW w:w="620" w:type="dxa"/>
            <w:vAlign w:val="bottom"/>
          </w:tcPr>
          <w:p>
            <w:pPr>
              <w:spacing w:after="0"/>
              <w:rPr>
                <w:sz w:val="19"/>
                <w:szCs w:val="19"/>
                <w:color w:val="auto"/>
              </w:rPr>
            </w:pPr>
          </w:p>
        </w:tc>
        <w:tc>
          <w:tcPr>
            <w:tcW w:w="10800" w:type="dxa"/>
            <w:vAlign w:val="bottom"/>
            <w:gridSpan w:val="2"/>
          </w:tcPr>
          <w:p>
            <w:pPr>
              <w:ind w:left="780"/>
              <w:spacing w:after="0"/>
              <w:rPr>
                <w:sz w:val="20"/>
                <w:szCs w:val="20"/>
                <w:color w:val="auto"/>
              </w:rPr>
            </w:pPr>
            <w:r>
              <w:rPr>
                <w:rFonts w:ascii="Arial" w:cs="Arial" w:eastAsia="Arial" w:hAnsi="Arial"/>
                <w:sz w:val="18"/>
                <w:szCs w:val="18"/>
                <w:color w:val="auto"/>
              </w:rPr>
              <w:t>program.</w:t>
            </w:r>
          </w:p>
        </w:tc>
      </w:tr>
      <w:tr>
        <w:trPr>
          <w:trHeight w:val="324"/>
        </w:trPr>
        <w:tc>
          <w:tcPr>
            <w:tcW w:w="620" w:type="dxa"/>
            <w:vAlign w:val="bottom"/>
          </w:tcPr>
          <w:p>
            <w:pPr>
              <w:jc w:val="right"/>
              <w:ind w:right="220"/>
              <w:spacing w:after="0"/>
              <w:rPr>
                <w:sz w:val="20"/>
                <w:szCs w:val="20"/>
                <w:color w:val="auto"/>
              </w:rPr>
            </w:pPr>
            <w:r>
              <w:rPr>
                <w:rFonts w:ascii="Arial" w:cs="Arial" w:eastAsia="Arial" w:hAnsi="Arial"/>
                <w:sz w:val="18"/>
                <w:szCs w:val="18"/>
                <w:color w:val="auto"/>
                <w:w w:val="85"/>
              </w:rPr>
              <w:t>99.2</w:t>
            </w:r>
          </w:p>
        </w:tc>
        <w:tc>
          <w:tcPr>
            <w:tcW w:w="10800" w:type="dxa"/>
            <w:vAlign w:val="bottom"/>
            <w:gridSpan w:val="2"/>
          </w:tcPr>
          <w:p>
            <w:pPr>
              <w:ind w:left="780"/>
              <w:spacing w:after="0"/>
              <w:rPr>
                <w:sz w:val="20"/>
                <w:szCs w:val="20"/>
                <w:color w:val="auto"/>
              </w:rPr>
            </w:pPr>
            <w:r>
              <w:rPr>
                <w:rFonts w:ascii="Arial" w:cs="Arial" w:eastAsia="Arial" w:hAnsi="Arial"/>
                <w:sz w:val="18"/>
                <w:szCs w:val="18"/>
                <w:color w:val="auto"/>
              </w:rPr>
              <w:t>Press Release of Brady Corporation, dated September 6, 2012, relating to increase in quarterly dividend.</w:t>
            </w:r>
          </w:p>
        </w:tc>
      </w:tr>
      <w:tr>
        <w:trPr>
          <w:trHeight w:val="324"/>
        </w:trPr>
        <w:tc>
          <w:tcPr>
            <w:tcW w:w="620" w:type="dxa"/>
            <w:vAlign w:val="bottom"/>
          </w:tcPr>
          <w:p>
            <w:pPr>
              <w:jc w:val="right"/>
              <w:ind w:right="220"/>
              <w:spacing w:after="0"/>
              <w:rPr>
                <w:sz w:val="20"/>
                <w:szCs w:val="20"/>
                <w:color w:val="auto"/>
              </w:rPr>
            </w:pPr>
            <w:r>
              <w:rPr>
                <w:rFonts w:ascii="Arial" w:cs="Arial" w:eastAsia="Arial" w:hAnsi="Arial"/>
                <w:sz w:val="18"/>
                <w:szCs w:val="18"/>
                <w:color w:val="auto"/>
                <w:w w:val="85"/>
              </w:rPr>
              <w:t>99.3</w:t>
            </w:r>
          </w:p>
        </w:tc>
        <w:tc>
          <w:tcPr>
            <w:tcW w:w="10800" w:type="dxa"/>
            <w:vAlign w:val="bottom"/>
            <w:gridSpan w:val="2"/>
          </w:tcPr>
          <w:p>
            <w:pPr>
              <w:ind w:left="780"/>
              <w:spacing w:after="0"/>
              <w:rPr>
                <w:sz w:val="20"/>
                <w:szCs w:val="20"/>
                <w:color w:val="auto"/>
              </w:rPr>
            </w:pPr>
            <w:r>
              <w:rPr>
                <w:rFonts w:ascii="Arial" w:cs="Arial" w:eastAsia="Arial" w:hAnsi="Arial"/>
                <w:sz w:val="18"/>
                <w:szCs w:val="18"/>
                <w:color w:val="auto"/>
                <w:w w:val="95"/>
              </w:rPr>
              <w:t>Informational slides provided by Brady Corporation, dated September 7, 2012, relating to fourth quarter fiscal 2012 financial results.</w:t>
            </w:r>
          </w:p>
        </w:tc>
      </w:tr>
    </w:tbl>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2012 Fourth Quarter Results and Announces Share Buyback Program</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MILWAUKEE (September 7, 2012)—Brady Corporation (NYSE: BRC) (“Brady” or “Company”), a world leader in identification solutions, today reported its financial results for the fiscal 2012 fourth quarter ended July 31, 2012. The Company also announced that its Board of Directors authorized a share buyback program for up to two million shares of the company’s Class A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July 31, 2012 Financial Results: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Sales for the fiscal 2012 fourth quarter ended July 31, 2012 were down 6.0 percent to $322.5 million compared to $343.1 million in the fourth quarter of fiscal 2011. Organic sales were down 2.6 percent, the impact of foreign currency translation decreased sales by 5.0 percent, and acquisitions added 1.6 percent. By segment, organic sales increased 3.0 percent in the Americas and 0.6 percent in EMEA, and decreased 14.6 percent in the Asia-Pacific region.</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Net income in the fiscal 2012 fourth quarter was down 60.6 percent to $11.7 million compared to $29.6 million in the same quarter last year. Excluding $7.1 million of after-tax restructuring charges in the fourth quarter of fiscal 2012 and $1.6 million of after-tax restructuring charges in the same quarter last year, and a $5.6 million non-routine, non-cash tax charge in the fourth quarter of fiscal 2012, net income was down 21.7 percent to $24.4 million compared to $31.1 million in the same quarter last year.</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Earnings per diluted Class A Common Share were down 60.0 percent to $0.22 in the fourth quarter of fiscal 2012 compared to $0.55 in the same quarter last year. Excluding the impacts from the after-tax restructuring charges and the non-routine tax charge, earnings per diluted Class A Common Share were down 19.0 percent to $0.47 in the fourth quarter of fiscal 2012, compared to $0.58 per share in the same quarter of fiscal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July 31, 2012 Financial Results:</w:t>
      </w:r>
    </w:p>
    <w:p>
      <w:pPr>
        <w:spacing w:after="0" w:line="96"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Sales for the year ended July 31, 2012 were down 1.1 percent to $1.32 billion compared to $1.34 billion for the year ended July 31, 2011. Organic sales were down 0.4 percent; acquisitions, net of divestitures increased sales by 0.3 percent; and the impact of foreign currency translation decreased sales by 1.0 percent. By segment, organic sales increased 3.4 percent in the Americas, and decreased 1.3 percent in EMEA and 5.3 percent in the Asia-Pacific region.</w:t>
      </w:r>
    </w:p>
    <w:p>
      <w:pPr>
        <w:spacing w:after="0" w:line="8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Net loss for the year ended July 31, 2012 was $17.9 million compared to net income of $108.7 million for the year ended July 31, 2011. Excluding the impact of the $115.7 million non-cash goodwill impairment charge incurred in fiscal 2012, after-tax restructuring charges of $9.6 million in fiscal 2012 and $6.5 million in fiscal 2011, and the $5.6 million non-routine tax charge in fiscal 2012, net income was down 1.9 percent to $113.0 million compared to $115.2 million in fiscal 2011.</w:t>
      </w:r>
    </w:p>
    <w:p>
      <w:pPr>
        <w:sectPr>
          <w:pgSz w:w="11900" w:h="16838" w:orient="portrait"/>
          <w:cols w:equalWidth="0" w:num="1">
            <w:col w:w="11420"/>
          </w:cols>
          <w:pgMar w:left="240" w:top="125" w:right="239" w:bottom="1440" w:gutter="0" w:footer="0" w:header="0"/>
        </w:sectPr>
      </w:pPr>
    </w:p>
    <w:bookmarkStart w:id="5" w:name="page6"/>
    <w:bookmarkEnd w:id="5"/>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loss per diluted Class A Common Share was $0.35 for the year ended July 31, 2012 compared to earnings per diluted Class A Common Share of $2.04 for the year ended July 31, 2011. Excluding the impacts from the non-cash goodwill impairment charge, the after-tax restructuring charges, and the non-routine tax charge, earnings per diluted Class A Common Share were $2.14 for the year ended July 31, 2012 compared to $2.16 in fiscal 2011. In fiscal 2012, net cash provided by operating activities was $144.7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Buyback Program:</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September 6, 2012, Brady’s Board of Directors authorized a share buyback program for up to two million shares of the Company’s common stock. The share buyback plan may be implemented from time to time on the open market or in privately negotiated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 and Guidance: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the fourth quarter of fiscal 2012 we were pleased with our organic sales growth in the Americas and EMEA regions, despite a continued challenging economy. Our performance in Asia-Pacific was weaker than expected due to increased market competitiveness, particularly in the mobile handset industry. Throughout fiscal 2012, our focus has been on shifting resources to our highest growth opportunities. As a result, we have recently sold our medical die-cut business in the U.S. and our paper-label business, Etimark in Germany. We also continued to invest in developing and launching a number of proprietary new products and we made three acquisitions in EMEA that increased our market share and expanded our geographic presence,” said Brady’s President and Chief Executive Officer, Frank M. Jaehnert. “Looking forward, we expect continued moderate organic growth in the Americas, a challenging economic environment in Europe, and improving results in Asia-Pacific due to our restructuring activities and some recent customer wins there.”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we look to fiscal 2013, we see limited likelihood that the macro-economy will provide a tailwind,” said Brady’s Chief Financial Officer, Thomas J. Felmer. “As such, we anticipate low single-digit organic growth in fiscal 2013, with all of the growth driven by our initiatives. For fiscal 2013, we expect earnings per diluted Class A Common Share of between $2.20 and $2.40, exclusive of after-tax restructuring charges. This guidance is based on current exchange rates, a share count consistent with that as of July 31, 2012, a full-year income tax rate in the mid-to-upper 20 percent range, capital expenditures of approximately $35 million and depreciation and amortization of approximately $45 million.”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A webcast regarding Brady’s fiscal 2012 fourth quarter financial results will be available at </w:t>
      </w:r>
      <w:r>
        <w:rPr>
          <w:rFonts w:ascii="Arial" w:cs="Arial" w:eastAsia="Arial" w:hAnsi="Arial"/>
          <w:sz w:val="16"/>
          <w:szCs w:val="16"/>
          <w:u w:val="single" w:color="auto"/>
          <w:color w:val="auto"/>
        </w:rPr>
        <w:t>www.bradycorp.com</w:t>
      </w:r>
      <w:r>
        <w:rPr>
          <w:rFonts w:ascii="Arial" w:cs="Arial" w:eastAsia="Arial" w:hAnsi="Arial"/>
          <w:sz w:val="16"/>
          <w:szCs w:val="16"/>
          <w:color w:val="auto"/>
        </w:rPr>
        <w:t xml:space="preserve"> beginning at 9:30 a.m. Central Time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ectPr>
          <w:pgSz w:w="11900" w:h="16838" w:orient="portrait"/>
          <w:cols w:equalWidth="0" w:num="1">
            <w:col w:w="11420"/>
          </w:cols>
          <w:pgMar w:left="240" w:top="280" w:right="239" w:bottom="1440" w:gutter="0" w:footer="0" w:header="0"/>
        </w:sectPr>
      </w:pPr>
    </w:p>
    <w:bookmarkStart w:id="6" w:name="page7"/>
    <w:bookmarkEnd w:id="6"/>
    <w:p>
      <w:pPr>
        <w:ind w:right="1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as of July 31, 2012 employed approximately 6,900 people at operations in the Americas, EMEA and Asia-Pacific. Brady’s fiscal 2012 sales were approximately $1.32 billion. Brady stock trades on the New York Stock Exchange under the symbol BRC. More information is available on the Internet at </w:t>
      </w:r>
      <w:r>
        <w:rPr>
          <w:rFonts w:ascii="Arial" w:cs="Arial" w:eastAsia="Arial" w:hAnsi="Arial"/>
          <w:sz w:val="16"/>
          <w:szCs w:val="16"/>
          <w:u w:val="single" w:color="auto"/>
          <w:color w:val="auto"/>
        </w:rPr>
        <w:t>www.bradycorp.com.</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2011. These uncertainties may cause Brady’s actual future results to be materially different than those expressed in its forward-looking statements. Brady does not undertake to update its forward-looking statements.</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color w:val="auto"/>
              </w:rPr>
              <w:t>(Unaudited)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8"/>
          </w:tcPr>
          <w:p>
            <w:pPr>
              <w:jc w:val="right"/>
              <w:ind w:right="860"/>
              <w:spacing w:after="0" w:line="142" w:lineRule="exact"/>
              <w:rPr>
                <w:sz w:val="20"/>
                <w:szCs w:val="20"/>
                <w:color w:val="auto"/>
              </w:rPr>
            </w:pPr>
            <w:r>
              <w:rPr>
                <w:rFonts w:ascii="Arial" w:cs="Arial" w:eastAsia="Arial" w:hAnsi="Arial"/>
                <w:sz w:val="14"/>
                <w:szCs w:val="14"/>
                <w:color w:val="auto"/>
              </w:rPr>
              <w:t>Three Months Ended July 31,</w:t>
            </w:r>
          </w:p>
        </w:tc>
        <w:tc>
          <w:tcPr>
            <w:tcW w:w="80" w:type="dxa"/>
            <w:vAlign w:val="bottom"/>
          </w:tcPr>
          <w:p>
            <w:pPr>
              <w:spacing w:after="0"/>
              <w:rPr>
                <w:sz w:val="12"/>
                <w:szCs w:val="12"/>
                <w:color w:val="auto"/>
              </w:rPr>
            </w:pPr>
          </w:p>
        </w:tc>
        <w:tc>
          <w:tcPr>
            <w:tcW w:w="2700" w:type="dxa"/>
            <w:vAlign w:val="bottom"/>
            <w:gridSpan w:val="7"/>
          </w:tcPr>
          <w:p>
            <w:pPr>
              <w:jc w:val="right"/>
              <w:ind w:right="474"/>
              <w:spacing w:after="0" w:line="142" w:lineRule="exact"/>
              <w:rPr>
                <w:sz w:val="20"/>
                <w:szCs w:val="20"/>
                <w:color w:val="auto"/>
              </w:rPr>
            </w:pPr>
            <w:r>
              <w:rPr>
                <w:rFonts w:ascii="Arial" w:cs="Arial" w:eastAsia="Arial" w:hAnsi="Arial"/>
                <w:sz w:val="14"/>
                <w:szCs w:val="14"/>
                <w:color w:val="auto"/>
              </w:rPr>
              <w:t>Twelve Months Ended July 31,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0"/>
              </w:rPr>
              <w:t>Percentage</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0"/>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2012</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3"/>
              <w:spacing w:after="0" w:line="159" w:lineRule="exact"/>
              <w:rPr>
                <w:sz w:val="20"/>
                <w:szCs w:val="20"/>
                <w:color w:val="auto"/>
              </w:rPr>
            </w:pPr>
            <w:r>
              <w:rPr>
                <w:rFonts w:ascii="Arial" w:cs="Arial" w:eastAsia="Arial" w:hAnsi="Arial"/>
                <w:sz w:val="14"/>
                <w:szCs w:val="14"/>
                <w:color w:val="auto"/>
              </w:rPr>
              <w:t>2011</w:t>
            </w:r>
          </w:p>
        </w:tc>
        <w:tc>
          <w:tcPr>
            <w:tcW w:w="2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Change</w:t>
            </w:r>
          </w:p>
        </w:tc>
        <w:tc>
          <w:tcPr>
            <w:tcW w:w="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4"/>
              <w:spacing w:after="0" w:line="159" w:lineRule="exact"/>
              <w:rPr>
                <w:sz w:val="20"/>
                <w:szCs w:val="20"/>
                <w:color w:val="auto"/>
              </w:rPr>
            </w:pPr>
            <w:r>
              <w:rPr>
                <w:rFonts w:ascii="Arial" w:cs="Arial" w:eastAsia="Arial" w:hAnsi="Arial"/>
                <w:sz w:val="14"/>
                <w:szCs w:val="14"/>
                <w:color w:val="auto"/>
              </w:rPr>
              <w:t>2012</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2011</w:t>
            </w:r>
          </w:p>
        </w:tc>
        <w:tc>
          <w:tcPr>
            <w:tcW w:w="3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14"/>
              <w:spacing w:after="0" w:line="159" w:lineRule="exact"/>
              <w:rPr>
                <w:sz w:val="20"/>
                <w:szCs w:val="20"/>
                <w:color w:val="auto"/>
              </w:rPr>
            </w:pPr>
            <w:r>
              <w:rPr>
                <w:rFonts w:ascii="Arial" w:cs="Arial" w:eastAsia="Arial" w:hAnsi="Arial"/>
                <w:sz w:val="14"/>
                <w:szCs w:val="14"/>
                <w:color w:val="auto"/>
                <w:w w:val="97"/>
              </w:rPr>
              <w:t>Change</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322,548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343,104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1,324,269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1,339,597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Cost of products sold</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167,425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178,068</w:t>
            </w:r>
          </w:p>
        </w:tc>
        <w:tc>
          <w:tcPr>
            <w:tcW w:w="2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683,401</w:t>
            </w: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155,123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165,036</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636,306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656,196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3"/>
        </w:trPr>
        <w:tc>
          <w:tcPr>
            <w:tcW w:w="4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10,775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109,821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109,421</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430,310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441,815</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2,202</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Impairment charge</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128,210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122,398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596,548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494,004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322"/>
        </w:trPr>
        <w:tc>
          <w:tcPr>
            <w:tcW w:w="49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26,913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42,638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39,758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162,192</w:t>
            </w:r>
          </w:p>
        </w:tc>
        <w:tc>
          <w:tcPr>
            <w:tcW w:w="3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Investment and other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1,098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3,990</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(22,124)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1"/>
        </w:trPr>
        <w:tc>
          <w:tcPr>
            <w:tcW w:w="49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38,252</w:t>
            </w:r>
          </w:p>
        </w:tc>
        <w:tc>
          <w:tcPr>
            <w:tcW w:w="2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-40.1%</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144,058</w:t>
            </w: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11,659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29,583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(17,911)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108,652</w:t>
            </w: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Basic net income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0.56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(loss)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0.18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0.72</w:t>
            </w: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Basic net income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0.56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(loss)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0.185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0.18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0.723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0.70</w:t>
            </w: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common shares outstanding (in thousands):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52,196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52,815</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52,453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52,639</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53,333</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53,133</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July 31, 2012</w:t>
            </w:r>
          </w:p>
        </w:tc>
        <w:tc>
          <w:tcPr>
            <w:tcW w:w="8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July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tcBorders>
              <w:top w:val="single" w:sz="8" w:color="CCEEFF"/>
              <w:bottom w:val="single" w:sz="8" w:color="CCEEFF"/>
            </w:tcBorders>
            <w:shd w:val="clear" w:color="auto" w:fill="CCEEFF"/>
          </w:tcPr>
          <w:p>
            <w:pPr>
              <w:spacing w:after="0"/>
              <w:rPr>
                <w:sz w:val="15"/>
                <w:szCs w:val="15"/>
                <w:color w:val="auto"/>
              </w:rPr>
            </w:pPr>
          </w:p>
        </w:tc>
        <w:tc>
          <w:tcPr>
            <w:tcW w:w="18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b w:val="1"/>
                <w:bCs w:val="1"/>
                <w:color w:val="auto"/>
                <w:w w:val="91"/>
              </w:rPr>
              <w:t>ASSETS</w:t>
            </w:r>
          </w:p>
        </w:tc>
        <w:tc>
          <w:tcPr>
            <w:tcW w:w="44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9400" w:type="dxa"/>
            <w:vAlign w:val="bottom"/>
            <w:gridSpan w:val="6"/>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305,900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tcPr>
          <w:p>
            <w:pPr>
              <w:ind w:left="420"/>
              <w:spacing w:after="0"/>
              <w:rPr>
                <w:sz w:val="20"/>
                <w:szCs w:val="20"/>
                <w:color w:val="auto"/>
              </w:rPr>
            </w:pPr>
            <w:r>
              <w:rPr>
                <w:rFonts w:ascii="Arial" w:cs="Arial" w:eastAsia="Arial" w:hAnsi="Arial"/>
                <w:sz w:val="18"/>
                <w:szCs w:val="18"/>
                <w:color w:val="auto"/>
              </w:rPr>
              <w:t>Accounts receivable—net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199,006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tcPr>
          <w:p>
            <w:pPr>
              <w:ind w:left="860"/>
              <w:spacing w:after="0"/>
              <w:rPr>
                <w:sz w:val="20"/>
                <w:szCs w:val="20"/>
                <w:color w:val="auto"/>
              </w:rPr>
            </w:pPr>
            <w:r>
              <w:rPr>
                <w:rFonts w:ascii="Arial" w:cs="Arial" w:eastAsia="Arial" w:hAnsi="Arial"/>
                <w:sz w:val="18"/>
                <w:szCs w:val="18"/>
                <w:color w:val="auto"/>
              </w:rPr>
              <w:t>Finished products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64,740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Work-in-process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15,377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5"/>
          </w:tcPr>
          <w:p>
            <w:pPr>
              <w:ind w:left="860"/>
              <w:spacing w:after="0"/>
              <w:rPr>
                <w:sz w:val="20"/>
                <w:szCs w:val="20"/>
                <w:color w:val="auto"/>
              </w:rPr>
            </w:pPr>
            <w:r>
              <w:rPr>
                <w:rFonts w:ascii="Arial" w:cs="Arial" w:eastAsia="Arial" w:hAnsi="Arial"/>
                <w:sz w:val="18"/>
                <w:szCs w:val="18"/>
                <w:color w:val="auto"/>
              </w:rPr>
              <w:t>Raw materials and supplies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Total inventories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105,524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5"/>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650,854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758,287</w:t>
            </w:r>
          </w:p>
        </w:tc>
        <w:tc>
          <w:tcPr>
            <w:tcW w:w="0" w:type="dxa"/>
            <w:vAlign w:val="bottom"/>
          </w:tcPr>
          <w:p>
            <w:pPr>
              <w:spacing w:after="0"/>
              <w:rPr>
                <w:sz w:val="1"/>
                <w:szCs w:val="1"/>
                <w:color w:val="auto"/>
              </w:rPr>
            </w:pPr>
          </w:p>
        </w:tc>
      </w:tr>
      <w:tr>
        <w:trPr>
          <w:trHeight w:val="323"/>
        </w:trPr>
        <w:tc>
          <w:tcPr>
            <w:tcW w:w="9400" w:type="dxa"/>
            <w:vAlign w:val="bottom"/>
            <w:gridSpan w:val="6"/>
          </w:tcPr>
          <w:p>
            <w:pPr>
              <w:spacing w:after="0"/>
              <w:rPr>
                <w:sz w:val="20"/>
                <w:szCs w:val="20"/>
                <w:color w:val="auto"/>
              </w:rPr>
            </w:pPr>
            <w:r>
              <w:rPr>
                <w:rFonts w:ascii="Arial" w:cs="Arial" w:eastAsia="Arial" w:hAnsi="Arial"/>
                <w:sz w:val="18"/>
                <w:szCs w:val="18"/>
                <w:b w:val="1"/>
                <w:bCs w:val="1"/>
                <w:color w:val="auto"/>
              </w:rPr>
              <w:t>Other assets: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676,791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tcPr>
          <w:p>
            <w:pPr>
              <w:ind w:left="420"/>
              <w:spacing w:after="0"/>
              <w:rPr>
                <w:sz w:val="20"/>
                <w:szCs w:val="20"/>
                <w:color w:val="auto"/>
              </w:rPr>
            </w:pPr>
            <w:r>
              <w:rPr>
                <w:rFonts w:ascii="Arial" w:cs="Arial" w:eastAsia="Arial" w:hAnsi="Arial"/>
                <w:sz w:val="18"/>
                <w:szCs w:val="18"/>
                <w:color w:val="auto"/>
              </w:rPr>
              <w:t>Other intangible assets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84,119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45,356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20,584</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tcPr>
          <w:p>
            <w:pPr>
              <w:ind w:left="42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tcPr>
          <w:p>
            <w:pPr>
              <w:ind w:left="860"/>
              <w:spacing w:after="0"/>
              <w:rPr>
                <w:sz w:val="20"/>
                <w:szCs w:val="20"/>
                <w:color w:val="auto"/>
              </w:rPr>
            </w:pPr>
            <w:r>
              <w:rPr>
                <w:rFonts w:ascii="Arial" w:cs="Arial" w:eastAsia="Arial" w:hAnsi="Arial"/>
                <w:sz w:val="18"/>
                <w:szCs w:val="18"/>
                <w:color w:val="auto"/>
              </w:rPr>
              <w:t>Buildings and improvements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101,962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Machinery and equipment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292,130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5"/>
          </w:tcPr>
          <w:p>
            <w:pPr>
              <w:ind w:left="860"/>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413,160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5"/>
          </w:tcPr>
          <w:p>
            <w:pPr>
              <w:ind w:left="420"/>
              <w:spacing w:after="0"/>
              <w:rPr>
                <w:sz w:val="20"/>
                <w:szCs w:val="20"/>
                <w:color w:val="auto"/>
              </w:rPr>
            </w:pPr>
            <w:r>
              <w:rPr>
                <w:rFonts w:ascii="Arial" w:cs="Arial" w:eastAsia="Arial" w:hAnsi="Arial"/>
                <w:sz w:val="18"/>
                <w:szCs w:val="18"/>
                <w:color w:val="auto"/>
              </w:rPr>
              <w:t>Less accumulated depreciation</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283,145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Property, plant and equipment—net</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130,015</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6"/>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1,607,719</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1,861,505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6960" w:type="dxa"/>
            <w:vAlign w:val="bottom"/>
            <w:gridSpan w:val="4"/>
            <w:shd w:val="clear" w:color="auto" w:fill="CCEEFF"/>
          </w:tcPr>
          <w:p>
            <w:pPr>
              <w:jc w:val="center"/>
              <w:ind w:right="2660"/>
              <w:spacing w:after="0" w:line="170" w:lineRule="exact"/>
              <w:rPr>
                <w:sz w:val="20"/>
                <w:szCs w:val="20"/>
                <w:color w:val="auto"/>
              </w:rPr>
            </w:pPr>
            <w:r>
              <w:rPr>
                <w:rFonts w:ascii="Arial" w:cs="Arial" w:eastAsia="Arial" w:hAnsi="Arial"/>
                <w:sz w:val="18"/>
                <w:szCs w:val="18"/>
                <w:b w:val="1"/>
                <w:bCs w:val="1"/>
                <w:color w:val="auto"/>
              </w:rPr>
              <w:t>LIABILITIES AND STOCKHOLDERS’ INVESTMENT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820" w:type="dxa"/>
            <w:vAlign w:val="bottom"/>
            <w:tcBorders>
              <w:top w:val="single" w:sz="8" w:color="auto"/>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9400" w:type="dxa"/>
            <w:vAlign w:val="bottom"/>
            <w:gridSpan w:val="6"/>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86,646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tcPr>
          <w:p>
            <w:pPr>
              <w:ind w:left="420"/>
              <w:spacing w:after="0"/>
              <w:rPr>
                <w:sz w:val="20"/>
                <w:szCs w:val="20"/>
                <w:color w:val="auto"/>
              </w:rPr>
            </w:pPr>
            <w:r>
              <w:rPr>
                <w:rFonts w:ascii="Arial" w:cs="Arial" w:eastAsia="Arial" w:hAnsi="Arial"/>
                <w:sz w:val="18"/>
                <w:szCs w:val="18"/>
                <w:color w:val="auto"/>
              </w:rPr>
              <w:t>Wages and amounts withheld from employees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54,629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Taxes, other than income taxes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9,307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tcPr>
          <w:p>
            <w:pPr>
              <w:ind w:left="420"/>
              <w:spacing w:after="0"/>
              <w:rPr>
                <w:sz w:val="20"/>
                <w:szCs w:val="20"/>
                <w:color w:val="auto"/>
              </w:rPr>
            </w:pPr>
            <w:r>
              <w:rPr>
                <w:rFonts w:ascii="Arial" w:cs="Arial" w:eastAsia="Arial" w:hAnsi="Arial"/>
                <w:sz w:val="18"/>
                <w:szCs w:val="18"/>
                <w:color w:val="auto"/>
              </w:rPr>
              <w:t>Accrued income taxes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14,357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5"/>
          </w:tcPr>
          <w:p>
            <w:pPr>
              <w:ind w:left="420"/>
              <w:spacing w:after="0"/>
              <w:rPr>
                <w:sz w:val="20"/>
                <w:szCs w:val="20"/>
                <w:color w:val="auto"/>
              </w:rPr>
            </w:pPr>
            <w:r>
              <w:rPr>
                <w:rFonts w:ascii="Arial" w:cs="Arial" w:eastAsia="Arial" w:hAnsi="Arial"/>
                <w:sz w:val="18"/>
                <w:szCs w:val="18"/>
                <w:color w:val="auto"/>
              </w:rPr>
              <w:t>Current maturities on long-term debt</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267,018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301,881</w:t>
            </w:r>
          </w:p>
        </w:tc>
        <w:tc>
          <w:tcPr>
            <w:tcW w:w="0" w:type="dxa"/>
            <w:vAlign w:val="bottom"/>
          </w:tcPr>
          <w:p>
            <w:pPr>
              <w:spacing w:after="0"/>
              <w:rPr>
                <w:sz w:val="1"/>
                <w:szCs w:val="1"/>
                <w:color w:val="auto"/>
              </w:rPr>
            </w:pPr>
          </w:p>
        </w:tc>
      </w:tr>
      <w:tr>
        <w:trPr>
          <w:trHeight w:val="322"/>
        </w:trPr>
        <w:tc>
          <w:tcPr>
            <w:tcW w:w="9400" w:type="dxa"/>
            <w:vAlign w:val="bottom"/>
            <w:gridSpan w:val="6"/>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8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254,944</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331,914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gridSpan w:val="5"/>
          </w:tcPr>
          <w:p>
            <w:pPr>
              <w:ind w:left="86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598,366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705,313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w w:val="98"/>
              </w:rPr>
              <w:t>Class A nonvoting common stock—Issued 51,261,487 and 51,261,487 shares, respectively and outstanding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gridSpan w:val="5"/>
            <w:shd w:val="clear" w:color="auto" w:fill="CCEEFF"/>
          </w:tcPr>
          <w:p>
            <w:pPr>
              <w:ind w:left="1060"/>
              <w:spacing w:after="0"/>
              <w:rPr>
                <w:sz w:val="20"/>
                <w:szCs w:val="20"/>
                <w:color w:val="auto"/>
              </w:rPr>
            </w:pPr>
            <w:r>
              <w:rPr>
                <w:rFonts w:ascii="Arial" w:cs="Arial" w:eastAsia="Arial" w:hAnsi="Arial"/>
                <w:sz w:val="18"/>
                <w:szCs w:val="18"/>
                <w:color w:val="auto"/>
              </w:rPr>
              <w:t>47,630,926 and 49,284,252 shares, respectively</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tcPr>
          <w:p>
            <w:pPr>
              <w:ind w:left="860"/>
              <w:spacing w:after="0"/>
              <w:rPr>
                <w:sz w:val="20"/>
                <w:szCs w:val="20"/>
                <w:color w:val="auto"/>
              </w:rPr>
            </w:pPr>
            <w:r>
              <w:rPr>
                <w:rFonts w:ascii="Arial" w:cs="Arial" w:eastAsia="Arial" w:hAnsi="Arial"/>
                <w:sz w:val="18"/>
                <w:szCs w:val="18"/>
                <w:color w:val="auto"/>
              </w:rPr>
              <w:t>Class B voting common stock—Issued and outstanding, 3,538,628 shares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313,008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tcPr>
          <w:p>
            <w:pPr>
              <w:ind w:left="420"/>
              <w:spacing w:after="0"/>
              <w:rPr>
                <w:sz w:val="20"/>
                <w:szCs w:val="20"/>
                <w:color w:val="auto"/>
              </w:rPr>
            </w:pPr>
            <w:r>
              <w:rPr>
                <w:rFonts w:ascii="Arial" w:cs="Arial" w:eastAsia="Arial" w:hAnsi="Arial"/>
                <w:sz w:val="18"/>
                <w:szCs w:val="18"/>
                <w:color w:val="auto"/>
              </w:rPr>
              <w:t>Income retained in the business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732,290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Treasury stock—3,320,561 and 1,667,235 shares, respectively of Class A nonvoting common stock, at cost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(92,600)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59,411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gridSpan w:val="5"/>
          </w:tcPr>
          <w:p>
            <w:pPr>
              <w:ind w:left="860"/>
              <w:spacing w:after="0"/>
              <w:rPr>
                <w:sz w:val="20"/>
                <w:szCs w:val="20"/>
                <w:color w:val="auto"/>
              </w:rPr>
            </w:pPr>
            <w:r>
              <w:rPr>
                <w:rFonts w:ascii="Arial" w:cs="Arial" w:eastAsia="Arial" w:hAnsi="Arial"/>
                <w:sz w:val="18"/>
                <w:szCs w:val="18"/>
                <w:b w:val="1"/>
                <w:bCs w:val="1"/>
                <w:color w:val="auto"/>
              </w:rPr>
              <w:t>Total stockholders’ investment</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1,009,353</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1,156,192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1,607,719</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1,861,505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center"/>
              <w:ind w:right="200"/>
              <w:spacing w:after="0"/>
              <w:rPr>
                <w:sz w:val="20"/>
                <w:szCs w:val="20"/>
                <w:color w:val="auto"/>
              </w:rPr>
            </w:pPr>
            <w:r>
              <w:rPr>
                <w:rFonts w:ascii="Arial" w:cs="Arial" w:eastAsia="Arial" w:hAnsi="Arial"/>
                <w:sz w:val="14"/>
                <w:szCs w:val="14"/>
                <w:color w:val="auto"/>
                <w:w w:val="90"/>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6"/>
          </w:tcPr>
          <w:p>
            <w:pPr>
              <w:jc w:val="center"/>
              <w:ind w:right="200"/>
              <w:spacing w:after="0" w:line="149" w:lineRule="exact"/>
              <w:rPr>
                <w:sz w:val="20"/>
                <w:szCs w:val="20"/>
                <w:color w:val="auto"/>
              </w:rPr>
            </w:pPr>
            <w:r>
              <w:rPr>
                <w:rFonts w:ascii="Arial" w:cs="Arial" w:eastAsia="Arial" w:hAnsi="Arial"/>
                <w:sz w:val="14"/>
                <w:szCs w:val="14"/>
                <w:color w:val="auto"/>
                <w:w w:val="88"/>
              </w:rPr>
              <w:t>Twelve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center"/>
              <w:ind w:left="394"/>
              <w:spacing w:after="0"/>
              <w:rPr>
                <w:sz w:val="20"/>
                <w:szCs w:val="20"/>
                <w:color w:val="auto"/>
              </w:rPr>
            </w:pPr>
            <w:r>
              <w:rPr>
                <w:rFonts w:ascii="Arial" w:cs="Arial" w:eastAsia="Arial" w:hAnsi="Arial"/>
                <w:sz w:val="14"/>
                <w:szCs w:val="14"/>
                <w:color w:val="auto"/>
                <w:w w:val="86"/>
              </w:rPr>
              <w:t>July 31,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4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4"/>
              <w:spacing w:after="0" w:line="159" w:lineRule="exact"/>
              <w:rPr>
                <w:sz w:val="20"/>
                <w:szCs w:val="20"/>
                <w:color w:val="auto"/>
              </w:rPr>
            </w:pPr>
            <w:r>
              <w:rPr>
                <w:rFonts w:ascii="Arial" w:cs="Arial" w:eastAsia="Arial" w:hAnsi="Arial"/>
                <w:sz w:val="14"/>
                <w:szCs w:val="14"/>
                <w:color w:val="auto"/>
              </w:rPr>
              <w:t>2012</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3"/>
              <w:spacing w:after="0" w:line="159"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Net (loss)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(17,911)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108,652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43,987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portion of restructuring charges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Non-cash portion of stock-based compensation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9,735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115,688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Loss (gain) on divestiture of business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(net of effects of business acquisitions/divestitures):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(7,674)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Accounts payable and accrued liabilities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(29,370)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144,705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167,350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contingent consideration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Settlement of net investment hedges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 net of cash acquired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Divestiture of business, net of cash retained in business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4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(64,604)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(22,631)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Payment of dividends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(38,899)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(49,933)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debt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Debt issuance costs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Income tax benefit from the exercise of stock options and deferred compensation distribution, and other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86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4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(147,824)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(91,574)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21,986</w:t>
            </w:r>
          </w:p>
        </w:tc>
        <w:tc>
          <w:tcPr>
            <w:tcW w:w="0" w:type="dxa"/>
            <w:vAlign w:val="bottom"/>
          </w:tcPr>
          <w:p>
            <w:pPr>
              <w:spacing w:after="0"/>
              <w:rPr>
                <w:sz w:val="1"/>
                <w:szCs w:val="1"/>
                <w:color w:val="auto"/>
              </w:rPr>
            </w:pPr>
          </w:p>
        </w:tc>
      </w:tr>
      <w:tr>
        <w:trPr>
          <w:trHeight w:val="322"/>
        </w:trPr>
        <w:tc>
          <w:tcPr>
            <w:tcW w:w="866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(84,071)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75,131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389,971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314,840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305,900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389,971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net of capitalized interest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Income taxes, net of refunds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35,292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Fair value of assets acquired, net of cash</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23,792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 assumed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paid for acquisitions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37,649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by regional segment for the three and twelve months ended July 31, 2012 and 2011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Corporate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418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Asia-</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Total</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4180" w:type="dxa"/>
            <w:vAlign w:val="bottom"/>
            <w:vMerge w:val="continue"/>
          </w:tcPr>
          <w:p>
            <w:pPr>
              <w:spacing w:after="0"/>
              <w:rPr>
                <w:sz w:val="14"/>
                <w:szCs w:val="14"/>
                <w:color w:val="auto"/>
              </w:rPr>
            </w:pPr>
          </w:p>
        </w:tc>
        <w:tc>
          <w:tcPr>
            <w:tcW w:w="106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8"/>
              </w:rPr>
              <w:t>Americas</w:t>
            </w:r>
          </w:p>
        </w:tc>
        <w:tc>
          <w:tcPr>
            <w:tcW w:w="100" w:type="dxa"/>
            <w:vAlign w:val="bottom"/>
          </w:tcPr>
          <w:p>
            <w:pPr>
              <w:spacing w:after="0"/>
              <w:rPr>
                <w:sz w:val="14"/>
                <w:szCs w:val="14"/>
                <w:color w:val="auto"/>
              </w:rPr>
            </w:pPr>
          </w:p>
        </w:tc>
        <w:tc>
          <w:tcPr>
            <w:tcW w:w="580" w:type="dxa"/>
            <w:vAlign w:val="bottom"/>
          </w:tcPr>
          <w:p>
            <w:pPr>
              <w:jc w:val="right"/>
              <w:ind w:right="55"/>
              <w:spacing w:after="0" w:line="148" w:lineRule="exact"/>
              <w:rPr>
                <w:sz w:val="20"/>
                <w:szCs w:val="20"/>
                <w:color w:val="auto"/>
              </w:rPr>
            </w:pPr>
            <w:r>
              <w:rPr>
                <w:rFonts w:ascii="Arial" w:cs="Arial" w:eastAsia="Arial" w:hAnsi="Arial"/>
                <w:sz w:val="14"/>
                <w:szCs w:val="14"/>
                <w:b w:val="1"/>
                <w:bCs w:val="1"/>
                <w:color w:val="auto"/>
              </w:rPr>
              <w:t>EMEA</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92"/>
              </w:rPr>
              <w:t>Pacific</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8"/>
              </w:rPr>
              <w:t>Region</w:t>
            </w:r>
          </w:p>
        </w:tc>
        <w:tc>
          <w:tcPr>
            <w:tcW w:w="10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Eliminations</w:t>
            </w:r>
          </w:p>
        </w:tc>
        <w:tc>
          <w:tcPr>
            <w:tcW w:w="100" w:type="dxa"/>
            <w:vAlign w:val="bottom"/>
          </w:tcPr>
          <w:p>
            <w:pPr>
              <w:spacing w:after="0"/>
              <w:rPr>
                <w:sz w:val="14"/>
                <w:szCs w:val="14"/>
                <w:color w:val="auto"/>
              </w:rPr>
            </w:pPr>
          </w:p>
        </w:tc>
        <w:tc>
          <w:tcPr>
            <w:tcW w:w="90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SALES TO EXTERNAL CUSTOMERS</w:t>
            </w:r>
          </w:p>
        </w:tc>
        <w:tc>
          <w:tcPr>
            <w:tcW w:w="6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July 31, 2012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$147,028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322,548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322,548</w:t>
            </w:r>
          </w:p>
        </w:tc>
        <w:tc>
          <w:tcPr>
            <w:tcW w:w="0" w:type="dxa"/>
            <w:vAlign w:val="bottom"/>
          </w:tcPr>
          <w:p>
            <w:pPr>
              <w:spacing w:after="0"/>
              <w:rPr>
                <w:sz w:val="1"/>
                <w:szCs w:val="1"/>
                <w:color w:val="auto"/>
              </w:rPr>
            </w:pP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July 31, 2011</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$146,212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102,970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93,922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343,104</w:t>
            </w:r>
          </w:p>
        </w:tc>
        <w:tc>
          <w:tcPr>
            <w:tcW w:w="40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343,104</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July 31, 2010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$148,929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322,894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322,894</w:t>
            </w:r>
          </w:p>
        </w:tc>
        <w:tc>
          <w:tcPr>
            <w:tcW w:w="0" w:type="dxa"/>
            <w:vAlign w:val="bottom"/>
          </w:tcPr>
          <w:p>
            <w:pPr>
              <w:spacing w:after="0"/>
              <w:rPr>
                <w:sz w:val="1"/>
                <w:szCs w:val="1"/>
                <w:color w:val="auto"/>
              </w:rPr>
            </w:pP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color w:val="auto"/>
              </w:rPr>
              <w:t>Twelve months ended:</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July 31, 2012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$589,925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389,156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345,188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1,324,269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1,324,269</w:t>
            </w:r>
          </w:p>
        </w:tc>
        <w:tc>
          <w:tcPr>
            <w:tcW w:w="0" w:type="dxa"/>
            <w:vAlign w:val="bottom"/>
          </w:tcPr>
          <w:p>
            <w:pPr>
              <w:spacing w:after="0"/>
              <w:rPr>
                <w:sz w:val="1"/>
                <w:szCs w:val="1"/>
                <w:color w:val="auto"/>
              </w:rPr>
            </w:pP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July 31, 2011</w:t>
            </w: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$577,428</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404,955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357,214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1,339,597</w:t>
            </w:r>
          </w:p>
        </w:tc>
        <w:tc>
          <w:tcPr>
            <w:tcW w:w="40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1,339,597</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July 31, 2010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$551,185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380,121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327,790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1,259,096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1,259,096</w:t>
            </w: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SALES INFORMATION</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July 31, 2012: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420"/>
              <w:spacing w:after="0"/>
              <w:rPr>
                <w:sz w:val="20"/>
                <w:szCs w:val="20"/>
                <w:color w:val="auto"/>
              </w:rPr>
            </w:pPr>
            <w:r>
              <w:rPr>
                <w:rFonts w:ascii="Arial" w:cs="Arial" w:eastAsia="Arial" w:hAnsi="Arial"/>
                <w:sz w:val="18"/>
                <w:szCs w:val="18"/>
                <w:color w:val="auto"/>
              </w:rPr>
              <w:t>Base</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4"/>
              </w:rPr>
              <w:t>-14.6%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420"/>
              <w:spacing w:after="0"/>
              <w:rPr>
                <w:sz w:val="20"/>
                <w:szCs w:val="20"/>
                <w:color w:val="auto"/>
              </w:rPr>
            </w:pPr>
            <w:r>
              <w:rPr>
                <w:rFonts w:ascii="Arial" w:cs="Arial" w:eastAsia="Arial" w:hAnsi="Arial"/>
                <w:sz w:val="18"/>
                <w:szCs w:val="18"/>
                <w:color w:val="auto"/>
              </w:rPr>
              <w:t>Acquisitions/Divestitures</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-17.8%</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23"/>
        </w:trPr>
        <w:tc>
          <w:tcPr>
            <w:tcW w:w="5000" w:type="dxa"/>
            <w:vAlign w:val="bottom"/>
            <w:gridSpan w:val="3"/>
          </w:tcPr>
          <w:p>
            <w:pPr>
              <w:spacing w:after="0"/>
              <w:rPr>
                <w:sz w:val="20"/>
                <w:szCs w:val="20"/>
                <w:color w:val="auto"/>
              </w:rPr>
            </w:pPr>
            <w:r>
              <w:rPr>
                <w:rFonts w:ascii="Arial" w:cs="Arial" w:eastAsia="Arial" w:hAnsi="Arial"/>
                <w:sz w:val="18"/>
                <w:szCs w:val="18"/>
                <w:color w:val="auto"/>
              </w:rPr>
              <w:t>Twelve months ended July 31, 2012: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420"/>
              <w:spacing w:after="0"/>
              <w:rPr>
                <w:sz w:val="20"/>
                <w:szCs w:val="20"/>
                <w:color w:val="auto"/>
              </w:rPr>
            </w:pPr>
            <w:r>
              <w:rPr>
                <w:rFonts w:ascii="Arial" w:cs="Arial" w:eastAsia="Arial" w:hAnsi="Arial"/>
                <w:sz w:val="18"/>
                <w:szCs w:val="18"/>
                <w:color w:val="auto"/>
              </w:rPr>
              <w:t>Currency</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Acquisitions/Divestitures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4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July 31, 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27,211</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88"/>
              </w:rPr>
              <w:t>4,069</w:t>
            </w: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69,023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67,705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420"/>
              <w:spacing w:after="0"/>
              <w:rPr>
                <w:sz w:val="20"/>
                <w:szCs w:val="20"/>
                <w:color w:val="auto"/>
              </w:rPr>
            </w:pPr>
            <w:r>
              <w:rPr>
                <w:rFonts w:ascii="Arial" w:cs="Arial" w:eastAsia="Arial" w:hAnsi="Arial"/>
                <w:sz w:val="18"/>
                <w:szCs w:val="18"/>
                <w:color w:val="auto"/>
              </w:rPr>
              <w:t>July 31, 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36,850</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29,882</w:t>
            </w:r>
          </w:p>
        </w:tc>
        <w:tc>
          <w:tcPr>
            <w:tcW w:w="1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gridSpan w:val="3"/>
          </w:tcPr>
          <w:p>
            <w:pPr>
              <w:jc w:val="right"/>
              <w:ind w:right="31"/>
              <w:spacing w:after="0"/>
              <w:rPr>
                <w:sz w:val="20"/>
                <w:szCs w:val="20"/>
                <w:color w:val="auto"/>
              </w:rPr>
            </w:pPr>
            <w:r>
              <w:rPr>
                <w:rFonts w:ascii="Arial" w:cs="Arial" w:eastAsia="Arial" w:hAnsi="Arial"/>
                <w:sz w:val="18"/>
                <w:szCs w:val="18"/>
                <w:color w:val="auto"/>
                <w:w w:val="87"/>
              </w:rPr>
              <w:t>11,775</w:t>
            </w:r>
          </w:p>
        </w:tc>
        <w:tc>
          <w:tcPr>
            <w:tcW w:w="80" w:type="dxa"/>
            <w:vAlign w:val="bottom"/>
          </w:tcPr>
          <w:p>
            <w:pPr>
              <w:spacing w:after="0"/>
              <w:rPr>
                <w:sz w:val="18"/>
                <w:szCs w:val="18"/>
                <w:color w:val="auto"/>
              </w:rPr>
            </w:pPr>
          </w:p>
        </w:tc>
        <w:tc>
          <w:tcPr>
            <w:tcW w:w="460" w:type="dxa"/>
            <w:vAlign w:val="bottom"/>
            <w:gridSpan w:val="2"/>
          </w:tcPr>
          <w:p>
            <w:pPr>
              <w:jc w:val="center"/>
              <w:ind w:left="14"/>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78,507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($3,655)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74,852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Percentage change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-65.4%</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23"/>
        </w:trPr>
        <w:tc>
          <w:tcPr>
            <w:tcW w:w="5000" w:type="dxa"/>
            <w:vAlign w:val="bottom"/>
            <w:gridSpan w:val="3"/>
          </w:tcPr>
          <w:p>
            <w:pPr>
              <w:spacing w:after="0"/>
              <w:rPr>
                <w:sz w:val="20"/>
                <w:szCs w:val="20"/>
                <w:color w:val="auto"/>
              </w:rPr>
            </w:pPr>
            <w:r>
              <w:rPr>
                <w:rFonts w:ascii="Arial" w:cs="Arial" w:eastAsia="Arial" w:hAnsi="Arial"/>
                <w:sz w:val="18"/>
                <w:szCs w:val="18"/>
                <w:color w:val="auto"/>
              </w:rPr>
              <w:t>Twelve months ended: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July 31, 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155,657</w:t>
            </w:r>
          </w:p>
        </w:tc>
        <w:tc>
          <w:tcPr>
            <w:tcW w:w="3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$105,643</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w w:val="87"/>
              </w:rPr>
              <w:t>31,704</w:t>
            </w: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293,004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285,676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420"/>
              <w:spacing w:after="0"/>
              <w:rPr>
                <w:sz w:val="20"/>
                <w:szCs w:val="20"/>
                <w:color w:val="auto"/>
              </w:rPr>
            </w:pPr>
            <w:r>
              <w:rPr>
                <w:rFonts w:ascii="Arial" w:cs="Arial" w:eastAsia="Arial" w:hAnsi="Arial"/>
                <w:sz w:val="18"/>
                <w:szCs w:val="18"/>
                <w:color w:val="auto"/>
              </w:rPr>
              <w:t>July 31, 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145,516</w:t>
            </w:r>
          </w:p>
        </w:tc>
        <w:tc>
          <w:tcPr>
            <w:tcW w:w="3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2"/>
              </w:rPr>
              <w:t>$ 112,047</w:t>
            </w:r>
          </w:p>
        </w:tc>
        <w:tc>
          <w:tcPr>
            <w:tcW w:w="1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gridSpan w:val="3"/>
          </w:tcPr>
          <w:p>
            <w:pPr>
              <w:jc w:val="right"/>
              <w:ind w:right="31"/>
              <w:spacing w:after="0"/>
              <w:rPr>
                <w:sz w:val="20"/>
                <w:szCs w:val="20"/>
                <w:color w:val="auto"/>
              </w:rPr>
            </w:pPr>
            <w:r>
              <w:rPr>
                <w:rFonts w:ascii="Arial" w:cs="Arial" w:eastAsia="Arial" w:hAnsi="Arial"/>
                <w:sz w:val="18"/>
                <w:szCs w:val="18"/>
                <w:color w:val="auto"/>
                <w:w w:val="87"/>
              </w:rPr>
              <w:t>50,105</w:t>
            </w:r>
          </w:p>
        </w:tc>
        <w:tc>
          <w:tcPr>
            <w:tcW w:w="80" w:type="dxa"/>
            <w:vAlign w:val="bottom"/>
          </w:tcPr>
          <w:p>
            <w:pPr>
              <w:spacing w:after="0"/>
              <w:rPr>
                <w:sz w:val="18"/>
                <w:szCs w:val="18"/>
                <w:color w:val="auto"/>
              </w:rPr>
            </w:pPr>
          </w:p>
        </w:tc>
        <w:tc>
          <w:tcPr>
            <w:tcW w:w="460" w:type="dxa"/>
            <w:vAlign w:val="bottom"/>
            <w:gridSpan w:val="2"/>
          </w:tcPr>
          <w:p>
            <w:pPr>
              <w:jc w:val="center"/>
              <w:ind w:left="14"/>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2"/>
              </w:rPr>
              <w:t>307,668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($15,742)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291,926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Percentage change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-36.7%</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76"/>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4"/>
                <w:szCs w:val="14"/>
                <w:color w:val="auto"/>
                <w:w w:val="87"/>
              </w:rPr>
              <w:t>Three months ended: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color w:val="auto"/>
                <w:w w:val="95"/>
              </w:rPr>
              <w:t>Twelve months ended:</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4"/>
          </w:tcPr>
          <w:p>
            <w:pPr>
              <w:jc w:val="right"/>
              <w:ind w:right="120"/>
              <w:spacing w:after="0" w:line="131" w:lineRule="exact"/>
              <w:rPr>
                <w:sz w:val="20"/>
                <w:szCs w:val="20"/>
                <w:color w:val="auto"/>
              </w:rPr>
            </w:pPr>
            <w:r>
              <w:rPr>
                <w:rFonts w:ascii="Arial" w:cs="Arial" w:eastAsia="Arial" w:hAnsi="Arial"/>
                <w:sz w:val="14"/>
                <w:szCs w:val="14"/>
                <w:color w:val="auto"/>
                <w:w w:val="86"/>
              </w:rPr>
              <w:t>July 31,</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100"/>
              <w:spacing w:after="0" w:line="131" w:lineRule="exact"/>
              <w:rPr>
                <w:sz w:val="20"/>
                <w:szCs w:val="20"/>
                <w:color w:val="auto"/>
              </w:rPr>
            </w:pPr>
            <w:r>
              <w:rPr>
                <w:rFonts w:ascii="Arial" w:cs="Arial" w:eastAsia="Arial" w:hAnsi="Arial"/>
                <w:sz w:val="14"/>
                <w:szCs w:val="14"/>
                <w:color w:val="auto"/>
                <w:w w:val="86"/>
              </w:rPr>
              <w:t>July 31,</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4"/>
          </w:tcPr>
          <w:p>
            <w:pPr>
              <w:jc w:val="right"/>
              <w:ind w:right="300"/>
              <w:spacing w:after="0" w:line="131" w:lineRule="exact"/>
              <w:rPr>
                <w:sz w:val="20"/>
                <w:szCs w:val="20"/>
                <w:color w:val="auto"/>
              </w:rPr>
            </w:pPr>
            <w:r>
              <w:rPr>
                <w:rFonts w:ascii="Arial" w:cs="Arial" w:eastAsia="Arial" w:hAnsi="Arial"/>
                <w:sz w:val="14"/>
                <w:szCs w:val="14"/>
                <w:color w:val="auto"/>
                <w:w w:val="95"/>
              </w:rPr>
              <w:t>July 31,</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right"/>
              <w:ind w:right="72"/>
              <w:spacing w:after="0" w:line="131" w:lineRule="exact"/>
              <w:rPr>
                <w:sz w:val="20"/>
                <w:szCs w:val="20"/>
                <w:color w:val="auto"/>
              </w:rPr>
            </w:pPr>
            <w:r>
              <w:rPr>
                <w:rFonts w:ascii="Arial" w:cs="Arial" w:eastAsia="Arial" w:hAnsi="Arial"/>
                <w:sz w:val="14"/>
                <w:szCs w:val="14"/>
                <w:color w:val="auto"/>
                <w:w w:val="99"/>
              </w:rPr>
              <w:t>July 31,</w:t>
            </w:r>
          </w:p>
        </w:tc>
        <w:tc>
          <w:tcPr>
            <w:tcW w:w="5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2012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2011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76"/>
              </w:rPr>
              <w:t>2012</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152"/>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profit for reportable segments</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$ 69,023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78,507</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293,004</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$ 307,668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(1,318)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7"/>
              </w:rPr>
              <w:t>(3,655)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(7,328)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(15,742)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40" w:type="dxa"/>
            <w:vAlign w:val="bottom"/>
          </w:tcPr>
          <w:p>
            <w:pPr>
              <w:ind w:left="440"/>
              <w:spacing w:after="0"/>
              <w:rPr>
                <w:sz w:val="20"/>
                <w:szCs w:val="20"/>
                <w:color w:val="auto"/>
              </w:rPr>
            </w:pPr>
            <w:r>
              <w:rPr>
                <w:rFonts w:ascii="Arial" w:cs="Arial" w:eastAsia="Arial" w:hAnsi="Arial"/>
                <w:sz w:val="18"/>
                <w:szCs w:val="18"/>
                <w:color w:val="auto"/>
              </w:rPr>
              <w:t>Administrative costs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(32,122)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86"/>
              </w:rPr>
              <w:t>(30,012)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w w:val="88"/>
              </w:rPr>
              <w:t>(118,120)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(120,546)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(2,202)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(12,110)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(9,188)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40" w:type="dxa"/>
            <w:vAlign w:val="bottom"/>
          </w:tcPr>
          <w:p>
            <w:pPr>
              <w:ind w:left="440"/>
              <w:spacing w:after="0"/>
              <w:rPr>
                <w:sz w:val="20"/>
                <w:szCs w:val="20"/>
                <w:color w:val="auto"/>
              </w:rPr>
            </w:pPr>
            <w:r>
              <w:rPr>
                <w:rFonts w:ascii="Arial" w:cs="Arial" w:eastAsia="Arial" w:hAnsi="Arial"/>
                <w:sz w:val="18"/>
                <w:szCs w:val="18"/>
                <w:color w:val="auto"/>
              </w:rPr>
              <w:t>Impairment charge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w w:val="88"/>
              </w:rPr>
              <w:t>(115,688)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and 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1,098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4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6"/>
          </w:tcPr>
          <w:p>
            <w:pPr>
              <w:jc w:val="right"/>
              <w:spacing w:after="0"/>
              <w:rPr>
                <w:sz w:val="20"/>
                <w:szCs w:val="20"/>
                <w:color w:val="auto"/>
              </w:rPr>
            </w:pPr>
            <w:r>
              <w:rPr>
                <w:rFonts w:ascii="Arial" w:cs="Arial" w:eastAsia="Arial" w:hAnsi="Arial"/>
                <w:sz w:val="18"/>
                <w:szCs w:val="18"/>
                <w:color w:val="auto"/>
              </w:rPr>
              <w:t>(4,375)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7"/>
              </w:rPr>
              <w:t>(5,484)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(19,090)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(22,124)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22,900</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38,252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22,750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144,058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6"/>
          </w:tcPr>
          <w:p>
            <w:pPr>
              <w:jc w:val="right"/>
              <w:spacing w:after="0"/>
              <w:rPr>
                <w:sz w:val="20"/>
                <w:szCs w:val="20"/>
                <w:color w:val="auto"/>
              </w:rPr>
            </w:pPr>
            <w:r>
              <w:rPr>
                <w:rFonts w:ascii="Arial" w:cs="Arial" w:eastAsia="Arial" w:hAnsi="Arial"/>
                <w:sz w:val="18"/>
                <w:szCs w:val="18"/>
                <w:color w:val="auto"/>
              </w:rPr>
              <w:t>(11,241)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7"/>
              </w:rPr>
              <w:t>(8,669)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(40,661)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(35,406)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$ 11,659</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29,583</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(17,911)</w:t>
            </w:r>
          </w:p>
        </w:tc>
        <w:tc>
          <w:tcPr>
            <w:tcW w:w="11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$ 108,652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MEASURES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6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Brady is presenting EBITDA because it is used by many of our investors and lenders, and is presented as a convenience to them. EBITDA represents net income before interest expense, income taxes, depreciation and amortization and non-cash impairment charges.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Fiscal 2012</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Q1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40"/>
              <w:spacing w:after="0" w:line="142" w:lineRule="exact"/>
              <w:rPr>
                <w:sz w:val="20"/>
                <w:szCs w:val="20"/>
                <w:color w:val="auto"/>
              </w:rPr>
            </w:pPr>
            <w:r>
              <w:rPr>
                <w:rFonts w:ascii="Arial" w:cs="Arial" w:eastAsia="Arial" w:hAnsi="Arial"/>
                <w:sz w:val="14"/>
                <w:szCs w:val="14"/>
                <w:color w:val="auto"/>
              </w:rPr>
              <w:t>Q2</w:t>
            </w:r>
          </w:p>
        </w:tc>
        <w:tc>
          <w:tcPr>
            <w:tcW w:w="120" w:type="dxa"/>
            <w:vAlign w:val="bottom"/>
          </w:tcPr>
          <w:p>
            <w:pPr>
              <w:spacing w:after="0"/>
              <w:rPr>
                <w:sz w:val="12"/>
                <w:szCs w:val="12"/>
                <w:color w:val="auto"/>
              </w:rPr>
            </w:pPr>
          </w:p>
        </w:tc>
        <w:tc>
          <w:tcPr>
            <w:tcW w:w="88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Q3</w:t>
            </w:r>
          </w:p>
        </w:tc>
        <w:tc>
          <w:tcPr>
            <w:tcW w:w="20" w:type="dxa"/>
            <w:vAlign w:val="bottom"/>
          </w:tcPr>
          <w:p>
            <w:pPr>
              <w:spacing w:after="0"/>
              <w:rPr>
                <w:sz w:val="12"/>
                <w:szCs w:val="12"/>
                <w:color w:val="auto"/>
              </w:rPr>
            </w:pPr>
          </w:p>
        </w:tc>
        <w:tc>
          <w:tcPr>
            <w:tcW w:w="720" w:type="dxa"/>
            <w:vAlign w:val="bottom"/>
            <w:gridSpan w:val="3"/>
          </w:tcPr>
          <w:p>
            <w:pPr>
              <w:ind w:left="200"/>
              <w:spacing w:after="0" w:line="142" w:lineRule="exact"/>
              <w:rPr>
                <w:sz w:val="20"/>
                <w:szCs w:val="20"/>
                <w:color w:val="auto"/>
              </w:rPr>
            </w:pPr>
            <w:r>
              <w:rPr>
                <w:rFonts w:ascii="Arial" w:cs="Arial" w:eastAsia="Arial" w:hAnsi="Arial"/>
                <w:sz w:val="14"/>
                <w:szCs w:val="14"/>
                <w:color w:val="auto"/>
              </w:rPr>
              <w:t>Q4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20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2640" w:type="dxa"/>
            <w:vAlign w:val="bottom"/>
            <w:gridSpan w:val="4"/>
          </w:tcPr>
          <w:p>
            <w:pPr>
              <w:jc w:val="right"/>
              <w:ind w:right="60"/>
              <w:spacing w:after="0"/>
              <w:rPr>
                <w:sz w:val="20"/>
                <w:szCs w:val="20"/>
                <w:color w:val="auto"/>
              </w:rPr>
            </w:pPr>
            <w:r>
              <w:rPr>
                <w:rFonts w:ascii="Arial" w:cs="Arial" w:eastAsia="Arial" w:hAnsi="Arial"/>
                <w:sz w:val="18"/>
                <w:szCs w:val="18"/>
                <w:color w:val="auto"/>
              </w:rPr>
              <w:t>$32,732</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 (89,954)</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$27,652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$11,659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8"/>
                <w:szCs w:val="18"/>
                <w:color w:val="auto"/>
              </w:rPr>
              <w:t>$ (17,911)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expense</w:t>
            </w:r>
          </w:p>
        </w:tc>
        <w:tc>
          <w:tcPr>
            <w:tcW w:w="2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5,047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4,735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19,090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2640" w:type="dxa"/>
            <w:vAlign w:val="bottom"/>
            <w:gridSpan w:val="4"/>
          </w:tcPr>
          <w:p>
            <w:pPr>
              <w:jc w:val="right"/>
              <w:ind w:right="60"/>
              <w:spacing w:after="0"/>
              <w:rPr>
                <w:sz w:val="20"/>
                <w:szCs w:val="20"/>
                <w:color w:val="auto"/>
              </w:rPr>
            </w:pPr>
            <w:r>
              <w:rPr>
                <w:rFonts w:ascii="Arial" w:cs="Arial" w:eastAsia="Arial" w:hAnsi="Arial"/>
                <w:sz w:val="18"/>
                <w:szCs w:val="18"/>
                <w:color w:val="auto"/>
              </w:rPr>
              <w:t>11,109</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8,635</w:t>
            </w:r>
          </w:p>
        </w:tc>
        <w:tc>
          <w:tcPr>
            <w:tcW w:w="1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9,676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11,241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40,661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Depreciation and amortization</w:t>
            </w:r>
          </w:p>
        </w:tc>
        <w:tc>
          <w:tcPr>
            <w:tcW w:w="2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11,241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10,745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43,987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880"/>
              <w:spacing w:after="0"/>
              <w:rPr>
                <w:sz w:val="20"/>
                <w:szCs w:val="20"/>
                <w:color w:val="auto"/>
              </w:rPr>
            </w:pPr>
            <w:r>
              <w:rPr>
                <w:rFonts w:ascii="Arial" w:cs="Arial" w:eastAsia="Arial" w:hAnsi="Arial"/>
                <w:sz w:val="18"/>
                <w:szCs w:val="18"/>
                <w:color w:val="auto"/>
              </w:rPr>
              <w:t>Impairment charge</w:t>
            </w:r>
          </w:p>
        </w:tc>
        <w:tc>
          <w:tcPr>
            <w:tcW w:w="20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115,688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115,688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EBITDA (non-GAAP measure)</w:t>
            </w:r>
          </w:p>
        </w:tc>
        <w:tc>
          <w:tcPr>
            <w:tcW w:w="2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60,129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$ 50,237</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52,808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38,341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w w:val="89"/>
              </w:rPr>
              <w:t>Fiscal 2011</w:t>
            </w: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Q1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Q2</w:t>
            </w:r>
          </w:p>
        </w:tc>
        <w:tc>
          <w:tcPr>
            <w:tcW w:w="120" w:type="dxa"/>
            <w:vAlign w:val="bottom"/>
          </w:tcPr>
          <w:p>
            <w:pPr>
              <w:spacing w:after="0"/>
              <w:rPr>
                <w:sz w:val="12"/>
                <w:szCs w:val="12"/>
                <w:color w:val="auto"/>
              </w:rPr>
            </w:pPr>
          </w:p>
        </w:tc>
        <w:tc>
          <w:tcPr>
            <w:tcW w:w="88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Q3</w:t>
            </w:r>
          </w:p>
        </w:tc>
        <w:tc>
          <w:tcPr>
            <w:tcW w:w="20" w:type="dxa"/>
            <w:vAlign w:val="bottom"/>
          </w:tcPr>
          <w:p>
            <w:pPr>
              <w:spacing w:after="0"/>
              <w:rPr>
                <w:sz w:val="12"/>
                <w:szCs w:val="12"/>
                <w:color w:val="auto"/>
              </w:rPr>
            </w:pPr>
          </w:p>
        </w:tc>
        <w:tc>
          <w:tcPr>
            <w:tcW w:w="720" w:type="dxa"/>
            <w:vAlign w:val="bottom"/>
            <w:gridSpan w:val="3"/>
          </w:tcPr>
          <w:p>
            <w:pPr>
              <w:ind w:left="200"/>
              <w:spacing w:after="0" w:line="142" w:lineRule="exact"/>
              <w:rPr>
                <w:sz w:val="20"/>
                <w:szCs w:val="20"/>
                <w:color w:val="auto"/>
              </w:rPr>
            </w:pPr>
            <w:r>
              <w:rPr>
                <w:rFonts w:ascii="Arial" w:cs="Arial" w:eastAsia="Arial" w:hAnsi="Arial"/>
                <w:sz w:val="14"/>
                <w:szCs w:val="14"/>
                <w:color w:val="auto"/>
              </w:rPr>
              <w:t>Q4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20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640" w:type="dxa"/>
            <w:vAlign w:val="bottom"/>
            <w:gridSpan w:val="4"/>
          </w:tcPr>
          <w:p>
            <w:pPr>
              <w:jc w:val="right"/>
              <w:spacing w:after="0"/>
              <w:rPr>
                <w:sz w:val="20"/>
                <w:szCs w:val="20"/>
                <w:color w:val="auto"/>
              </w:rPr>
            </w:pPr>
            <w:r>
              <w:rPr>
                <w:rFonts w:ascii="Arial" w:cs="Arial" w:eastAsia="Arial" w:hAnsi="Arial"/>
                <w:sz w:val="18"/>
                <w:szCs w:val="18"/>
                <w:color w:val="auto"/>
              </w:rPr>
              <w:t>$26,281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$24,199</w:t>
            </w:r>
          </w:p>
        </w:tc>
        <w:tc>
          <w:tcPr>
            <w:tcW w:w="1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$28,589</w:t>
            </w: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w w:val="89"/>
              </w:rPr>
              <w:t>$29,583</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$108,652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expense</w:t>
            </w:r>
          </w:p>
        </w:tc>
        <w:tc>
          <w:tcPr>
            <w:tcW w:w="2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5,103</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5,484</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2640" w:type="dxa"/>
            <w:vAlign w:val="bottom"/>
            <w:gridSpan w:val="4"/>
          </w:tcPr>
          <w:p>
            <w:pPr>
              <w:jc w:val="right"/>
              <w:spacing w:after="0"/>
              <w:rPr>
                <w:sz w:val="20"/>
                <w:szCs w:val="20"/>
                <w:color w:val="auto"/>
              </w:rPr>
            </w:pPr>
            <w:r>
              <w:rPr>
                <w:rFonts w:ascii="Arial" w:cs="Arial" w:eastAsia="Arial" w:hAnsi="Arial"/>
                <w:sz w:val="18"/>
                <w:szCs w:val="18"/>
                <w:color w:val="auto"/>
              </w:rPr>
              <w:t>9,925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8,205</w:t>
            </w:r>
          </w:p>
        </w:tc>
        <w:tc>
          <w:tcPr>
            <w:tcW w:w="1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8,607</w:t>
            </w: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8,669</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35,406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Depreciation and amortization</w:t>
            </w:r>
          </w:p>
        </w:tc>
        <w:tc>
          <w:tcPr>
            <w:tcW w:w="206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3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12,020</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11,305</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48,827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440"/>
              <w:spacing w:after="0"/>
              <w:rPr>
                <w:sz w:val="20"/>
                <w:szCs w:val="20"/>
                <w:color w:val="auto"/>
              </w:rPr>
            </w:pPr>
            <w:r>
              <w:rPr>
                <w:rFonts w:ascii="Arial" w:cs="Arial" w:eastAsia="Arial" w:hAnsi="Arial"/>
                <w:sz w:val="18"/>
                <w:szCs w:val="18"/>
                <w:color w:val="auto"/>
              </w:rPr>
              <w:t>EBITDA (non-GAAP measure)</w:t>
            </w:r>
          </w:p>
        </w:tc>
        <w:tc>
          <w:tcPr>
            <w:tcW w:w="206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vMerge w:val="continue"/>
          </w:tcPr>
          <w:p>
            <w:pPr>
              <w:spacing w:after="0"/>
              <w:rPr>
                <w:sz w:val="19"/>
                <w:szCs w:val="19"/>
                <w:color w:val="auto"/>
              </w:rPr>
            </w:pPr>
          </w:p>
        </w:tc>
        <w:tc>
          <w:tcPr>
            <w:tcW w:w="2060" w:type="dxa"/>
            <w:vAlign w:val="bottom"/>
            <w:gridSpan w:val="2"/>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54,487</w:t>
            </w: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51,162</w:t>
            </w:r>
          </w:p>
        </w:tc>
        <w:tc>
          <w:tcPr>
            <w:tcW w:w="180" w:type="dxa"/>
            <w:vAlign w:val="bottom"/>
          </w:tcPr>
          <w:p>
            <w:pPr>
              <w:spacing w:after="0"/>
              <w:rPr>
                <w:sz w:val="19"/>
                <w:szCs w:val="19"/>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54,319</w:t>
            </w:r>
          </w:p>
        </w:tc>
        <w:tc>
          <w:tcPr>
            <w:tcW w:w="74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55,041</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215,009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Excluding Impairment, Restructuring, &amp; Non-Routine Tax Charge:</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is a measure of the Company’s diluted net earnings per share excluding the current year Asia non-cash goodwill impairment charge, current and prior year restructuring charges, and current year non-routine non-cash tax charges related to an internal reorganization. We do not view these items to be part of our sustainable results. We believe this earnings per share measure provides an important perspective of underlying business trends and results and provides a more comparable measure of year-on-year earnings per share growth. The table below provides a reconciliation of diluted net earnings per share to diluted earnings per share excluding the impairment charge, restructuring charges, and non-routine tax charge:</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right"/>
              <w:ind w:right="16"/>
              <w:spacing w:after="0"/>
              <w:rPr>
                <w:sz w:val="20"/>
                <w:szCs w:val="20"/>
                <w:color w:val="auto"/>
              </w:rPr>
            </w:pPr>
            <w:r>
              <w:rPr>
                <w:rFonts w:ascii="Arial" w:cs="Arial" w:eastAsia="Arial" w:hAnsi="Arial"/>
                <w:sz w:val="14"/>
                <w:szCs w:val="14"/>
                <w:color w:val="auto"/>
                <w:w w:val="87"/>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220"/>
              <w:spacing w:after="0"/>
              <w:rPr>
                <w:sz w:val="20"/>
                <w:szCs w:val="20"/>
                <w:color w:val="auto"/>
              </w:rPr>
            </w:pPr>
            <w:r>
              <w:rPr>
                <w:rFonts w:ascii="Arial" w:cs="Arial" w:eastAsia="Arial" w:hAnsi="Arial"/>
                <w:sz w:val="14"/>
                <w:szCs w:val="14"/>
                <w:color w:val="auto"/>
                <w:w w:val="88"/>
              </w:rPr>
              <w:t>Twelve Months Ended</w:t>
            </w:r>
          </w:p>
        </w:tc>
      </w:tr>
      <w:tr>
        <w:trPr>
          <w:trHeight w:val="159"/>
        </w:trPr>
        <w:tc>
          <w:tcPr>
            <w:tcW w:w="7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ind w:left="360"/>
              <w:spacing w:after="0" w:line="159" w:lineRule="exact"/>
              <w:rPr>
                <w:sz w:val="20"/>
                <w:szCs w:val="20"/>
                <w:color w:val="auto"/>
              </w:rPr>
            </w:pPr>
            <w:r>
              <w:rPr>
                <w:rFonts w:ascii="Arial" w:cs="Arial" w:eastAsia="Arial" w:hAnsi="Arial"/>
                <w:sz w:val="14"/>
                <w:szCs w:val="14"/>
                <w:color w:val="auto"/>
                <w:w w:val="88"/>
              </w:rPr>
              <w:t>July</w:t>
            </w:r>
          </w:p>
        </w:tc>
        <w:tc>
          <w:tcPr>
            <w:tcW w:w="2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31,</w:t>
            </w:r>
          </w:p>
        </w:tc>
        <w:tc>
          <w:tcPr>
            <w:tcW w:w="4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40"/>
              <w:spacing w:after="0" w:line="159" w:lineRule="exact"/>
              <w:rPr>
                <w:sz w:val="20"/>
                <w:szCs w:val="20"/>
                <w:color w:val="auto"/>
              </w:rPr>
            </w:pPr>
            <w:r>
              <w:rPr>
                <w:rFonts w:ascii="Arial" w:cs="Arial" w:eastAsia="Arial" w:hAnsi="Arial"/>
                <w:sz w:val="14"/>
                <w:szCs w:val="14"/>
                <w:color w:val="auto"/>
              </w:rPr>
              <w:t>July</w:t>
            </w:r>
          </w:p>
        </w:tc>
        <w:tc>
          <w:tcPr>
            <w:tcW w:w="300" w:type="dxa"/>
            <w:vAlign w:val="bottom"/>
            <w:tcBorders>
              <w:bottom w:val="single" w:sz="8" w:color="auto"/>
            </w:tcBorders>
            <w:gridSpan w:val="2"/>
          </w:tcPr>
          <w:p>
            <w:pPr>
              <w:jc w:val="right"/>
              <w:ind w:right="23"/>
              <w:spacing w:after="0" w:line="159" w:lineRule="exact"/>
              <w:rPr>
                <w:sz w:val="20"/>
                <w:szCs w:val="20"/>
                <w:color w:val="auto"/>
              </w:rPr>
            </w:pPr>
            <w:r>
              <w:rPr>
                <w:rFonts w:ascii="Arial" w:cs="Arial" w:eastAsia="Arial" w:hAnsi="Arial"/>
                <w:sz w:val="14"/>
                <w:szCs w:val="14"/>
                <w:color w:val="auto"/>
                <w:w w:val="92"/>
              </w:rPr>
              <w:t>31,</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color w:val="auto"/>
                <w:w w:val="83"/>
              </w:rPr>
              <w:t>2012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3"/>
              </w:rPr>
              <w:t>2011</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color w:val="auto"/>
                <w:w w:val="89"/>
              </w:rPr>
              <w:t>2012</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(0.34)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5"/>
              </w:rPr>
              <w:t>2.04</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Non-Cash Goodwill Impairment</w:t>
            </w: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5"/>
              </w:rPr>
              <w:t>0.12</w:t>
            </w:r>
          </w:p>
        </w:tc>
        <w:tc>
          <w:tcPr>
            <w:tcW w:w="100" w:type="dxa"/>
            <w:vAlign w:val="bottom"/>
            <w:shd w:val="clear" w:color="auto" w:fill="CCEEFF"/>
          </w:tcPr>
          <w:p>
            <w:pPr>
              <w:spacing w:after="0"/>
              <w:rPr>
                <w:sz w:val="18"/>
                <w:szCs w:val="18"/>
                <w:color w:val="auto"/>
              </w:rPr>
            </w:pPr>
          </w:p>
        </w:tc>
      </w:tr>
      <w:tr>
        <w:trPr>
          <w:trHeight w:val="223"/>
        </w:trPr>
        <w:tc>
          <w:tcPr>
            <w:tcW w:w="7200" w:type="dxa"/>
            <w:vAlign w:val="bottom"/>
          </w:tcPr>
          <w:p>
            <w:pPr>
              <w:ind w:left="440"/>
              <w:spacing w:after="0"/>
              <w:rPr>
                <w:sz w:val="20"/>
                <w:szCs w:val="20"/>
                <w:color w:val="auto"/>
              </w:rPr>
            </w:pPr>
            <w:r>
              <w:rPr>
                <w:rFonts w:ascii="Arial" w:cs="Arial" w:eastAsia="Arial" w:hAnsi="Arial"/>
                <w:sz w:val="18"/>
                <w:szCs w:val="18"/>
                <w:color w:val="auto"/>
              </w:rPr>
              <w:t>Non-Routine, Non-Cash Tax Charge</w:t>
            </w:r>
          </w:p>
        </w:tc>
        <w:tc>
          <w:tcPr>
            <w:tcW w:w="10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r>
      <w:tr>
        <w:trPr>
          <w:trHeight w:val="202"/>
        </w:trPr>
        <w:tc>
          <w:tcPr>
            <w:tcW w:w="72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b w:val="1"/>
                <w:bCs w:val="1"/>
                <w:color w:val="auto"/>
                <w:w w:val="96"/>
              </w:rPr>
              <w:t>Diluted Earnings per Share Excluding Impairment, Restructuring Charges, &amp; Non-</w:t>
            </w: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2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Routine Tax Charge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center"/>
              <w:ind w:left="16"/>
              <w:spacing w:after="0"/>
              <w:rPr>
                <w:sz w:val="20"/>
                <w:szCs w:val="20"/>
                <w:color w:val="auto"/>
              </w:rPr>
            </w:pPr>
            <w:r>
              <w:rPr>
                <w:rFonts w:ascii="Arial" w:cs="Arial" w:eastAsia="Arial" w:hAnsi="Arial"/>
                <w:sz w:val="18"/>
                <w:szCs w:val="18"/>
                <w:b w:val="1"/>
                <w:bCs w:val="1"/>
                <w:color w:val="auto"/>
                <w:w w:val="85"/>
              </w:rPr>
              <w:t>2.16</w:t>
            </w:r>
          </w:p>
        </w:tc>
        <w:tc>
          <w:tcPr>
            <w:tcW w:w="100" w:type="dxa"/>
            <w:vAlign w:val="bottom"/>
            <w:shd w:val="clear" w:color="auto" w:fill="CCEEFF"/>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All reconciling items are presented net of tax. Tax effects are calculated consistent with the nature of the underlying transaction. Diluted loss per share and all reconciling items for the twelve months ended July 31, 2012, are presented using total diluted shares of 52,821 for the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Excluding Impairment, Restructuring, &amp; Non-Routine Tax Charge:</w:t>
      </w:r>
    </w:p>
    <w:p>
      <w:pPr>
        <w:spacing w:after="0" w:line="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This is a measure of the Company’s net income excluding the current year Asia non-cash goodwill impairment charge, current and prior year restructuring charges, and current year non-routine non-cash tax charges related to an internal reorganization. We do not view these items to be part of our sustainable results. We believe this net income measure provides an important perspective of underlying business trends and results and provides a more comparable measure of year-on-year net income growth. The table below provides a reconciliation of net income to net income excluding the impairment charge, restructuring charges, and non-routine tax charge:</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560" w:type="dxa"/>
            <w:vAlign w:val="bottom"/>
            <w:gridSpan w:val="3"/>
          </w:tcPr>
          <w:p>
            <w:pPr>
              <w:jc w:val="right"/>
              <w:ind w:right="132"/>
              <w:spacing w:after="0"/>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color w:val="auto"/>
                <w:w w:val="88"/>
              </w:rPr>
              <w:t>Twelve Months Ended</w:t>
            </w:r>
          </w:p>
        </w:tc>
      </w:tr>
      <w:tr>
        <w:trPr>
          <w:trHeight w:val="159"/>
        </w:trPr>
        <w:tc>
          <w:tcPr>
            <w:tcW w:w="6720" w:type="dxa"/>
            <w:vAlign w:val="bottom"/>
          </w:tcPr>
          <w:p>
            <w:pPr>
              <w:spacing w:after="0"/>
              <w:rPr>
                <w:sz w:val="13"/>
                <w:szCs w:val="13"/>
                <w:color w:val="auto"/>
              </w:rPr>
            </w:pPr>
          </w:p>
        </w:tc>
        <w:tc>
          <w:tcPr>
            <w:tcW w:w="1560" w:type="dxa"/>
            <w:vAlign w:val="bottom"/>
            <w:gridSpan w:val="3"/>
          </w:tcPr>
          <w:p>
            <w:pPr>
              <w:jc w:val="right"/>
              <w:ind w:right="492"/>
              <w:spacing w:after="0" w:line="159" w:lineRule="exact"/>
              <w:rPr>
                <w:sz w:val="20"/>
                <w:szCs w:val="20"/>
                <w:color w:val="auto"/>
              </w:rPr>
            </w:pPr>
            <w:r>
              <w:rPr>
                <w:rFonts w:ascii="Arial" w:cs="Arial" w:eastAsia="Arial" w:hAnsi="Arial"/>
                <w:sz w:val="14"/>
                <w:szCs w:val="14"/>
                <w:color w:val="auto"/>
              </w:rPr>
              <w:t>July 31,</w:t>
            </w:r>
          </w:p>
        </w:tc>
        <w:tc>
          <w:tcPr>
            <w:tcW w:w="380" w:type="dxa"/>
            <w:vAlign w:val="bottom"/>
          </w:tcPr>
          <w:p>
            <w:pPr>
              <w:spacing w:after="0"/>
              <w:rPr>
                <w:sz w:val="13"/>
                <w:szCs w:val="13"/>
                <w:color w:val="auto"/>
              </w:rPr>
            </w:pPr>
          </w:p>
        </w:tc>
        <w:tc>
          <w:tcPr>
            <w:tcW w:w="1840" w:type="dxa"/>
            <w:vAlign w:val="bottom"/>
            <w:gridSpan w:val="4"/>
          </w:tcPr>
          <w:p>
            <w:pPr>
              <w:jc w:val="center"/>
              <w:ind w:right="100"/>
              <w:spacing w:after="0" w:line="159" w:lineRule="exact"/>
              <w:rPr>
                <w:sz w:val="20"/>
                <w:szCs w:val="20"/>
                <w:color w:val="auto"/>
              </w:rPr>
            </w:pPr>
            <w:r>
              <w:rPr>
                <w:rFonts w:ascii="Arial" w:cs="Arial" w:eastAsia="Arial" w:hAnsi="Arial"/>
                <w:sz w:val="14"/>
                <w:szCs w:val="14"/>
                <w:color w:val="auto"/>
                <w:w w:val="86"/>
              </w:rPr>
              <w:t>July 31,</w:t>
            </w:r>
          </w:p>
        </w:tc>
      </w:tr>
      <w:tr>
        <w:trPr>
          <w:trHeight w:val="142"/>
        </w:trPr>
        <w:tc>
          <w:tcPr>
            <w:tcW w:w="67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color w:val="auto"/>
              </w:rPr>
              <w:t>2012</w:t>
            </w:r>
          </w:p>
        </w:tc>
        <w:tc>
          <w:tcPr>
            <w:tcW w:w="9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2"/>
                <w:szCs w:val="12"/>
                <w:color w:val="auto"/>
              </w:rPr>
            </w:pPr>
          </w:p>
        </w:tc>
        <w:tc>
          <w:tcPr>
            <w:tcW w:w="660" w:type="dxa"/>
            <w:vAlign w:val="bottom"/>
            <w:tcBorders>
              <w:top w:val="single" w:sz="8" w:color="auto"/>
            </w:tcBorders>
          </w:tcPr>
          <w:p>
            <w:pPr>
              <w:jc w:val="right"/>
              <w:ind w:right="107"/>
              <w:spacing w:after="0" w:line="142" w:lineRule="exact"/>
              <w:rPr>
                <w:sz w:val="20"/>
                <w:szCs w:val="20"/>
                <w:color w:val="auto"/>
              </w:rPr>
            </w:pPr>
            <w:r>
              <w:rPr>
                <w:rFonts w:ascii="Arial" w:cs="Arial" w:eastAsia="Arial" w:hAnsi="Arial"/>
                <w:sz w:val="14"/>
                <w:szCs w:val="14"/>
                <w:color w:val="auto"/>
              </w:rPr>
              <w:t>2012</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r>
      <w:tr>
        <w:trPr>
          <w:trHeight w:val="210"/>
        </w:trPr>
        <w:tc>
          <w:tcPr>
            <w:tcW w:w="6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$11,659</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$29,583</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(17,911)</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$108,652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Non-Cash Goodwill Impairment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115,688</w:t>
            </w:r>
          </w:p>
        </w:tc>
        <w:tc>
          <w:tcPr>
            <w:tcW w:w="4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100" w:type="dxa"/>
            <w:vAlign w:val="bottom"/>
            <w:shd w:val="clear" w:color="auto" w:fill="CCEEFF"/>
          </w:tcPr>
          <w:p>
            <w:pPr>
              <w:spacing w:after="0"/>
              <w:rPr>
                <w:sz w:val="18"/>
                <w:szCs w:val="18"/>
                <w:color w:val="auto"/>
              </w:rPr>
            </w:pPr>
          </w:p>
        </w:tc>
      </w:tr>
      <w:tr>
        <w:trPr>
          <w:trHeight w:val="223"/>
        </w:trPr>
        <w:tc>
          <w:tcPr>
            <w:tcW w:w="6720" w:type="dxa"/>
            <w:vAlign w:val="bottom"/>
          </w:tcPr>
          <w:p>
            <w:pPr>
              <w:ind w:left="440"/>
              <w:spacing w:after="0"/>
              <w:rPr>
                <w:sz w:val="20"/>
                <w:szCs w:val="20"/>
                <w:color w:val="auto"/>
              </w:rPr>
            </w:pPr>
            <w:r>
              <w:rPr>
                <w:rFonts w:ascii="Arial" w:cs="Arial" w:eastAsia="Arial" w:hAnsi="Arial"/>
                <w:sz w:val="18"/>
                <w:szCs w:val="18"/>
                <w:color w:val="auto"/>
              </w:rPr>
              <w:t>Non-Routine, Non-Cash Tax Charge</w:t>
            </w:r>
          </w:p>
        </w:tc>
        <w:tc>
          <w:tcPr>
            <w:tcW w:w="580" w:type="dxa"/>
            <w:vAlign w:val="bottom"/>
          </w:tcPr>
          <w:p>
            <w:pPr>
              <w:jc w:val="right"/>
              <w:spacing w:after="0"/>
              <w:rPr>
                <w:sz w:val="20"/>
                <w:szCs w:val="20"/>
                <w:color w:val="auto"/>
              </w:rPr>
            </w:pPr>
            <w:r>
              <w:rPr>
                <w:rFonts w:ascii="Arial" w:cs="Arial" w:eastAsia="Arial" w:hAnsi="Arial"/>
                <w:sz w:val="18"/>
                <w:szCs w:val="18"/>
                <w:color w:val="auto"/>
              </w:rPr>
              <w:t>5,616</w:t>
            </w:r>
          </w:p>
        </w:tc>
        <w:tc>
          <w:tcPr>
            <w:tcW w:w="40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5,616</w:t>
            </w:r>
          </w:p>
        </w:tc>
        <w:tc>
          <w:tcPr>
            <w:tcW w:w="42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02"/>
        </w:trPr>
        <w:tc>
          <w:tcPr>
            <w:tcW w:w="67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b w:val="1"/>
                <w:bCs w:val="1"/>
                <w:color w:val="auto"/>
                <w:w w:val="99"/>
              </w:rPr>
              <w:t>Net Income Excluding Impairment, Restructuring Charges, &amp; Non-Routine</w:t>
            </w: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Tax Charge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24,384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31,146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112,960</w:t>
            </w: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$ 115,175</w:t>
            </w:r>
          </w:p>
        </w:tc>
        <w:tc>
          <w:tcPr>
            <w:tcW w:w="100" w:type="dxa"/>
            <w:vAlign w:val="bottom"/>
            <w:shd w:val="clear" w:color="auto" w:fill="CCEEFF"/>
          </w:tcPr>
          <w:p>
            <w:pPr>
              <w:spacing w:after="0"/>
              <w:rPr>
                <w:sz w:val="20"/>
                <w:szCs w:val="20"/>
                <w:color w:val="auto"/>
              </w:rPr>
            </w:pPr>
          </w:p>
        </w:tc>
      </w:tr>
      <w:tr>
        <w:trPr>
          <w:trHeight w:val="20"/>
        </w:trPr>
        <w:tc>
          <w:tcPr>
            <w:tcW w:w="6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All reconciling items are presented net of tax. Tax effects are calculated consistent with the nature of the underlying transaction.</w:t>
      </w:r>
    </w:p>
    <w:p>
      <w:pPr>
        <w:sectPr>
          <w:pgSz w:w="11900" w:h="16838" w:orient="portrait"/>
          <w:cols w:equalWidth="0" w:num="1">
            <w:col w:w="11420"/>
          </w:cols>
          <w:pgMar w:left="240" w:top="274" w:right="239" w:bottom="823"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Aaron Pearce (414) 438-6895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Increases Dividend to Shareholders for the 27</w:t>
      </w:r>
      <w:r>
        <w:rPr>
          <w:rFonts w:ascii="Arial" w:cs="Arial" w:eastAsia="Arial" w:hAnsi="Arial"/>
          <w:sz w:val="11"/>
          <w:szCs w:val="11"/>
          <w:b w:val="1"/>
          <w:bCs w:val="1"/>
          <w:u w:val="single" w:color="auto"/>
          <w:color w:val="auto"/>
        </w:rPr>
        <w:t>th</w:t>
      </w:r>
      <w:r>
        <w:rPr>
          <w:rFonts w:ascii="Arial" w:cs="Arial" w:eastAsia="Arial" w:hAnsi="Arial"/>
          <w:sz w:val="18"/>
          <w:szCs w:val="18"/>
          <w:b w:val="1"/>
          <w:bCs w:val="1"/>
          <w:u w:val="single" w:color="auto"/>
          <w:color w:val="auto"/>
        </w:rPr>
        <w:t xml:space="preserve"> Straight Year.</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MILWAUKEE (September 6, 2012)—Brady Corporation’s (NYSE: BRC) Board of Directors has announced an increase in its annual dividend to shareholders of the company’s Class A Common stock from $0.74 per share to $0.76 per share. A quarterly dividend of $0.19 per share will be paid on October 31, 2012 to shareholders of record at the close of business on October 10, 2012. This dividend represents the 27</w:t>
      </w:r>
      <w:r>
        <w:rPr>
          <w:rFonts w:ascii="Arial" w:cs="Arial" w:eastAsia="Arial" w:hAnsi="Arial"/>
          <w:sz w:val="10"/>
          <w:szCs w:val="10"/>
          <w:color w:val="auto"/>
        </w:rPr>
        <w:t>th</w:t>
      </w:r>
      <w:r>
        <w:rPr>
          <w:rFonts w:ascii="Arial" w:cs="Arial" w:eastAsia="Arial" w:hAnsi="Arial"/>
          <w:sz w:val="16"/>
          <w:szCs w:val="16"/>
          <w:color w:val="auto"/>
        </w:rPr>
        <w:t xml:space="preserve"> consecutive annual increase in dividends.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employed approximately 6,500 people at operations in the Americas, Europe and Asia-Pacific as of July 31, 2011. Brady stock trades on the New York Stock Exchange under the symbol BRC. More information is available on the Internet at </w:t>
      </w:r>
      <w:r>
        <w:rPr>
          <w:rFonts w:ascii="Arial" w:cs="Arial" w:eastAsia="Arial" w:hAnsi="Arial"/>
          <w:sz w:val="16"/>
          <w:szCs w:val="16"/>
          <w:u w:val="single" w:color="auto"/>
          <w:color w:val="auto"/>
        </w:rPr>
        <w:t>www.bradycorp.com.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13" w:name="page14"/>
    <w:bookmarkEnd w:id="13"/>
    <w:p>
      <w:pPr>
        <w:ind w:left="9280"/>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169545</wp:posOffset>
            </wp:positionV>
            <wp:extent cx="6174740" cy="9458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4740" cy="945896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4631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2019-12-09T08:57:48Z</dcterms:created>
  <dcterms:modified xsi:type="dcterms:W3CDTF">2019-12-09T08:57:48Z</dcterms:modified>
</cp:coreProperties>
</file>