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shd w:fill="FFFFFF" w:val="clear"/>
        </w:rPr>
        <w:t xml:space="preserve">August 3,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BRADY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1-14959 </w:t>
      </w:r>
    </w:p>
    <w:tbl>
      <w:tblPr>
        <w:tblW w:w="7150" w:type="dxa"/>
        <w:jc w:val="center"/>
        <w:tblInd w:w="0" w:type="dxa"/>
        <w:tblLayout w:type="fixed"/>
        <w:tblCellMar>
          <w:top w:w="28" w:type="dxa"/>
          <w:left w:w="28" w:type="dxa"/>
          <w:bottom w:w="28" w:type="dxa"/>
          <w:right w:w="28" w:type="dxa"/>
        </w:tblCellMar>
      </w:tblPr>
      <w:tblGrid>
        <w:gridCol w:w="1553"/>
        <w:gridCol w:w="1360"/>
        <w:gridCol w:w="1376"/>
        <w:gridCol w:w="109"/>
        <w:gridCol w:w="109"/>
        <w:gridCol w:w="109"/>
        <w:gridCol w:w="740"/>
        <w:gridCol w:w="740"/>
        <w:gridCol w:w="1054"/>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39-0178960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6555 West Good Hope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Milwaukee, Wisconsin 53223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(414) 358-6600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03"/>
        <w:gridCol w:w="1577"/>
        <w:gridCol w:w="1593"/>
        <w:gridCol w:w="492"/>
        <w:gridCol w:w="492"/>
        <w:gridCol w:w="494"/>
        <w:gridCol w:w="1095"/>
        <w:gridCol w:w="1095"/>
        <w:gridCol w:w="1564"/>
      </w:tblGrid>
      <w:tr>
        <w:trPr/>
        <w:tc>
          <w:tcPr>
            <w:tcW w:w="180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75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Nonvoting Common Stock, par value $0.01 per share</w:t>
            </w:r>
          </w:p>
        </w:tc>
        <w:tc>
          <w:tcPr>
            <w:tcW w:w="14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BRC</w:t>
            </w:r>
          </w:p>
        </w:tc>
        <w:tc>
          <w:tcPr>
            <w:tcW w:w="375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2026, Brady Corporation (the “Company”) and its wholly owned subsidiary, Brady Worldwide, Inc. (the “Purchaser”), entered into an Equity Purchase Agreement (the “Purchase Agreement”) with Honeywell International Inc. (the “Seller”). Pursuant to the Purchase Agreement, on the terms and subject to the conditions therein, the Purchaser agreed to acquire the Seller’s Productivity Solutions and Services business (the “Business”), a global manufacturer and provider of integrated mobile computing, scanning, printing, and software solutions, for a base purchase price of $1.4 billion in cash, subject to customary post-closing adjustments (the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44" w:type="dxa"/>
        <w:jc w:val="left"/>
        <w:tblInd w:w="0" w:type="dxa"/>
        <w:tblLayout w:type="fixed"/>
        <w:tblCellMar>
          <w:top w:w="28" w:type="dxa"/>
          <w:left w:w="28" w:type="dxa"/>
          <w:bottom w:w="28" w:type="dxa"/>
          <w:right w:w="28" w:type="dxa"/>
        </w:tblCellMar>
      </w:tblPr>
      <w:tblGrid>
        <w:gridCol w:w="320"/>
        <w:gridCol w:w="281"/>
        <w:gridCol w:w="283"/>
        <w:gridCol w:w="1421"/>
        <w:gridCol w:w="1421"/>
        <w:gridCol w:w="201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1.01</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ENTRY INTO A MATERIAL DEFINITIVE AGREEMENT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related to the Note Purchase Agreement set forth under Item 2.03 of this Report is hereby incorporated herein by reference.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59" w:type="dxa"/>
        <w:jc w:val="left"/>
        <w:tblInd w:w="0" w:type="dxa"/>
        <w:tblLayout w:type="fixed"/>
        <w:tblCellMar>
          <w:top w:w="28" w:type="dxa"/>
          <w:left w:w="28" w:type="dxa"/>
          <w:bottom w:w="28" w:type="dxa"/>
          <w:right w:w="28" w:type="dxa"/>
        </w:tblCellMar>
      </w:tblPr>
      <w:tblGrid>
        <w:gridCol w:w="320"/>
        <w:gridCol w:w="281"/>
        <w:gridCol w:w="283"/>
        <w:gridCol w:w="1604"/>
        <w:gridCol w:w="1604"/>
        <w:gridCol w:w="22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 OF ACQUISITION OR DISPOSITION OF ASSETS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Purchaser and the Seller closed the previously announced Transaction (the “Closing”) pursuant to the terms of the Purchase Agreement. The Company funded the Transaction and related fees and expenses with cash on hand and borrowings under the Credit Facilities (as defined herein).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Purchase Agreement, in connection with the Closing, the Seller and the Purchaser entered into a transition services agreement, whereby the Seller agreed to provide the Purchaser with certain services for a limited period of time following the Closing to facilitate the separation of the Business from the Seller. Under the transition services agreement, the Purchaser also agreed to provide certain services to the Seller for a limited period of time following the Closing related to the occupancy of certain real estate properties, manufacturing support and certain website maintenance. In connection with the Closing, the Seller and the Purchaser also entered into an intellectual property license agreement, which governs the post-closing usage rights and licenses between the parties for certain technology and intellectual property used in connection with the operation of the Business.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Purchase Agreement does not purport to be complete and is qualified in its entirety by reference to the full text of the Purchase Agreement, a copy of which was filed as Exhibit 2.1 to the Company’s Current Report on Form 8-K filed with the U.S. Securities and Exchange Commission (the “SEC”) on April 21, 2026 and is incorporated herein by reference.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6"/>
        <w:gridCol w:w="243"/>
        <w:gridCol w:w="244"/>
        <w:gridCol w:w="2763"/>
        <w:gridCol w:w="2763"/>
        <w:gridCol w:w="3916"/>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2.03</w:t>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CREATION OF A DIRECT FINANCIAL OBLIGATION OR AN OBLIGATION UNDER AN OFF-BALANCE SHEET ARRANGEMENT OF A REGISTRANT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Transaction, the Company incurred indebtedness consisting of (i) approximately $800 million aggregate principal amount borrowed under its existing $1.0 billion Credit Agreement (the “Credit Agreement”), dated as of June 12, 2026; and (ii) approximately $800 million aggregate principal amount borrowed under the Note Purchase Agreement (as described herein) (the “Note Purchase Agreement” and, together with the Credit Agreement, the “Credit Facilities”). The proceeds of the borrowings under the Credit Facilities, together with cash on hand, were used to fund the Transaction and related fees and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Note Purchase Agreement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completed a private placement of $250 million of 5.43% Senior Notes, Series A, due August 3, 2031 (the “Series A Notes”), $300 million of 5.65% Senior Notes, Series B, due August 3, 2033 (the “Series B Notes”), and $250 million of 5.90% Senior Notes, Series C, due August 3, 2036 (the “Series C Notes” and, together with the Series A Notes and the Series B Notes, the “Senior Notes”), in each case pursuant to a Note Purchase Agreement with the purchasers party thereto. The Senior Notes are senior unsecured obligations of the Company and are guaranteed by certain of the Company’s wholly-owned domestic subsidiaries. A portion of the proceeds of the Senior Notes were used to finance the Transaction and related fees and expenses, with the remainder of such proceeds to be used for general corporate purposes. The Senior Notes were offered and sold to the purchasers in reliance on an exemption from the registration requirements of the Securities Act of 1933, as amended (the “Securities Act”). The Senior Notes will not be registered for resale and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resold absent such registration or pursuant to an applicable exemption from the registration requirements of the Securities Act and applicable state securities laws.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Note Purchase Agreement contains various customary covenants, including a maximum consolidated net leverage ratio of 3.50 to 1.00, which will temporarily be increased to up to 4.00 to 1.00 for the four computation periods ending after the Closing, and a minimum consolidated interest coverage ratio of 3.00 to 1.00.</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Note Purchase Agreement does not purport to be complete and is qualified in its entirety by reference to the full text of the Note Purchase Agreement, a copy of which is filed as Exhibit 10.1 to this Report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79" w:type="dxa"/>
        <w:jc w:val="left"/>
        <w:tblInd w:w="0" w:type="dxa"/>
        <w:tblLayout w:type="fixed"/>
        <w:tblCellMar>
          <w:top w:w="28" w:type="dxa"/>
          <w:left w:w="28" w:type="dxa"/>
          <w:bottom w:w="28" w:type="dxa"/>
          <w:right w:w="28" w:type="dxa"/>
        </w:tblCellMar>
      </w:tblPr>
      <w:tblGrid>
        <w:gridCol w:w="320"/>
        <w:gridCol w:w="281"/>
        <w:gridCol w:w="283"/>
        <w:gridCol w:w="847"/>
        <w:gridCol w:w="847"/>
        <w:gridCol w:w="120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7.01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a press release on August 3, 2026 announcing the closing of the Transaction, which is attached hereto as Exhibit 99.1 to this Report and is incorporated by reference herein.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is being furnished and shall not be deemed “filed” for purposes of Section 18 of the Securities Exchange Act of 1934, as amended (the “Exchange Act”), or incorporated by reference in any filing under the Securities Act, or the Exchange Act, except as shall be expressly set forth by specific reference in such a filing.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this Report, statements that are not reported financial results or other historic information are “forward-looking statements.” These forward-looking statements relate to, among other things, statements about the success of the acquisition, including anticipated benefits and synergies of the transaction, future opportunities for the combined company, and any other statements regarding the Company’s business, the Business, the establishment of a new reporting segment for the Business, and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ability of the Company and the Business to retain customers and retain and hire key personnel and maintain relationships with their suppliers and customers and on their operating results and businesses generally; potential difficulties integrating the Business, or the costs of integrating the Business exceeding original estimates; failure of the Company to achieve the anticipated benefits and synergies of the transaction identified in this Report on the timeline indicated or at all; the establishment of a new reporting segment for the Business;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our indebtedness, financial condition and fulfillment of obligations thereunder; the ability to service our indebtedness;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SEC filings, including, but not limited to, those factors listed in the “Risk Factors” section within Item 1A of Part I of the Company’s Form 10-K for the year ended July 31, 2025 and the risk factor listed in the “Risk Factors” section within Item 1A of the Company’s Form 10-Q for the quarterly period ended April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the Company’s actual future results to be materially different than those expressed in its forward-looking statements. The Company does not undertake to update its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24" w:type="dxa"/>
        <w:jc w:val="left"/>
        <w:tblInd w:w="0" w:type="dxa"/>
        <w:tblLayout w:type="fixed"/>
        <w:tblCellMar>
          <w:top w:w="28" w:type="dxa"/>
          <w:left w:w="28" w:type="dxa"/>
          <w:bottom w:w="28" w:type="dxa"/>
          <w:right w:w="28" w:type="dxa"/>
        </w:tblCellMar>
      </w:tblPr>
      <w:tblGrid>
        <w:gridCol w:w="320"/>
        <w:gridCol w:w="281"/>
        <w:gridCol w:w="283"/>
        <w:gridCol w:w="1124"/>
        <w:gridCol w:w="1124"/>
        <w:gridCol w:w="159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EXHIBITS</w:t>
            </w:r>
          </w:p>
        </w:tc>
      </w:tr>
    </w:tbl>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required financial information of the Business will be included in an exhibit that will be filed in an amendment to this Report within the period specified in Item 9.01 of Form 8-K.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required pro forma financial information will be included in an exhibit that will be filed in an amendment to this Report within the period specified in Item 9.01 of Form 8-K.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3"/>
        <w:gridCol w:w="398"/>
        <w:gridCol w:w="399"/>
        <w:gridCol w:w="2622"/>
        <w:gridCol w:w="2622"/>
        <w:gridCol w:w="3711"/>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8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Equity Purchase Agreement, dated as of April 20, 2026, by and among Brady Corporation, Brady Worldwide, Inc. and Honeywell International, Inc. (incorporated by reference to Exhibit 2.1 of the Company’s Current Report on Form 8-K filed with the SEC on April 21, 2026).</w:t>
              </w:r>
            </w:hyperlink>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9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notepurchaseagr.htm">
              <w:r>
                <w:rPr>
                  <w:rStyle w:val="InternetLink"/>
                  <w:rFonts w:ascii="Times New Roman;serif" w:hAnsi="Times New Roman;serif"/>
                  <w:b w:val="false"/>
                  <w:color w:val="0000FF"/>
                  <w:sz w:val="20"/>
                  <w:u w:val="single"/>
                </w:rPr>
                <w:t>Note Purchase Agreement, dated as of August 3, 2026, among Brady Corporation and the purchasers party thereto.</w:t>
              </w:r>
            </w:hyperlink>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955"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w:anchor="exhibit991-pressreleasex20.htm">
              <w:r>
                <w:rPr>
                  <w:rStyle w:val="InternetLink"/>
                  <w:rFonts w:ascii="Times New Roman;serif" w:hAnsi="Times New Roman;serif"/>
                  <w:b w:val="false"/>
                  <w:color w:val="000080"/>
                  <w:sz w:val="20"/>
                  <w:u w:val="single"/>
                </w:rPr>
                <w:t xml:space="preserve">Press release issued by Brady Corporation, dated as of August </w:t>
              </w:r>
            </w:hyperlink>
            <w:hyperlink w:anchor="exhibit991-pressreleasex20.htm">
              <w:r>
                <w:rPr>
                  <w:rStyle w:val="InternetLink"/>
                  <w:rFonts w:ascii="Times New Roman;serif" w:hAnsi="Times New Roman;serif"/>
                  <w:b w:val="false"/>
                  <w:color w:val="000080"/>
                  <w:sz w:val="20"/>
                  <w:u w:val="single"/>
                </w:rPr>
                <w:t>3</w:t>
              </w:r>
            </w:hyperlink>
            <w:hyperlink w:anchor="exhibit991-pressreleasex20.htm">
              <w:r>
                <w:rPr>
                  <w:rStyle w:val="InternetLink"/>
                  <w:rFonts w:ascii="Times New Roman;serif" w:hAnsi="Times New Roman;serif"/>
                  <w:b w:val="false"/>
                  <w:color w:val="000080"/>
                  <w:sz w:val="20"/>
                  <w:u w:val="single"/>
                </w:rPr>
                <w:t>, 2026</w:t>
              </w:r>
            </w:hyperlink>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*Schedules and exhibits to this document are not being filed herewith pursuant to Item 601(b)(2) of Regulation S-K. The Company agrees to furnish a copy of any such schedule or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46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550"/>
        <w:gridCol w:w="1550"/>
        <w:gridCol w:w="219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BRADY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10.1</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Brady Corporation</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$250,000,000 Senior Notes, Series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$300,000,000 Senior Notes, Series B</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$250,000,000 Senior Notes, Series C</w:t>
      </w:r>
    </w:p>
    <w:p>
      <w:pPr>
        <w:pStyle w:val="TextBody"/>
        <w:bidi w:val="0"/>
        <w:spacing w:before="280" w:after="283"/>
        <w:jc w:val="center"/>
        <w:rPr/>
      </w:pPr>
      <w:r>
        <w:rPr/>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Note Purchase Agreement</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Dated August 3, 2026</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rPr/>
      </w:pPr>
      <w:r>
        <w:rPr/>
      </w:r>
    </w:p>
    <w:tbl>
      <w:tblPr>
        <w:tblW w:w="9735" w:type="dxa"/>
        <w:jc w:val="left"/>
        <w:tblInd w:w="0" w:type="dxa"/>
        <w:tblLayout w:type="fixed"/>
        <w:tblCellMar>
          <w:top w:w="28" w:type="dxa"/>
          <w:left w:w="28" w:type="dxa"/>
          <w:bottom w:w="28" w:type="dxa"/>
          <w:right w:w="28" w:type="dxa"/>
        </w:tblCellMar>
      </w:tblPr>
      <w:tblGrid>
        <w:gridCol w:w="3375"/>
        <w:gridCol w:w="2966"/>
        <w:gridCol w:w="2974"/>
        <w:gridCol w:w="123"/>
        <w:gridCol w:w="123"/>
        <w:gridCol w:w="174"/>
      </w:tblGrid>
      <w:tr>
        <w:trPr/>
        <w:tc>
          <w:tcPr>
            <w:tcW w:w="3375"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d0dc5ec923224ff799c237106943f434">
              <w:r>
                <w:rPr>
                  <w:rStyle w:val="InternetLink"/>
                  <w:rFonts w:ascii="Times New Roman;serif" w:hAnsi="Times New Roman;serif"/>
                  <w:b w:val="false"/>
                  <w:strike w:val="false"/>
                  <w:dstrike w:val="false"/>
                  <w:color w:val="000000"/>
                  <w:sz w:val="24"/>
                  <w:u w:val="none"/>
                  <w:effect w:val="none"/>
                </w:rPr>
                <w:t>SECTION 1.    AUTHORIZATION OF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0dc5ec923224ff799c237106943f434">
              <w:r>
                <w:rPr>
                  <w:rStyle w:val="InternetLink"/>
                  <w:rFonts w:ascii="Times New Roman;serif" w:hAnsi="Times New Roman;serif"/>
                  <w:b w:val="false"/>
                  <w:strike w:val="false"/>
                  <w:dstrike w:val="false"/>
                  <w:color w:val="000000"/>
                  <w:sz w:val="24"/>
                  <w:u w:val="none"/>
                  <w:effect w:val="none"/>
                </w:rPr>
                <w:t>-1-</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e094193a06c4a6396ab6e742ac22144">
              <w:r>
                <w:rPr>
                  <w:rStyle w:val="InternetLink"/>
                  <w:rFonts w:ascii="Times New Roman;serif" w:hAnsi="Times New Roman;serif"/>
                  <w:b w:val="false"/>
                  <w:strike w:val="false"/>
                  <w:dstrike w:val="false"/>
                  <w:color w:val="000000"/>
                  <w:sz w:val="24"/>
                  <w:u w:val="none"/>
                  <w:effect w:val="none"/>
                </w:rPr>
                <w:t>Section 1.1.    Description of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e094193a06c4a6396ab6e742ac22144">
              <w:r>
                <w:rPr>
                  <w:rStyle w:val="InternetLink"/>
                  <w:rFonts w:ascii="Times New Roman;serif" w:hAnsi="Times New Roman;serif"/>
                  <w:b w:val="false"/>
                  <w:strike w:val="false"/>
                  <w:dstrike w:val="false"/>
                  <w:color w:val="000000"/>
                  <w:sz w:val="24"/>
                  <w:u w:val="none"/>
                  <w:effect w:val="none"/>
                </w:rPr>
                <w:t>-1-</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b1f8206906344ee996e348b03c34396">
              <w:r>
                <w:rPr>
                  <w:rStyle w:val="InternetLink"/>
                  <w:rFonts w:ascii="Times New Roman;serif" w:hAnsi="Times New Roman;serif"/>
                  <w:b w:val="false"/>
                  <w:strike w:val="false"/>
                  <w:dstrike w:val="false"/>
                  <w:color w:val="000000"/>
                  <w:sz w:val="24"/>
                  <w:u w:val="none"/>
                  <w:effect w:val="none"/>
                </w:rPr>
                <w:t>Section 1.2.    Applicable Interest Rates, Interest Payment Dates and Maturity Dates for the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b1f8206906344ee996e348b03c34396">
              <w:r>
                <w:rPr>
                  <w:rStyle w:val="InternetLink"/>
                  <w:rFonts w:ascii="Times New Roman;serif" w:hAnsi="Times New Roman;serif"/>
                  <w:b w:val="false"/>
                  <w:strike w:val="false"/>
                  <w:dstrike w:val="false"/>
                  <w:color w:val="000000"/>
                  <w:sz w:val="24"/>
                  <w:u w:val="none"/>
                  <w:effect w:val="none"/>
                </w:rPr>
                <w:t>-1-</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68ccbe4cd28a49d387429534ab8fd702">
              <w:r>
                <w:rPr>
                  <w:rStyle w:val="InternetLink"/>
                  <w:rFonts w:ascii="Times New Roman;serif" w:hAnsi="Times New Roman;serif"/>
                  <w:b w:val="false"/>
                  <w:strike w:val="false"/>
                  <w:dstrike w:val="false"/>
                  <w:color w:val="000000"/>
                  <w:sz w:val="24"/>
                  <w:u w:val="none"/>
                  <w:effect w:val="none"/>
                </w:rPr>
                <w:t>SECTION 2.    SALE AND PURCHASE OF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8ccbe4cd28a49d387429534ab8fd702">
              <w:r>
                <w:rPr>
                  <w:rStyle w:val="InternetLink"/>
                  <w:rFonts w:ascii="Times New Roman;serif" w:hAnsi="Times New Roman;serif"/>
                  <w:b w:val="false"/>
                  <w:strike w:val="false"/>
                  <w:dstrike w:val="false"/>
                  <w:color w:val="000000"/>
                  <w:sz w:val="24"/>
                  <w:u w:val="none"/>
                  <w:effect w:val="none"/>
                </w:rPr>
                <w:t>-2-</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9eb5756b206c41f49a2fdf422d58674f">
              <w:r>
                <w:rPr>
                  <w:rStyle w:val="InternetLink"/>
                  <w:rFonts w:ascii="Times New Roman;serif" w:hAnsi="Times New Roman;serif"/>
                  <w:b w:val="false"/>
                  <w:strike w:val="false"/>
                  <w:dstrike w:val="false"/>
                  <w:color w:val="000000"/>
                  <w:sz w:val="24"/>
                  <w:u w:val="none"/>
                  <w:effect w:val="none"/>
                </w:rPr>
                <w:t>Section 2.1.    Sale and Purchase of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eb5756b206c41f49a2fdf422d58674f">
              <w:r>
                <w:rPr>
                  <w:rStyle w:val="InternetLink"/>
                  <w:rFonts w:ascii="Times New Roman;serif" w:hAnsi="Times New Roman;serif"/>
                  <w:b w:val="false"/>
                  <w:strike w:val="false"/>
                  <w:dstrike w:val="false"/>
                  <w:color w:val="000000"/>
                  <w:sz w:val="24"/>
                  <w:u w:val="none"/>
                  <w:effect w:val="none"/>
                </w:rPr>
                <w:t>-2-</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c35da6dc5a9438ca1ebcc711ae16fc8">
              <w:r>
                <w:rPr>
                  <w:rStyle w:val="InternetLink"/>
                  <w:rFonts w:ascii="Times New Roman;serif" w:hAnsi="Times New Roman;serif"/>
                  <w:b w:val="false"/>
                  <w:strike w:val="false"/>
                  <w:dstrike w:val="false"/>
                  <w:color w:val="000000"/>
                  <w:sz w:val="24"/>
                  <w:u w:val="none"/>
                  <w:effect w:val="none"/>
                </w:rPr>
                <w:t>Section 2.2.    Subsidiary Guaranty</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c35da6dc5a9438ca1ebcc711ae16fc8">
              <w:r>
                <w:rPr>
                  <w:rStyle w:val="InternetLink"/>
                  <w:rFonts w:ascii="Times New Roman;serif" w:hAnsi="Times New Roman;serif"/>
                  <w:b w:val="false"/>
                  <w:strike w:val="false"/>
                  <w:dstrike w:val="false"/>
                  <w:color w:val="000000"/>
                  <w:sz w:val="24"/>
                  <w:u w:val="none"/>
                  <w:effect w:val="none"/>
                </w:rPr>
                <w:t>-2-</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305f8e9fcff64b7dba4445c26b8170aa">
              <w:r>
                <w:rPr>
                  <w:rStyle w:val="InternetLink"/>
                  <w:rFonts w:ascii="Times New Roman;serif" w:hAnsi="Times New Roman;serif"/>
                  <w:b w:val="false"/>
                  <w:strike w:val="false"/>
                  <w:dstrike w:val="false"/>
                  <w:color w:val="000000"/>
                  <w:sz w:val="24"/>
                  <w:u w:val="none"/>
                  <w:effect w:val="none"/>
                </w:rPr>
                <w:t>SECTION 3.    EXECUTION DATE; CLOSING.</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05f8e9fcff64b7dba4445c26b8170aa">
              <w:r>
                <w:rPr>
                  <w:rStyle w:val="InternetLink"/>
                  <w:rFonts w:ascii="Times New Roman;serif" w:hAnsi="Times New Roman;serif"/>
                  <w:b w:val="false"/>
                  <w:strike w:val="false"/>
                  <w:dstrike w:val="false"/>
                  <w:color w:val="000000"/>
                  <w:sz w:val="24"/>
                  <w:u w:val="none"/>
                  <w:effect w:val="none"/>
                </w:rPr>
                <w:t>-2-</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99f80ac19ddd4468ba1d24b431b9cef3">
              <w:r>
                <w:rPr>
                  <w:rStyle w:val="InternetLink"/>
                  <w:rFonts w:ascii="Times New Roman;serif" w:hAnsi="Times New Roman;serif"/>
                  <w:b w:val="false"/>
                  <w:strike w:val="false"/>
                  <w:dstrike w:val="false"/>
                  <w:color w:val="000000"/>
                  <w:sz w:val="24"/>
                  <w:u w:val="none"/>
                  <w:effect w:val="none"/>
                </w:rPr>
                <w:t>SECTION 4.    CONDITIONS TO CLOSING.</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9f80ac19ddd4468ba1d24b431b9cef3">
              <w:r>
                <w:rPr>
                  <w:rStyle w:val="InternetLink"/>
                  <w:rFonts w:ascii="Times New Roman;serif" w:hAnsi="Times New Roman;serif"/>
                  <w:b w:val="false"/>
                  <w:strike w:val="false"/>
                  <w:dstrike w:val="false"/>
                  <w:color w:val="000000"/>
                  <w:sz w:val="24"/>
                  <w:u w:val="none"/>
                  <w:effect w:val="none"/>
                </w:rPr>
                <w:t>-3-</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f11ed39f3c44df7bd6d15e67f41e124">
              <w:r>
                <w:rPr>
                  <w:rStyle w:val="InternetLink"/>
                  <w:rFonts w:ascii="Times New Roman;serif" w:hAnsi="Times New Roman;serif"/>
                  <w:b w:val="false"/>
                  <w:strike w:val="false"/>
                  <w:dstrike w:val="false"/>
                  <w:color w:val="000000"/>
                  <w:sz w:val="24"/>
                  <w:u w:val="none"/>
                  <w:effect w:val="none"/>
                </w:rPr>
                <w:t>Section 4.1.    Representations and Warranties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f11ed39f3c44df7bd6d15e67f41e124">
              <w:r>
                <w:rPr>
                  <w:rStyle w:val="InternetLink"/>
                  <w:rFonts w:ascii="Times New Roman;serif" w:hAnsi="Times New Roman;serif"/>
                  <w:b w:val="false"/>
                  <w:strike w:val="false"/>
                  <w:dstrike w:val="false"/>
                  <w:color w:val="000000"/>
                  <w:sz w:val="24"/>
                  <w:u w:val="none"/>
                  <w:effect w:val="none"/>
                </w:rPr>
                <w:t>-3-</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6175f3f3792468c94feef5da229f07d">
              <w:r>
                <w:rPr>
                  <w:rStyle w:val="InternetLink"/>
                  <w:rFonts w:ascii="Times New Roman;serif" w:hAnsi="Times New Roman;serif"/>
                  <w:b w:val="false"/>
                  <w:strike w:val="false"/>
                  <w:dstrike w:val="false"/>
                  <w:color w:val="000000"/>
                  <w:sz w:val="24"/>
                  <w:u w:val="none"/>
                  <w:effect w:val="none"/>
                </w:rPr>
                <w:t>Section 4.2.    Performance; No Default</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6175f3f3792468c94feef5da229f07d">
              <w:r>
                <w:rPr>
                  <w:rStyle w:val="InternetLink"/>
                  <w:rFonts w:ascii="Times New Roman;serif" w:hAnsi="Times New Roman;serif"/>
                  <w:b w:val="false"/>
                  <w:strike w:val="false"/>
                  <w:dstrike w:val="false"/>
                  <w:color w:val="000000"/>
                  <w:sz w:val="24"/>
                  <w:u w:val="none"/>
                  <w:effect w:val="none"/>
                </w:rPr>
                <w:t>-3-</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0a3c59288e648fe882c83babfd61fe7">
              <w:r>
                <w:rPr>
                  <w:rStyle w:val="InternetLink"/>
                  <w:rFonts w:ascii="Times New Roman;serif" w:hAnsi="Times New Roman;serif"/>
                  <w:b w:val="false"/>
                  <w:strike w:val="false"/>
                  <w:dstrike w:val="false"/>
                  <w:color w:val="000000"/>
                  <w:sz w:val="24"/>
                  <w:u w:val="none"/>
                  <w:effect w:val="none"/>
                </w:rPr>
                <w:t>Section 4.3.    Compliance Certificates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0a3c59288e648fe882c83babfd61fe7">
              <w:r>
                <w:rPr>
                  <w:rStyle w:val="InternetLink"/>
                  <w:rFonts w:ascii="Times New Roman;serif" w:hAnsi="Times New Roman;serif"/>
                  <w:b w:val="false"/>
                  <w:strike w:val="false"/>
                  <w:dstrike w:val="false"/>
                  <w:color w:val="000000"/>
                  <w:sz w:val="24"/>
                  <w:u w:val="none"/>
                  <w:effect w:val="none"/>
                </w:rPr>
                <w:t>-4-</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0dcedf4200b4e0f96a92fa51b07270c">
              <w:r>
                <w:rPr>
                  <w:rStyle w:val="InternetLink"/>
                  <w:rFonts w:ascii="Times New Roman;serif" w:hAnsi="Times New Roman;serif"/>
                  <w:b w:val="false"/>
                  <w:strike w:val="false"/>
                  <w:dstrike w:val="false"/>
                  <w:color w:val="000000"/>
                  <w:sz w:val="24"/>
                  <w:u w:val="none"/>
                  <w:effect w:val="none"/>
                </w:rPr>
                <w:t>Section 4.4.    Opinions of Counsel</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0dcedf4200b4e0f96a92fa51b07270c">
              <w:r>
                <w:rPr>
                  <w:rStyle w:val="InternetLink"/>
                  <w:rFonts w:ascii="Times New Roman;serif" w:hAnsi="Times New Roman;serif"/>
                  <w:b w:val="false"/>
                  <w:strike w:val="false"/>
                  <w:dstrike w:val="false"/>
                  <w:color w:val="000000"/>
                  <w:sz w:val="24"/>
                  <w:u w:val="none"/>
                  <w:effect w:val="none"/>
                </w:rPr>
                <w:t>-4-</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50ac6ac2b7a4f64b9c4beb49d4e7037">
              <w:r>
                <w:rPr>
                  <w:rStyle w:val="InternetLink"/>
                  <w:rFonts w:ascii="Times New Roman;serif" w:hAnsi="Times New Roman;serif"/>
                  <w:b w:val="false"/>
                  <w:strike w:val="false"/>
                  <w:dstrike w:val="false"/>
                  <w:color w:val="000000"/>
                  <w:sz w:val="24"/>
                  <w:u w:val="none"/>
                  <w:effect w:val="none"/>
                </w:rPr>
                <w:t>Section 4.5.    Purchase Permitted by Applicable Law, Etc</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50ac6ac2b7a4f64b9c4beb49d4e7037">
              <w:r>
                <w:rPr>
                  <w:rStyle w:val="InternetLink"/>
                  <w:rFonts w:ascii="Times New Roman;serif" w:hAnsi="Times New Roman;serif"/>
                  <w:b w:val="false"/>
                  <w:strike w:val="false"/>
                  <w:dstrike w:val="false"/>
                  <w:color w:val="000000"/>
                  <w:sz w:val="24"/>
                  <w:u w:val="none"/>
                  <w:effect w:val="none"/>
                </w:rPr>
                <w:t>-4-</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69badb8a8b7c4b79921022bf22b74fc0">
              <w:r>
                <w:rPr>
                  <w:rStyle w:val="InternetLink"/>
                  <w:rFonts w:ascii="Times New Roman;serif" w:hAnsi="Times New Roman;serif"/>
                  <w:b w:val="false"/>
                  <w:strike w:val="false"/>
                  <w:dstrike w:val="false"/>
                  <w:color w:val="000000"/>
                  <w:sz w:val="24"/>
                  <w:u w:val="none"/>
                  <w:effect w:val="none"/>
                </w:rPr>
                <w:t>Section 4.6.    Sale of Other Notes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9badb8a8b7c4b79921022bf22b74fc0">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ce77ebe2342444b9ee12c4814258ca0">
              <w:r>
                <w:rPr>
                  <w:rStyle w:val="InternetLink"/>
                  <w:rFonts w:ascii="Times New Roman;serif" w:hAnsi="Times New Roman;serif"/>
                  <w:b w:val="false"/>
                  <w:strike w:val="false"/>
                  <w:dstrike w:val="false"/>
                  <w:color w:val="000000"/>
                  <w:sz w:val="24"/>
                  <w:u w:val="none"/>
                  <w:effect w:val="none"/>
                </w:rPr>
                <w:t>Section 4.7.    Payment of Special Counsel Fees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ce77ebe2342444b9ee12c4814258ca0">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65aea866f4c4098a846d26e62995f36">
              <w:r>
                <w:rPr>
                  <w:rStyle w:val="InternetLink"/>
                  <w:rFonts w:ascii="Times New Roman;serif" w:hAnsi="Times New Roman;serif"/>
                  <w:b w:val="false"/>
                  <w:strike w:val="false"/>
                  <w:dstrike w:val="false"/>
                  <w:color w:val="000000"/>
                  <w:sz w:val="24"/>
                  <w:u w:val="none"/>
                  <w:effect w:val="none"/>
                </w:rPr>
                <w:t>Section 4.8.    Private Placement Number</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65aea866f4c4098a846d26e62995f36">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1da44d2ed56c4eb3a0df97ad49625588">
              <w:r>
                <w:rPr>
                  <w:rStyle w:val="InternetLink"/>
                  <w:rFonts w:ascii="Times New Roman;serif" w:hAnsi="Times New Roman;serif"/>
                  <w:b w:val="false"/>
                  <w:strike w:val="false"/>
                  <w:dstrike w:val="false"/>
                  <w:color w:val="000000"/>
                  <w:sz w:val="24"/>
                  <w:u w:val="none"/>
                  <w:effect w:val="none"/>
                </w:rPr>
                <w:t>Section 4.9.    Changes in Corporate Structure</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da44d2ed56c4eb3a0df97ad49625588">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c302c22bbda4a649bd6bc752215864e">
              <w:r>
                <w:rPr>
                  <w:rStyle w:val="InternetLink"/>
                  <w:rFonts w:ascii="Times New Roman;serif" w:hAnsi="Times New Roman;serif"/>
                  <w:b w:val="false"/>
                  <w:strike w:val="false"/>
                  <w:dstrike w:val="false"/>
                  <w:color w:val="000000"/>
                  <w:sz w:val="24"/>
                  <w:u w:val="none"/>
                  <w:effect w:val="none"/>
                </w:rPr>
                <w:t>Section 4.10.    Funding Instructions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c302c22bbda4a649bd6bc752215864e">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f84ef8f45d844ada10506432e95db4b">
              <w:r>
                <w:rPr>
                  <w:rStyle w:val="InternetLink"/>
                  <w:rFonts w:ascii="Times New Roman;serif" w:hAnsi="Times New Roman;serif"/>
                  <w:b w:val="false"/>
                  <w:strike w:val="false"/>
                  <w:dstrike w:val="false"/>
                  <w:color w:val="000000"/>
                  <w:sz w:val="24"/>
                  <w:u w:val="none"/>
                  <w:effect w:val="none"/>
                </w:rPr>
                <w:t>Section 4.11.    Offeree Letter</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f84ef8f45d844ada10506432e95db4b">
              <w:r>
                <w:rPr>
                  <w:rStyle w:val="InternetLink"/>
                  <w:rFonts w:ascii="Times New Roman;serif" w:hAnsi="Times New Roman;serif"/>
                  <w:b w:val="false"/>
                  <w:strike w:val="false"/>
                  <w:dstrike w:val="false"/>
                  <w:color w:val="000000"/>
                  <w:sz w:val="24"/>
                  <w:u w:val="none"/>
                  <w:effect w:val="none"/>
                </w:rPr>
                <w:t>-5-</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6976e8e8990b4d228580896e0355d36f">
              <w:r>
                <w:rPr>
                  <w:rStyle w:val="InternetLink"/>
                  <w:rFonts w:ascii="Times New Roman;serif" w:hAnsi="Times New Roman;serif"/>
                  <w:b w:val="false"/>
                  <w:strike w:val="false"/>
                  <w:dstrike w:val="false"/>
                  <w:color w:val="000000"/>
                  <w:sz w:val="24"/>
                  <w:u w:val="none"/>
                  <w:effect w:val="none"/>
                </w:rPr>
                <w:t>Section 4.12.    Debt Rating</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976e8e8990b4d228580896e0355d36f">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8e02c3410de14e9db5d7926797256323">
              <w:r>
                <w:rPr>
                  <w:rStyle w:val="InternetLink"/>
                  <w:rFonts w:ascii="Times New Roman;serif" w:hAnsi="Times New Roman;serif"/>
                  <w:b w:val="false"/>
                  <w:strike w:val="false"/>
                  <w:dstrike w:val="false"/>
                  <w:color w:val="000000"/>
                  <w:sz w:val="24"/>
                  <w:u w:val="none"/>
                  <w:effect w:val="none"/>
                </w:rPr>
                <w:t>Section 4.13.    Subsidiary Guaranty</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8e02c3410de14e9db5d7926797256323">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6dd9bfba5433492fa02fa82a5119d40b">
              <w:r>
                <w:rPr>
                  <w:rStyle w:val="InternetLink"/>
                  <w:rFonts w:ascii="Times New Roman;serif" w:hAnsi="Times New Roman;serif"/>
                  <w:b w:val="false"/>
                  <w:strike w:val="false"/>
                  <w:dstrike w:val="false"/>
                  <w:color w:val="000000"/>
                  <w:sz w:val="24"/>
                  <w:u w:val="none"/>
                  <w:effect w:val="none"/>
                </w:rPr>
                <w:t>Section 4.14.    Notice of Closing Date</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dd9bfba5433492fa02fa82a5119d40b">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b5fa568293e487a8e7f81f656f642eb">
              <w:r>
                <w:rPr>
                  <w:rStyle w:val="InternetLink"/>
                  <w:rFonts w:ascii="Times New Roman;serif" w:hAnsi="Times New Roman;serif"/>
                  <w:b w:val="false"/>
                  <w:strike w:val="false"/>
                  <w:dstrike w:val="false"/>
                  <w:color w:val="000000"/>
                  <w:sz w:val="24"/>
                  <w:u w:val="none"/>
                  <w:effect w:val="none"/>
                </w:rPr>
                <w:t>Section 4.15.    Proceedings and Documents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b5fa568293e487a8e7f81f656f642eb">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a0216271962140eaa35191e2c45ab876">
              <w:r>
                <w:rPr>
                  <w:rStyle w:val="InternetLink"/>
                  <w:rFonts w:ascii="Times New Roman;serif" w:hAnsi="Times New Roman;serif"/>
                  <w:b w:val="false"/>
                  <w:strike w:val="false"/>
                  <w:dstrike w:val="false"/>
                  <w:color w:val="000000"/>
                  <w:sz w:val="24"/>
                  <w:u w:val="none"/>
                  <w:effect w:val="none"/>
                </w:rPr>
                <w:t>SECTION 5.    REPRESENTATIONS AND WARRANTIES OF THE COMPANY.</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0216271962140eaa35191e2c45ab876">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13f6cfa0b483478484d609c65f9fb6e1">
              <w:r>
                <w:rPr>
                  <w:rStyle w:val="InternetLink"/>
                  <w:rFonts w:ascii="Times New Roman;serif" w:hAnsi="Times New Roman;serif"/>
                  <w:b w:val="false"/>
                  <w:strike w:val="false"/>
                  <w:dstrike w:val="false"/>
                  <w:color w:val="000000"/>
                  <w:sz w:val="24"/>
                  <w:u w:val="none"/>
                  <w:effect w:val="none"/>
                </w:rPr>
                <w:t>Section 5.1.    Organization; Power and Authority</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3f6cfa0b483478484d609c65f9fb6e1">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9dced47ec24040e5a202fe5c700fb3ee">
              <w:r>
                <w:rPr>
                  <w:rStyle w:val="InternetLink"/>
                  <w:rFonts w:ascii="Times New Roman;serif" w:hAnsi="Times New Roman;serif"/>
                  <w:b w:val="false"/>
                  <w:strike w:val="false"/>
                  <w:dstrike w:val="false"/>
                  <w:color w:val="000000"/>
                  <w:sz w:val="24"/>
                  <w:u w:val="none"/>
                  <w:effect w:val="none"/>
                </w:rPr>
                <w:t>Section 5.2.    Authorization, Etc</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dced47ec24040e5a202fe5c700fb3ee">
              <w:r>
                <w:rPr>
                  <w:rStyle w:val="InternetLink"/>
                  <w:rFonts w:ascii="Times New Roman;serif" w:hAnsi="Times New Roman;serif"/>
                  <w:b w:val="false"/>
                  <w:strike w:val="false"/>
                  <w:dstrike w:val="false"/>
                  <w:color w:val="000000"/>
                  <w:sz w:val="24"/>
                  <w:u w:val="none"/>
                  <w:effect w:val="none"/>
                </w:rPr>
                <w:t>-6-</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5a290832d544cd8a5f57a6b58e09965">
              <w:r>
                <w:rPr>
                  <w:rStyle w:val="InternetLink"/>
                  <w:rFonts w:ascii="Times New Roman;serif" w:hAnsi="Times New Roman;serif"/>
                  <w:b w:val="false"/>
                  <w:strike w:val="false"/>
                  <w:dstrike w:val="false"/>
                  <w:color w:val="000000"/>
                  <w:sz w:val="24"/>
                  <w:u w:val="none"/>
                  <w:effect w:val="none"/>
                </w:rPr>
                <w:t>Section 5.3.    Disclosure</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5a290832d544cd8a5f57a6b58e09965">
              <w:r>
                <w:rPr>
                  <w:rStyle w:val="InternetLink"/>
                  <w:rFonts w:ascii="Times New Roman;serif" w:hAnsi="Times New Roman;serif"/>
                  <w:b w:val="false"/>
                  <w:strike w:val="false"/>
                  <w:dstrike w:val="false"/>
                  <w:color w:val="000000"/>
                  <w:sz w:val="24"/>
                  <w:u w:val="none"/>
                  <w:effect w:val="none"/>
                </w:rPr>
                <w:t>-7-</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c37dcd6f0f941f589d797965eb6e4cf">
              <w:r>
                <w:rPr>
                  <w:rStyle w:val="InternetLink"/>
                  <w:rFonts w:ascii="Times New Roman;serif" w:hAnsi="Times New Roman;serif"/>
                  <w:b w:val="false"/>
                  <w:strike w:val="false"/>
                  <w:dstrike w:val="false"/>
                  <w:color w:val="000000"/>
                  <w:sz w:val="24"/>
                  <w:u w:val="none"/>
                  <w:effect w:val="none"/>
                </w:rPr>
                <w:t>Section 5.4.    Organization and Ownership of Shares of Subsidiaries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c37dcd6f0f941f589d797965eb6e4cf">
              <w:r>
                <w:rPr>
                  <w:rStyle w:val="InternetLink"/>
                  <w:rFonts w:ascii="Times New Roman;serif" w:hAnsi="Times New Roman;serif"/>
                  <w:b w:val="false"/>
                  <w:strike w:val="false"/>
                  <w:dstrike w:val="false"/>
                  <w:color w:val="000000"/>
                  <w:sz w:val="24"/>
                  <w:u w:val="none"/>
                  <w:effect w:val="none"/>
                </w:rPr>
                <w:t>-7-</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4836cf1c4a9f4f24830a0a10b67cb48d">
              <w:r>
                <w:rPr>
                  <w:rStyle w:val="InternetLink"/>
                  <w:rFonts w:ascii="Times New Roman;serif" w:hAnsi="Times New Roman;serif"/>
                  <w:b w:val="false"/>
                  <w:strike w:val="false"/>
                  <w:dstrike w:val="false"/>
                  <w:color w:val="000000"/>
                  <w:sz w:val="24"/>
                  <w:u w:val="none"/>
                  <w:effect w:val="none"/>
                </w:rPr>
                <w:t>Section 5.5.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4836cf1c4a9f4f24830a0a10b67cb48d">
              <w:r>
                <w:rPr>
                  <w:rStyle w:val="InternetLink"/>
                  <w:rFonts w:ascii="Times New Roman;serif" w:hAnsi="Times New Roman;serif"/>
                  <w:b w:val="false"/>
                  <w:strike w:val="false"/>
                  <w:dstrike w:val="false"/>
                  <w:color w:val="000000"/>
                  <w:sz w:val="24"/>
                  <w:u w:val="none"/>
                  <w:effect w:val="none"/>
                </w:rPr>
                <w:t>-8-</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4539d394b21f432fab26d5186262e7b3">
              <w:r>
                <w:rPr>
                  <w:rStyle w:val="InternetLink"/>
                  <w:rFonts w:ascii="Times New Roman;serif" w:hAnsi="Times New Roman;serif"/>
                  <w:b w:val="false"/>
                  <w:strike w:val="false"/>
                  <w:dstrike w:val="false"/>
                  <w:color w:val="000000"/>
                  <w:sz w:val="24"/>
                  <w:u w:val="none"/>
                  <w:effect w:val="none"/>
                </w:rPr>
                <w:t>Section 5.6.    Compliance with Laws, Other Instruments, Etc</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4539d394b21f432fab26d5186262e7b3">
              <w:r>
                <w:rPr>
                  <w:rStyle w:val="InternetLink"/>
                  <w:rFonts w:ascii="Times New Roman;serif" w:hAnsi="Times New Roman;serif"/>
                  <w:b w:val="false"/>
                  <w:strike w:val="false"/>
                  <w:dstrike w:val="false"/>
                  <w:color w:val="000000"/>
                  <w:sz w:val="24"/>
                  <w:u w:val="none"/>
                  <w:effect w:val="none"/>
                </w:rPr>
                <w:t>-8-</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6b935391115493e897e6df0deed8f83">
              <w:r>
                <w:rPr>
                  <w:rStyle w:val="InternetLink"/>
                  <w:rFonts w:ascii="Times New Roman;serif" w:hAnsi="Times New Roman;serif"/>
                  <w:b w:val="false"/>
                  <w:strike w:val="false"/>
                  <w:dstrike w:val="false"/>
                  <w:color w:val="000000"/>
                  <w:sz w:val="24"/>
                  <w:u w:val="none"/>
                  <w:effect w:val="none"/>
                </w:rPr>
                <w:t>Section 5.7.    Governmental Authorizations, Etc</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6b935391115493e897e6df0deed8f83">
              <w:r>
                <w:rPr>
                  <w:rStyle w:val="InternetLink"/>
                  <w:rFonts w:ascii="Times New Roman;serif" w:hAnsi="Times New Roman;serif"/>
                  <w:b w:val="false"/>
                  <w:strike w:val="false"/>
                  <w:dstrike w:val="false"/>
                  <w:color w:val="000000"/>
                  <w:sz w:val="24"/>
                  <w:u w:val="none"/>
                  <w:effect w:val="none"/>
                </w:rPr>
                <w:t>-8-</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685b8d8064144f6b45d8aaf4ea7a255">
              <w:r>
                <w:rPr>
                  <w:rStyle w:val="InternetLink"/>
                  <w:rFonts w:ascii="Times New Roman;serif" w:hAnsi="Times New Roman;serif"/>
                  <w:b w:val="false"/>
                  <w:strike w:val="false"/>
                  <w:dstrike w:val="false"/>
                  <w:color w:val="000000"/>
                  <w:sz w:val="24"/>
                  <w:u w:val="none"/>
                  <w:effect w:val="none"/>
                </w:rPr>
                <w:t>Section 5.8.    Litigation; Observance of Agreements, Statutes and Orders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685b8d8064144f6b45d8aaf4ea7a255">
              <w:r>
                <w:rPr>
                  <w:rStyle w:val="InternetLink"/>
                  <w:rFonts w:ascii="Times New Roman;serif" w:hAnsi="Times New Roman;serif"/>
                  <w:b w:val="false"/>
                  <w:strike w:val="false"/>
                  <w:dstrike w:val="false"/>
                  <w:color w:val="000000"/>
                  <w:sz w:val="24"/>
                  <w:u w:val="none"/>
                  <w:effect w:val="none"/>
                </w:rPr>
                <w:t>-8-</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2d6a8787ec54522806ea2b12c78b7bc">
              <w:r>
                <w:rPr>
                  <w:rStyle w:val="InternetLink"/>
                  <w:rFonts w:ascii="Times New Roman;serif" w:hAnsi="Times New Roman;serif"/>
                  <w:b w:val="false"/>
                  <w:strike w:val="false"/>
                  <w:dstrike w:val="false"/>
                  <w:color w:val="000000"/>
                  <w:sz w:val="24"/>
                  <w:u w:val="none"/>
                  <w:effect w:val="none"/>
                </w:rPr>
                <w:t>Section 5.9.    Taxes</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2d6a8787ec54522806ea2b12c78b7bc">
              <w:r>
                <w:rPr>
                  <w:rStyle w:val="InternetLink"/>
                  <w:rFonts w:ascii="Times New Roman;serif" w:hAnsi="Times New Roman;serif"/>
                  <w:b w:val="false"/>
                  <w:strike w:val="false"/>
                  <w:dstrike w:val="false"/>
                  <w:color w:val="000000"/>
                  <w:sz w:val="24"/>
                  <w:u w:val="none"/>
                  <w:effect w:val="none"/>
                </w:rPr>
                <w:t>-9-</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814b4cd67474e7f83f639fa316f195e">
              <w:r>
                <w:rPr>
                  <w:rStyle w:val="InternetLink"/>
                  <w:rFonts w:ascii="Times New Roman;serif" w:hAnsi="Times New Roman;serif"/>
                  <w:b w:val="false"/>
                  <w:strike w:val="false"/>
                  <w:dstrike w:val="false"/>
                  <w:color w:val="000000"/>
                  <w:sz w:val="24"/>
                  <w:u w:val="none"/>
                  <w:effect w:val="none"/>
                </w:rPr>
                <w:t>Section 5.10.    Title to Property</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814b4cd67474e7f83f639fa316f195e">
              <w:r>
                <w:rPr>
                  <w:rStyle w:val="InternetLink"/>
                  <w:rFonts w:ascii="Times New Roman;serif" w:hAnsi="Times New Roman;serif"/>
                  <w:b w:val="false"/>
                  <w:strike w:val="false"/>
                  <w:dstrike w:val="false"/>
                  <w:color w:val="000000"/>
                  <w:sz w:val="24"/>
                  <w:u w:val="none"/>
                  <w:effect w:val="none"/>
                </w:rPr>
                <w:t>-9-</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42a0eb9cff04fd79f1ed10562e4bc10">
              <w:r>
                <w:rPr>
                  <w:rStyle w:val="InternetLink"/>
                  <w:rFonts w:ascii="Times New Roman;serif" w:hAnsi="Times New Roman;serif"/>
                  <w:b w:val="false"/>
                  <w:strike w:val="false"/>
                  <w:dstrike w:val="false"/>
                  <w:color w:val="000000"/>
                  <w:sz w:val="24"/>
                  <w:u w:val="none"/>
                  <w:effect w:val="none"/>
                </w:rPr>
                <w:t>Section 5.11.    Licenses, Permits, Etc</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42a0eb9cff04fd79f1ed10562e4bc10">
              <w:r>
                <w:rPr>
                  <w:rStyle w:val="InternetLink"/>
                  <w:rFonts w:ascii="Times New Roman;serif" w:hAnsi="Times New Roman;serif"/>
                  <w:b w:val="false"/>
                  <w:strike w:val="false"/>
                  <w:dstrike w:val="false"/>
                  <w:color w:val="000000"/>
                  <w:sz w:val="24"/>
                  <w:u w:val="none"/>
                  <w:effect w:val="none"/>
                </w:rPr>
                <w:t>-9-</w:t>
              </w:r>
            </w:hyperlink>
          </w:p>
        </w:tc>
      </w:tr>
      <w:tr>
        <w:trPr/>
        <w:tc>
          <w:tcPr>
            <w:tcW w:w="9315"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a308e8e96db4647970b7486d9fb89ce">
              <w:r>
                <w:rPr>
                  <w:rStyle w:val="InternetLink"/>
                  <w:rFonts w:ascii="Times New Roman;serif" w:hAnsi="Times New Roman;serif"/>
                  <w:b w:val="false"/>
                  <w:strike w:val="false"/>
                  <w:dstrike w:val="false"/>
                  <w:color w:val="000000"/>
                  <w:sz w:val="24"/>
                  <w:u w:val="none"/>
                  <w:effect w:val="none"/>
                </w:rPr>
                <w:t>Section 5.12.    Compliance with ERISA</w:t>
              </w:r>
            </w:hyperlink>
          </w:p>
        </w:tc>
        <w:tc>
          <w:tcPr>
            <w:tcW w:w="420"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a308e8e96db4647970b7486d9fb89ce">
              <w:r>
                <w:rPr>
                  <w:rStyle w:val="InternetLink"/>
                  <w:rFonts w:ascii="Times New Roman;serif" w:hAnsi="Times New Roman;serif"/>
                  <w:b w:val="false"/>
                  <w:strike w:val="false"/>
                  <w:dstrike w:val="false"/>
                  <w:color w:val="000000"/>
                  <w:sz w:val="24"/>
                  <w:u w:val="none"/>
                  <w:effect w:val="none"/>
                </w:rPr>
                <w:t>-9-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7483" w:type="dxa"/>
        <w:jc w:val="left"/>
        <w:tblInd w:w="0" w:type="dxa"/>
        <w:tblLayout w:type="fixed"/>
        <w:tblCellMar>
          <w:top w:w="28" w:type="dxa"/>
          <w:left w:w="28" w:type="dxa"/>
          <w:bottom w:w="28" w:type="dxa"/>
          <w:right w:w="28" w:type="dxa"/>
        </w:tblCellMar>
      </w:tblPr>
      <w:tblGrid>
        <w:gridCol w:w="2518"/>
        <w:gridCol w:w="2213"/>
        <w:gridCol w:w="2213"/>
        <w:gridCol w:w="157"/>
        <w:gridCol w:w="157"/>
        <w:gridCol w:w="225"/>
      </w:tblGrid>
      <w:tr>
        <w:trPr/>
        <w:tc>
          <w:tcPr>
            <w:tcW w:w="251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925a64aa1744d138c8947a44fcbe319">
              <w:r>
                <w:rPr>
                  <w:rStyle w:val="InternetLink"/>
                  <w:rFonts w:ascii="Times New Roman;serif" w:hAnsi="Times New Roman;serif"/>
                  <w:b w:val="false"/>
                  <w:strike w:val="false"/>
                  <w:dstrike w:val="false"/>
                  <w:color w:val="000000"/>
                  <w:sz w:val="24"/>
                  <w:u w:val="none"/>
                  <w:effect w:val="none"/>
                </w:rPr>
                <w:t>Section 5.13.    Private Offering by the Company</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925a64aa1744d138c8947a44fcbe319">
              <w:r>
                <w:rPr>
                  <w:rStyle w:val="InternetLink"/>
                  <w:rFonts w:ascii="Times New Roman;serif" w:hAnsi="Times New Roman;serif"/>
                  <w:b w:val="false"/>
                  <w:strike w:val="false"/>
                  <w:dstrike w:val="false"/>
                  <w:color w:val="000000"/>
                  <w:sz w:val="24"/>
                  <w:u w:val="none"/>
                  <w:effect w:val="none"/>
                </w:rPr>
                <w:t>-10-</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6d83da34262472e8bac5c80e51e7c9e">
              <w:r>
                <w:rPr>
                  <w:rStyle w:val="InternetLink"/>
                  <w:rFonts w:ascii="Times New Roman;serif" w:hAnsi="Times New Roman;serif"/>
                  <w:b w:val="false"/>
                  <w:strike w:val="false"/>
                  <w:dstrike w:val="false"/>
                  <w:color w:val="000000"/>
                  <w:sz w:val="24"/>
                  <w:u w:val="none"/>
                  <w:effect w:val="none"/>
                </w:rPr>
                <w:t>Section 5.14.    Use of Proceeds; Margin Regulations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6d83da34262472e8bac5c80e51e7c9e">
              <w:r>
                <w:rPr>
                  <w:rStyle w:val="InternetLink"/>
                  <w:rFonts w:ascii="Times New Roman;serif" w:hAnsi="Times New Roman;serif"/>
                  <w:b w:val="false"/>
                  <w:strike w:val="false"/>
                  <w:dstrike w:val="false"/>
                  <w:color w:val="000000"/>
                  <w:sz w:val="24"/>
                  <w:u w:val="none"/>
                  <w:effect w:val="none"/>
                </w:rPr>
                <w:t>-11-</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c41c8c3ef7e4794b420c42f86ccb8c4">
              <w:r>
                <w:rPr>
                  <w:rStyle w:val="InternetLink"/>
                  <w:rFonts w:ascii="Times New Roman;serif" w:hAnsi="Times New Roman;serif"/>
                  <w:b w:val="false"/>
                  <w:strike w:val="false"/>
                  <w:dstrike w:val="false"/>
                  <w:color w:val="000000"/>
                  <w:sz w:val="24"/>
                  <w:u w:val="none"/>
                  <w:effect w:val="none"/>
                </w:rPr>
                <w:t>Section 5.15.    Existing Indebtedness; Future Liens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c41c8c3ef7e4794b420c42f86ccb8c4">
              <w:r>
                <w:rPr>
                  <w:rStyle w:val="InternetLink"/>
                  <w:rFonts w:ascii="Times New Roman;serif" w:hAnsi="Times New Roman;serif"/>
                  <w:b w:val="false"/>
                  <w:strike w:val="false"/>
                  <w:dstrike w:val="false"/>
                  <w:color w:val="000000"/>
                  <w:sz w:val="24"/>
                  <w:u w:val="none"/>
                  <w:effect w:val="none"/>
                </w:rPr>
                <w:t>-11-</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96c9c4d34e34977aef676e292132ce5">
              <w:r>
                <w:rPr>
                  <w:rStyle w:val="InternetLink"/>
                  <w:rFonts w:ascii="Times New Roman;serif" w:hAnsi="Times New Roman;serif"/>
                  <w:b w:val="false"/>
                  <w:strike w:val="false"/>
                  <w:dstrike w:val="false"/>
                  <w:color w:val="000000"/>
                  <w:sz w:val="24"/>
                  <w:u w:val="none"/>
                  <w:effect w:val="none"/>
                </w:rPr>
                <w:t>Section 5.16.    Foreign Assets Control Regulations, Etc</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96c9c4d34e34977aef676e292132ce5">
              <w:r>
                <w:rPr>
                  <w:rStyle w:val="InternetLink"/>
                  <w:rFonts w:ascii="Times New Roman;serif" w:hAnsi="Times New Roman;serif"/>
                  <w:b w:val="false"/>
                  <w:strike w:val="false"/>
                  <w:dstrike w:val="false"/>
                  <w:color w:val="000000"/>
                  <w:sz w:val="24"/>
                  <w:u w:val="none"/>
                  <w:effect w:val="none"/>
                </w:rPr>
                <w:t>-12-</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120e0d3ebb804b8a80e712f068cb7b5e">
              <w:r>
                <w:rPr>
                  <w:rStyle w:val="InternetLink"/>
                  <w:rFonts w:ascii="Times New Roman;serif" w:hAnsi="Times New Roman;serif"/>
                  <w:b w:val="false"/>
                  <w:strike w:val="false"/>
                  <w:dstrike w:val="false"/>
                  <w:color w:val="000000"/>
                  <w:sz w:val="24"/>
                  <w:u w:val="none"/>
                  <w:effect w:val="none"/>
                </w:rPr>
                <w:t>Section 5.17.    Status under Certain Statutes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20e0d3ebb804b8a80e712f068cb7b5e">
              <w:r>
                <w:rPr>
                  <w:rStyle w:val="InternetLink"/>
                  <w:rFonts w:ascii="Times New Roman;serif" w:hAnsi="Times New Roman;serif"/>
                  <w:b w:val="false"/>
                  <w:strike w:val="false"/>
                  <w:dstrike w:val="false"/>
                  <w:color w:val="000000"/>
                  <w:sz w:val="24"/>
                  <w:u w:val="none"/>
                  <w:effect w:val="none"/>
                </w:rPr>
                <w:t>-12-</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8367b2a0dd94b768a7651b9d1459a91">
              <w:r>
                <w:rPr>
                  <w:rStyle w:val="InternetLink"/>
                  <w:rFonts w:ascii="Times New Roman;serif" w:hAnsi="Times New Roman;serif"/>
                  <w:b w:val="false"/>
                  <w:strike w:val="false"/>
                  <w:dstrike w:val="false"/>
                  <w:color w:val="000000"/>
                  <w:sz w:val="24"/>
                  <w:u w:val="none"/>
                  <w:effect w:val="none"/>
                </w:rPr>
                <w:t>Section 5.18.    Environmental Matters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8367b2a0dd94b768a7651b9d1459a91">
              <w:r>
                <w:rPr>
                  <w:rStyle w:val="InternetLink"/>
                  <w:rFonts w:ascii="Times New Roman;serif" w:hAnsi="Times New Roman;serif"/>
                  <w:b w:val="false"/>
                  <w:strike w:val="false"/>
                  <w:dstrike w:val="false"/>
                  <w:color w:val="000000"/>
                  <w:sz w:val="24"/>
                  <w:u w:val="none"/>
                  <w:effect w:val="none"/>
                </w:rPr>
                <w:t>-13-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130ba0cf0e8949da96e58f30e9deb7d1">
              <w:r>
                <w:rPr>
                  <w:rStyle w:val="InternetLink"/>
                  <w:rFonts w:ascii="Times New Roman;serif" w:hAnsi="Times New Roman;serif"/>
                  <w:b w:val="false"/>
                  <w:strike w:val="false"/>
                  <w:dstrike w:val="false"/>
                  <w:color w:val="000000"/>
                  <w:sz w:val="24"/>
                  <w:u w:val="none"/>
                  <w:effect w:val="none"/>
                </w:rPr>
                <w:t>Section 5.19.    Ranking of Obligations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30ba0cf0e8949da96e58f30e9deb7d1">
              <w:r>
                <w:rPr>
                  <w:rStyle w:val="InternetLink"/>
                  <w:rFonts w:ascii="Times New Roman;serif" w:hAnsi="Times New Roman;serif"/>
                  <w:b w:val="false"/>
                  <w:strike w:val="false"/>
                  <w:dstrike w:val="false"/>
                  <w:color w:val="000000"/>
                  <w:sz w:val="24"/>
                  <w:u w:val="none"/>
                  <w:effect w:val="none"/>
                </w:rPr>
                <w:t>-13-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a5d4747d13b64803af780e1c9a8273e6">
              <w:r>
                <w:rPr>
                  <w:rStyle w:val="InternetLink"/>
                  <w:rFonts w:ascii="Times New Roman;serif" w:hAnsi="Times New Roman;serif"/>
                  <w:b w:val="false"/>
                  <w:strike w:val="false"/>
                  <w:dstrike w:val="false"/>
                  <w:color w:val="000000"/>
                  <w:sz w:val="24"/>
                  <w:u w:val="none"/>
                  <w:effect w:val="none"/>
                </w:rPr>
                <w:t>SECTION 6.    REPRESENTATIONS OF THE PURCHASERS.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5d4747d13b64803af780e1c9a8273e6">
              <w:r>
                <w:rPr>
                  <w:rStyle w:val="InternetLink"/>
                  <w:rFonts w:ascii="Times New Roman;serif" w:hAnsi="Times New Roman;serif"/>
                  <w:b w:val="false"/>
                  <w:strike w:val="false"/>
                  <w:dstrike w:val="false"/>
                  <w:color w:val="000000"/>
                  <w:sz w:val="24"/>
                  <w:u w:val="none"/>
                  <w:effect w:val="none"/>
                </w:rPr>
                <w:t>-13-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f45eae2d0f848da98fc1afe4ae3b44d">
              <w:r>
                <w:rPr>
                  <w:rStyle w:val="InternetLink"/>
                  <w:rFonts w:ascii="Times New Roman;serif" w:hAnsi="Times New Roman;serif"/>
                  <w:b w:val="false"/>
                  <w:strike w:val="false"/>
                  <w:dstrike w:val="false"/>
                  <w:color w:val="000000"/>
                  <w:sz w:val="24"/>
                  <w:u w:val="none"/>
                  <w:effect w:val="none"/>
                </w:rPr>
                <w:t>Section 6.1.    Purchase for Investment</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f45eae2d0f848da98fc1afe4ae3b44d">
              <w:r>
                <w:rPr>
                  <w:rStyle w:val="InternetLink"/>
                  <w:rFonts w:ascii="Times New Roman;serif" w:hAnsi="Times New Roman;serif"/>
                  <w:b w:val="false"/>
                  <w:strike w:val="false"/>
                  <w:dstrike w:val="false"/>
                  <w:color w:val="000000"/>
                  <w:sz w:val="24"/>
                  <w:u w:val="none"/>
                  <w:effect w:val="none"/>
                </w:rPr>
                <w:t>-13-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9c5d61c6cb844c78d2dec3f27c479ae">
              <w:r>
                <w:rPr>
                  <w:rStyle w:val="InternetLink"/>
                  <w:rFonts w:ascii="Times New Roman;serif" w:hAnsi="Times New Roman;serif"/>
                  <w:b w:val="false"/>
                  <w:strike w:val="false"/>
                  <w:dstrike w:val="false"/>
                  <w:color w:val="000000"/>
                  <w:sz w:val="24"/>
                  <w:u w:val="none"/>
                  <w:effect w:val="none"/>
                </w:rPr>
                <w:t>Section 6.2.    Source of Funds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9c5d61c6cb844c78d2dec3f27c479ae">
              <w:r>
                <w:rPr>
                  <w:rStyle w:val="InternetLink"/>
                  <w:rFonts w:ascii="Times New Roman;serif" w:hAnsi="Times New Roman;serif"/>
                  <w:b w:val="false"/>
                  <w:strike w:val="false"/>
                  <w:dstrike w:val="false"/>
                  <w:color w:val="000000"/>
                  <w:sz w:val="24"/>
                  <w:u w:val="none"/>
                  <w:effect w:val="none"/>
                </w:rPr>
                <w:t>-13-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efa9fb8056c646b79ba069770b25686a">
              <w:r>
                <w:rPr>
                  <w:rStyle w:val="InternetLink"/>
                  <w:rFonts w:ascii="Times New Roman;serif" w:hAnsi="Times New Roman;serif"/>
                  <w:b w:val="false"/>
                  <w:strike w:val="false"/>
                  <w:dstrike w:val="false"/>
                  <w:color w:val="000000"/>
                  <w:sz w:val="24"/>
                  <w:u w:val="none"/>
                  <w:effect w:val="none"/>
                </w:rPr>
                <w:t>SECTION 7.    INFORMATION AS TO COMPANY.</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fa9fb8056c646b79ba069770b25686a">
              <w:r>
                <w:rPr>
                  <w:rStyle w:val="InternetLink"/>
                  <w:rFonts w:ascii="Times New Roman;serif" w:hAnsi="Times New Roman;serif"/>
                  <w:b w:val="false"/>
                  <w:strike w:val="false"/>
                  <w:dstrike w:val="false"/>
                  <w:color w:val="000000"/>
                  <w:sz w:val="24"/>
                  <w:u w:val="none"/>
                  <w:effect w:val="none"/>
                </w:rPr>
                <w:t>-15-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8b4d445e8074931afc8c904aec404db">
              <w:r>
                <w:rPr>
                  <w:rStyle w:val="InternetLink"/>
                  <w:rFonts w:ascii="Times New Roman;serif" w:hAnsi="Times New Roman;serif"/>
                  <w:b w:val="false"/>
                  <w:strike w:val="false"/>
                  <w:dstrike w:val="false"/>
                  <w:color w:val="000000"/>
                  <w:sz w:val="24"/>
                  <w:u w:val="none"/>
                  <w:effect w:val="none"/>
                </w:rPr>
                <w:t>Section 7.1.    Financial and Business Information</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8b4d445e8074931afc8c904aec404db">
              <w:r>
                <w:rPr>
                  <w:rStyle w:val="InternetLink"/>
                  <w:rFonts w:ascii="Times New Roman;serif" w:hAnsi="Times New Roman;serif"/>
                  <w:b w:val="false"/>
                  <w:strike w:val="false"/>
                  <w:dstrike w:val="false"/>
                  <w:color w:val="000000"/>
                  <w:sz w:val="24"/>
                  <w:u w:val="none"/>
                  <w:effect w:val="none"/>
                </w:rPr>
                <w:t>-15-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ddfbd2d27a7446caa7db1a876ad89b7">
              <w:r>
                <w:rPr>
                  <w:rStyle w:val="InternetLink"/>
                  <w:rFonts w:ascii="Times New Roman;serif" w:hAnsi="Times New Roman;serif"/>
                  <w:b w:val="false"/>
                  <w:strike w:val="false"/>
                  <w:dstrike w:val="false"/>
                  <w:color w:val="000000"/>
                  <w:sz w:val="24"/>
                  <w:u w:val="none"/>
                  <w:effect w:val="none"/>
                </w:rPr>
                <w:t>Section 7.2.    Officer’s Certificate</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ddfbd2d27a7446caa7db1a876ad89b7">
              <w:r>
                <w:rPr>
                  <w:rStyle w:val="InternetLink"/>
                  <w:rFonts w:ascii="Times New Roman;serif" w:hAnsi="Times New Roman;serif"/>
                  <w:b w:val="false"/>
                  <w:strike w:val="false"/>
                  <w:dstrike w:val="false"/>
                  <w:color w:val="000000"/>
                  <w:sz w:val="24"/>
                  <w:u w:val="none"/>
                  <w:effect w:val="none"/>
                </w:rPr>
                <w:t>-18-</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0e5d006e4334caca0409338def531e9">
              <w:r>
                <w:rPr>
                  <w:rStyle w:val="InternetLink"/>
                  <w:rFonts w:ascii="Times New Roman;serif" w:hAnsi="Times New Roman;serif"/>
                  <w:b w:val="false"/>
                  <w:strike w:val="false"/>
                  <w:dstrike w:val="false"/>
                  <w:color w:val="000000"/>
                  <w:sz w:val="24"/>
                  <w:u w:val="none"/>
                  <w:effect w:val="none"/>
                </w:rPr>
                <w:t>Section 7.3.    Visitation</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0e5d006e4334caca0409338def531e9">
              <w:r>
                <w:rPr>
                  <w:rStyle w:val="InternetLink"/>
                  <w:rFonts w:ascii="Times New Roman;serif" w:hAnsi="Times New Roman;serif"/>
                  <w:b w:val="false"/>
                  <w:strike w:val="false"/>
                  <w:dstrike w:val="false"/>
                  <w:color w:val="000000"/>
                  <w:sz w:val="24"/>
                  <w:u w:val="none"/>
                  <w:effect w:val="none"/>
                </w:rPr>
                <w:t>-19-</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06e0580b77247f8acbab2c5c22b582f">
              <w:r>
                <w:rPr>
                  <w:rStyle w:val="InternetLink"/>
                  <w:rFonts w:ascii="Times New Roman;serif" w:hAnsi="Times New Roman;serif"/>
                  <w:b w:val="false"/>
                  <w:strike w:val="false"/>
                  <w:dstrike w:val="false"/>
                  <w:color w:val="000000"/>
                  <w:sz w:val="24"/>
                  <w:u w:val="none"/>
                  <w:effect w:val="none"/>
                </w:rPr>
                <w:t>Section 7.4.    Electronic Delivery</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06e0580b77247f8acbab2c5c22b582f">
              <w:r>
                <w:rPr>
                  <w:rStyle w:val="InternetLink"/>
                  <w:rFonts w:ascii="Times New Roman;serif" w:hAnsi="Times New Roman;serif"/>
                  <w:b w:val="false"/>
                  <w:strike w:val="false"/>
                  <w:dstrike w:val="false"/>
                  <w:color w:val="000000"/>
                  <w:sz w:val="24"/>
                  <w:u w:val="none"/>
                  <w:effect w:val="none"/>
                </w:rPr>
                <w:t>-19-</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ae3bb31ee2e24c9fb3fdaccf97d36c5f">
              <w:r>
                <w:rPr>
                  <w:rStyle w:val="InternetLink"/>
                  <w:rFonts w:ascii="Times New Roman;serif" w:hAnsi="Times New Roman;serif"/>
                  <w:b w:val="false"/>
                  <w:strike w:val="false"/>
                  <w:dstrike w:val="false"/>
                  <w:color w:val="000000"/>
                  <w:sz w:val="24"/>
                  <w:u w:val="none"/>
                  <w:effect w:val="none"/>
                </w:rPr>
                <w:t>SECTION 8.    PAYMENT AND PREPAYMENT OF THE NOTES.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e3bb31ee2e24c9fb3fdaccf97d36c5f">
              <w:r>
                <w:rPr>
                  <w:rStyle w:val="InternetLink"/>
                  <w:rFonts w:ascii="Times New Roman;serif" w:hAnsi="Times New Roman;serif"/>
                  <w:b w:val="false"/>
                  <w:strike w:val="false"/>
                  <w:dstrike w:val="false"/>
                  <w:color w:val="000000"/>
                  <w:sz w:val="24"/>
                  <w:u w:val="none"/>
                  <w:effect w:val="none"/>
                </w:rPr>
                <w:t>-20-</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2b81c32dbb34f5f843a073a9798589d">
              <w:r>
                <w:rPr>
                  <w:rStyle w:val="InternetLink"/>
                  <w:rFonts w:ascii="Times New Roman;serif" w:hAnsi="Times New Roman;serif"/>
                  <w:b w:val="false"/>
                  <w:strike w:val="false"/>
                  <w:dstrike w:val="false"/>
                  <w:color w:val="000000"/>
                  <w:sz w:val="24"/>
                  <w:u w:val="none"/>
                  <w:effect w:val="none"/>
                </w:rPr>
                <w:t>Section 8.1.    Maturity</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2b81c32dbb34f5f843a073a9798589d">
              <w:r>
                <w:rPr>
                  <w:rStyle w:val="InternetLink"/>
                  <w:rFonts w:ascii="Times New Roman;serif" w:hAnsi="Times New Roman;serif"/>
                  <w:b w:val="false"/>
                  <w:strike w:val="false"/>
                  <w:dstrike w:val="false"/>
                  <w:color w:val="000000"/>
                  <w:sz w:val="24"/>
                  <w:u w:val="none"/>
                  <w:effect w:val="none"/>
                </w:rPr>
                <w:t>-20-</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0056ff8b9a64e56bc4b54e72ee3b705">
              <w:r>
                <w:rPr>
                  <w:rStyle w:val="InternetLink"/>
                  <w:rFonts w:ascii="Times New Roman;serif" w:hAnsi="Times New Roman;serif"/>
                  <w:b w:val="false"/>
                  <w:strike w:val="false"/>
                  <w:dstrike w:val="false"/>
                  <w:color w:val="000000"/>
                  <w:sz w:val="24"/>
                  <w:u w:val="none"/>
                  <w:effect w:val="none"/>
                </w:rPr>
                <w:t>Section 8.2.    Optional Prepayments with Make-Whole Amount</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0056ff8b9a64e56bc4b54e72ee3b705">
              <w:r>
                <w:rPr>
                  <w:rStyle w:val="InternetLink"/>
                  <w:rFonts w:ascii="Times New Roman;serif" w:hAnsi="Times New Roman;serif"/>
                  <w:b w:val="false"/>
                  <w:strike w:val="false"/>
                  <w:dstrike w:val="false"/>
                  <w:color w:val="000000"/>
                  <w:sz w:val="24"/>
                  <w:u w:val="none"/>
                  <w:effect w:val="none"/>
                </w:rPr>
                <w:t>-20-</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3717966baa44621ae1fdadbd782c804">
              <w:r>
                <w:rPr>
                  <w:rStyle w:val="InternetLink"/>
                  <w:rFonts w:ascii="Times New Roman;serif" w:hAnsi="Times New Roman;serif"/>
                  <w:b w:val="false"/>
                  <w:strike w:val="false"/>
                  <w:dstrike w:val="false"/>
                  <w:color w:val="000000"/>
                  <w:sz w:val="24"/>
                  <w:u w:val="none"/>
                  <w:effect w:val="none"/>
                </w:rPr>
                <w:t>Section 8.3.    Allocation of Partial Prepayments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3717966baa44621ae1fdadbd782c804">
              <w:r>
                <w:rPr>
                  <w:rStyle w:val="InternetLink"/>
                  <w:rFonts w:ascii="Times New Roman;serif" w:hAnsi="Times New Roman;serif"/>
                  <w:b w:val="false"/>
                  <w:strike w:val="false"/>
                  <w:dstrike w:val="false"/>
                  <w:color w:val="000000"/>
                  <w:sz w:val="24"/>
                  <w:u w:val="none"/>
                  <w:effect w:val="none"/>
                </w:rPr>
                <w:t>-20-</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4807e61dc5f492f95b0c43ccd9ebc41">
              <w:r>
                <w:rPr>
                  <w:rStyle w:val="InternetLink"/>
                  <w:rFonts w:ascii="Times New Roman;serif" w:hAnsi="Times New Roman;serif"/>
                  <w:b w:val="false"/>
                  <w:strike w:val="false"/>
                  <w:dstrike w:val="false"/>
                  <w:color w:val="000000"/>
                  <w:sz w:val="24"/>
                  <w:u w:val="none"/>
                  <w:effect w:val="none"/>
                </w:rPr>
                <w:t>Section 8.4.    Maturity; Surrender, Etc</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4807e61dc5f492f95b0c43ccd9ebc41">
              <w:r>
                <w:rPr>
                  <w:rStyle w:val="InternetLink"/>
                  <w:rFonts w:ascii="Times New Roman;serif" w:hAnsi="Times New Roman;serif"/>
                  <w:b w:val="false"/>
                  <w:strike w:val="false"/>
                  <w:dstrike w:val="false"/>
                  <w:color w:val="000000"/>
                  <w:sz w:val="24"/>
                  <w:u w:val="none"/>
                  <w:effect w:val="none"/>
                </w:rPr>
                <w:t>-21-</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a589051bb2f465e8f9c278819e015ce">
              <w:r>
                <w:rPr>
                  <w:rStyle w:val="InternetLink"/>
                  <w:rFonts w:ascii="Times New Roman;serif" w:hAnsi="Times New Roman;serif"/>
                  <w:b w:val="false"/>
                  <w:strike w:val="false"/>
                  <w:dstrike w:val="false"/>
                  <w:color w:val="000000"/>
                  <w:sz w:val="24"/>
                  <w:u w:val="none"/>
                  <w:effect w:val="none"/>
                </w:rPr>
                <w:t>Section 8.5.    Purchase of Notes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a589051bb2f465e8f9c278819e015ce">
              <w:r>
                <w:rPr>
                  <w:rStyle w:val="InternetLink"/>
                  <w:rFonts w:ascii="Times New Roman;serif" w:hAnsi="Times New Roman;serif"/>
                  <w:b w:val="false"/>
                  <w:strike w:val="false"/>
                  <w:dstrike w:val="false"/>
                  <w:color w:val="000000"/>
                  <w:sz w:val="24"/>
                  <w:u w:val="none"/>
                  <w:effect w:val="none"/>
                </w:rPr>
                <w:t>-21-</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c40a9a560495465197a172203eb45716">
              <w:r>
                <w:rPr>
                  <w:rStyle w:val="InternetLink"/>
                  <w:rFonts w:ascii="Times New Roman;serif" w:hAnsi="Times New Roman;serif"/>
                  <w:b w:val="false"/>
                  <w:strike w:val="false"/>
                  <w:dstrike w:val="false"/>
                  <w:color w:val="000000"/>
                  <w:sz w:val="24"/>
                  <w:u w:val="none"/>
                  <w:effect w:val="none"/>
                </w:rPr>
                <w:t>Section 8.6.    Make-Whole Amount.</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c40a9a560495465197a172203eb45716">
              <w:r>
                <w:rPr>
                  <w:rStyle w:val="InternetLink"/>
                  <w:rFonts w:ascii="Times New Roman;serif" w:hAnsi="Times New Roman;serif"/>
                  <w:b w:val="false"/>
                  <w:strike w:val="false"/>
                  <w:dstrike w:val="false"/>
                  <w:color w:val="000000"/>
                  <w:sz w:val="24"/>
                  <w:u w:val="none"/>
                  <w:effect w:val="none"/>
                </w:rPr>
                <w:t>-21-</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cb7b61b8be6441daebe717fbaa7a2d1">
              <w:r>
                <w:rPr>
                  <w:rStyle w:val="InternetLink"/>
                  <w:rFonts w:ascii="Times New Roman;serif" w:hAnsi="Times New Roman;serif"/>
                  <w:b w:val="false"/>
                  <w:strike w:val="false"/>
                  <w:dstrike w:val="false"/>
                  <w:color w:val="000000"/>
                  <w:sz w:val="24"/>
                  <w:u w:val="none"/>
                  <w:effect w:val="none"/>
                </w:rPr>
                <w:t xml:space="preserve">Section 8.7.    Payments Due on Non-Business Days. </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cb7b61b8be6441daebe717fbaa7a2d1">
              <w:r>
                <w:rPr>
                  <w:rStyle w:val="InternetLink"/>
                  <w:rFonts w:ascii="Times New Roman;serif" w:hAnsi="Times New Roman;serif"/>
                  <w:b w:val="false"/>
                  <w:strike w:val="false"/>
                  <w:dstrike w:val="false"/>
                  <w:color w:val="000000"/>
                  <w:sz w:val="24"/>
                  <w:u w:val="none"/>
                  <w:effect w:val="none"/>
                </w:rPr>
                <w:t>-23-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3532bde5a12441a928779b4b4b1b995">
              <w:r>
                <w:rPr>
                  <w:rStyle w:val="InternetLink"/>
                  <w:rFonts w:ascii="Times New Roman;serif" w:hAnsi="Times New Roman;serif"/>
                  <w:b w:val="false"/>
                  <w:strike w:val="false"/>
                  <w:dstrike w:val="false"/>
                  <w:color w:val="000000"/>
                  <w:sz w:val="24"/>
                  <w:u w:val="none"/>
                  <w:effect w:val="none"/>
                </w:rPr>
                <w:t>Section 8.8.    Change of Control Prepayment Offer.</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3532bde5a12441a928779b4b4b1b995">
              <w:r>
                <w:rPr>
                  <w:rStyle w:val="InternetLink"/>
                  <w:rFonts w:ascii="Times New Roman;serif" w:hAnsi="Times New Roman;serif"/>
                  <w:b w:val="false"/>
                  <w:strike w:val="false"/>
                  <w:dstrike w:val="false"/>
                  <w:color w:val="000000"/>
                  <w:sz w:val="24"/>
                  <w:u w:val="none"/>
                  <w:effect w:val="none"/>
                </w:rPr>
                <w:t>-23-</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f86a0f80dcb940b49bfb024c41caf8b0">
              <w:r>
                <w:rPr>
                  <w:rStyle w:val="InternetLink"/>
                  <w:rFonts w:ascii="Times New Roman;serif" w:hAnsi="Times New Roman;serif"/>
                  <w:b w:val="false"/>
                  <w:strike w:val="false"/>
                  <w:dstrike w:val="false"/>
                  <w:color w:val="000000"/>
                  <w:sz w:val="24"/>
                  <w:u w:val="none"/>
                  <w:effect w:val="none"/>
                </w:rPr>
                <w:t>SECTION 9.    AFFIRMATIVE COVENANTS.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86a0f80dcb940b49bfb024c41caf8b0">
              <w:r>
                <w:rPr>
                  <w:rStyle w:val="InternetLink"/>
                  <w:rFonts w:ascii="Times New Roman;serif" w:hAnsi="Times New Roman;serif"/>
                  <w:b w:val="false"/>
                  <w:strike w:val="false"/>
                  <w:dstrike w:val="false"/>
                  <w:color w:val="000000"/>
                  <w:sz w:val="24"/>
                  <w:u w:val="none"/>
                  <w:effect w:val="none"/>
                </w:rPr>
                <w:t>-25-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0ef8171b0bd4e77bdaf5aaeb964a7ff">
              <w:r>
                <w:rPr>
                  <w:rStyle w:val="InternetLink"/>
                  <w:rFonts w:ascii="Times New Roman;serif" w:hAnsi="Times New Roman;serif"/>
                  <w:b w:val="false"/>
                  <w:strike w:val="false"/>
                  <w:dstrike w:val="false"/>
                  <w:color w:val="000000"/>
                  <w:sz w:val="24"/>
                  <w:u w:val="none"/>
                  <w:effect w:val="none"/>
                </w:rPr>
                <w:t>Section 9.1.    Compliance with Laws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0ef8171b0bd4e77bdaf5aaeb964a7ff">
              <w:r>
                <w:rPr>
                  <w:rStyle w:val="InternetLink"/>
                  <w:rFonts w:ascii="Times New Roman;serif" w:hAnsi="Times New Roman;serif"/>
                  <w:b w:val="false"/>
                  <w:strike w:val="false"/>
                  <w:dstrike w:val="false"/>
                  <w:color w:val="000000"/>
                  <w:sz w:val="24"/>
                  <w:u w:val="none"/>
                  <w:effect w:val="none"/>
                </w:rPr>
                <w:t>-25-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1d268c50e3dc43859bda35c43b08e029">
              <w:r>
                <w:rPr>
                  <w:rStyle w:val="InternetLink"/>
                  <w:rFonts w:ascii="Times New Roman;serif" w:hAnsi="Times New Roman;serif"/>
                  <w:b w:val="false"/>
                  <w:strike w:val="false"/>
                  <w:dstrike w:val="false"/>
                  <w:color w:val="000000"/>
                  <w:sz w:val="24"/>
                  <w:u w:val="none"/>
                  <w:effect w:val="none"/>
                </w:rPr>
                <w:t>Section 9.2.    Insurance</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d268c50e3dc43859bda35c43b08e029">
              <w:r>
                <w:rPr>
                  <w:rStyle w:val="InternetLink"/>
                  <w:rFonts w:ascii="Times New Roman;serif" w:hAnsi="Times New Roman;serif"/>
                  <w:b w:val="false"/>
                  <w:strike w:val="false"/>
                  <w:dstrike w:val="false"/>
                  <w:color w:val="000000"/>
                  <w:sz w:val="24"/>
                  <w:u w:val="none"/>
                  <w:effect w:val="none"/>
                </w:rPr>
                <w:t>-25-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d528fb7836849c78645ca7d3d3e0d6e">
              <w:r>
                <w:rPr>
                  <w:rStyle w:val="InternetLink"/>
                  <w:rFonts w:ascii="Times New Roman;serif" w:hAnsi="Times New Roman;serif"/>
                  <w:b w:val="false"/>
                  <w:strike w:val="false"/>
                  <w:dstrike w:val="false"/>
                  <w:color w:val="000000"/>
                  <w:sz w:val="24"/>
                  <w:u w:val="none"/>
                  <w:effect w:val="none"/>
                </w:rPr>
                <w:t>Section 9.3.    Maintenance of Properties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d528fb7836849c78645ca7d3d3e0d6e">
              <w:r>
                <w:rPr>
                  <w:rStyle w:val="InternetLink"/>
                  <w:rFonts w:ascii="Times New Roman;serif" w:hAnsi="Times New Roman;serif"/>
                  <w:b w:val="false"/>
                  <w:strike w:val="false"/>
                  <w:dstrike w:val="false"/>
                  <w:color w:val="000000"/>
                  <w:sz w:val="24"/>
                  <w:u w:val="none"/>
                  <w:effect w:val="none"/>
                </w:rPr>
                <w:t>-25-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439e9b5b68e4c309ce49d2334c2062e">
              <w:r>
                <w:rPr>
                  <w:rStyle w:val="InternetLink"/>
                  <w:rFonts w:ascii="Times New Roman;serif" w:hAnsi="Times New Roman;serif"/>
                  <w:b w:val="false"/>
                  <w:strike w:val="false"/>
                  <w:dstrike w:val="false"/>
                  <w:color w:val="000000"/>
                  <w:sz w:val="24"/>
                  <w:u w:val="none"/>
                  <w:effect w:val="none"/>
                </w:rPr>
                <w:t>Section 9.4.    Payment of Taxes and Claims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439e9b5b68e4c309ce49d2334c2062e">
              <w:r>
                <w:rPr>
                  <w:rStyle w:val="InternetLink"/>
                  <w:rFonts w:ascii="Times New Roman;serif" w:hAnsi="Times New Roman;serif"/>
                  <w:b w:val="false"/>
                  <w:strike w:val="false"/>
                  <w:dstrike w:val="false"/>
                  <w:color w:val="000000"/>
                  <w:sz w:val="24"/>
                  <w:u w:val="none"/>
                  <w:effect w:val="none"/>
                </w:rPr>
                <w:t>-25-</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0880af23834405bb92e19e970ac99af">
              <w:r>
                <w:rPr>
                  <w:rStyle w:val="InternetLink"/>
                  <w:rFonts w:ascii="Times New Roman;serif" w:hAnsi="Times New Roman;serif"/>
                  <w:b w:val="false"/>
                  <w:strike w:val="false"/>
                  <w:dstrike w:val="false"/>
                  <w:color w:val="000000"/>
                  <w:sz w:val="24"/>
                  <w:u w:val="none"/>
                  <w:effect w:val="none"/>
                </w:rPr>
                <w:t>Section 9.5.    Corporate Existence, Etc</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0880af23834405bb92e19e970ac99af">
              <w:r>
                <w:rPr>
                  <w:rStyle w:val="InternetLink"/>
                  <w:rFonts w:ascii="Times New Roman;serif" w:hAnsi="Times New Roman;serif"/>
                  <w:b w:val="false"/>
                  <w:strike w:val="false"/>
                  <w:dstrike w:val="false"/>
                  <w:color w:val="000000"/>
                  <w:sz w:val="24"/>
                  <w:u w:val="none"/>
                  <w:effect w:val="none"/>
                </w:rPr>
                <w:t>-26-</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e0df840c6e94c1a9e55f4ec1bac7fd0">
              <w:r>
                <w:rPr>
                  <w:rStyle w:val="InternetLink"/>
                  <w:rFonts w:ascii="Times New Roman;serif" w:hAnsi="Times New Roman;serif"/>
                  <w:b w:val="false"/>
                  <w:strike w:val="false"/>
                  <w:dstrike w:val="false"/>
                  <w:color w:val="000000"/>
                  <w:sz w:val="24"/>
                  <w:u w:val="none"/>
                  <w:effect w:val="none"/>
                </w:rPr>
                <w:t>Section 9.6.    Books and Records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e0df840c6e94c1a9e55f4ec1bac7fd0">
              <w:r>
                <w:rPr>
                  <w:rStyle w:val="InternetLink"/>
                  <w:rFonts w:ascii="Times New Roman;serif" w:hAnsi="Times New Roman;serif"/>
                  <w:b w:val="false"/>
                  <w:strike w:val="false"/>
                  <w:dstrike w:val="false"/>
                  <w:color w:val="000000"/>
                  <w:sz w:val="24"/>
                  <w:u w:val="none"/>
                  <w:effect w:val="none"/>
                </w:rPr>
                <w:t>-26-</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0e15d69ff79491d99b8269891c42fec">
              <w:r>
                <w:rPr>
                  <w:rStyle w:val="InternetLink"/>
                  <w:rFonts w:ascii="Times New Roman;serif" w:hAnsi="Times New Roman;serif"/>
                  <w:b w:val="false"/>
                  <w:strike w:val="false"/>
                  <w:dstrike w:val="false"/>
                  <w:color w:val="000000"/>
                  <w:sz w:val="24"/>
                  <w:u w:val="none"/>
                  <w:effect w:val="none"/>
                </w:rPr>
                <w:t>Section 9.7.    Subsidiary Guarantors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0e15d69ff79491d99b8269891c42fec">
              <w:r>
                <w:rPr>
                  <w:rStyle w:val="InternetLink"/>
                  <w:rFonts w:ascii="Times New Roman;serif" w:hAnsi="Times New Roman;serif"/>
                  <w:b w:val="false"/>
                  <w:strike w:val="false"/>
                  <w:dstrike w:val="false"/>
                  <w:color w:val="000000"/>
                  <w:sz w:val="24"/>
                  <w:u w:val="none"/>
                  <w:effect w:val="none"/>
                </w:rPr>
                <w:t>-26-</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cc7b8b4ed0049fc9320df3884c5f0ce">
              <w:r>
                <w:rPr>
                  <w:rStyle w:val="InternetLink"/>
                  <w:rFonts w:ascii="Times New Roman;serif" w:hAnsi="Times New Roman;serif"/>
                  <w:b w:val="false"/>
                  <w:strike w:val="false"/>
                  <w:dstrike w:val="false"/>
                  <w:color w:val="000000"/>
                  <w:sz w:val="24"/>
                  <w:u w:val="none"/>
                  <w:effect w:val="none"/>
                </w:rPr>
                <w:t>Section 9.8.    Priority of Obligations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cc7b8b4ed0049fc9320df3884c5f0ce">
              <w:r>
                <w:rPr>
                  <w:rStyle w:val="InternetLink"/>
                  <w:rFonts w:ascii="Times New Roman;serif" w:hAnsi="Times New Roman;serif"/>
                  <w:b w:val="false"/>
                  <w:strike w:val="false"/>
                  <w:dstrike w:val="false"/>
                  <w:color w:val="000000"/>
                  <w:sz w:val="24"/>
                  <w:u w:val="none"/>
                  <w:effect w:val="none"/>
                </w:rPr>
                <w:t>-27-</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d71004b18b24d96921ba148427f5993">
              <w:r>
                <w:rPr>
                  <w:rStyle w:val="InternetLink"/>
                  <w:rFonts w:ascii="Times New Roman;serif" w:hAnsi="Times New Roman;serif"/>
                  <w:b w:val="false"/>
                  <w:strike w:val="false"/>
                  <w:dstrike w:val="false"/>
                  <w:color w:val="000000"/>
                  <w:sz w:val="24"/>
                  <w:u w:val="none"/>
                  <w:effect w:val="none"/>
                </w:rPr>
                <w:t>Section 9.9.    Rating on the Notes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d71004b18b24d96921ba148427f5993">
              <w:r>
                <w:rPr>
                  <w:rStyle w:val="InternetLink"/>
                  <w:rFonts w:ascii="Times New Roman;serif" w:hAnsi="Times New Roman;serif"/>
                  <w:b w:val="false"/>
                  <w:strike w:val="false"/>
                  <w:dstrike w:val="false"/>
                  <w:color w:val="000000"/>
                  <w:sz w:val="24"/>
                  <w:u w:val="none"/>
                  <w:effect w:val="none"/>
                </w:rPr>
                <w:t>-28-</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2ac69bcc6c34725a6c55b58adc2f348">
              <w:r>
                <w:rPr>
                  <w:rStyle w:val="InternetLink"/>
                  <w:rFonts w:ascii="Times New Roman;serif" w:hAnsi="Times New Roman;serif"/>
                  <w:b w:val="false"/>
                  <w:strike w:val="false"/>
                  <w:dstrike w:val="false"/>
                  <w:color w:val="000000"/>
                  <w:sz w:val="24"/>
                  <w:u w:val="none"/>
                  <w:effect w:val="none"/>
                </w:rPr>
                <w:t>Section 9.10.    Anti-Corruption Laws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2ac69bcc6c34725a6c55b58adc2f348">
              <w:r>
                <w:rPr>
                  <w:rStyle w:val="InternetLink"/>
                  <w:rFonts w:ascii="Times New Roman;serif" w:hAnsi="Times New Roman;serif"/>
                  <w:b w:val="false"/>
                  <w:strike w:val="false"/>
                  <w:dstrike w:val="false"/>
                  <w:color w:val="000000"/>
                  <w:sz w:val="24"/>
                  <w:u w:val="none"/>
                  <w:effect w:val="none"/>
                </w:rPr>
                <w:t>-28-</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5629fbba4a04974b8ea9e98c2cd77aa">
              <w:r>
                <w:rPr>
                  <w:rStyle w:val="InternetLink"/>
                  <w:rFonts w:ascii="Times New Roman;serif" w:hAnsi="Times New Roman;serif"/>
                  <w:b w:val="false"/>
                  <w:strike w:val="false"/>
                  <w:dstrike w:val="false"/>
                  <w:color w:val="000000"/>
                  <w:sz w:val="24"/>
                  <w:u w:val="none"/>
                  <w:effect w:val="none"/>
                </w:rPr>
                <w:t>Section 9.11.    Most Favored Lender</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5629fbba4a04974b8ea9e98c2cd77aa">
              <w:r>
                <w:rPr>
                  <w:rStyle w:val="InternetLink"/>
                  <w:rFonts w:ascii="Times New Roman;serif" w:hAnsi="Times New Roman;serif"/>
                  <w:b w:val="false"/>
                  <w:strike w:val="false"/>
                  <w:dstrike w:val="false"/>
                  <w:color w:val="000000"/>
                  <w:sz w:val="24"/>
                  <w:u w:val="none"/>
                  <w:effect w:val="none"/>
                </w:rPr>
                <w:t>-28-</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35847dfefd324e19bcfd5bb29914c676">
              <w:r>
                <w:rPr>
                  <w:rStyle w:val="InternetLink"/>
                  <w:rFonts w:ascii="Times New Roman;serif" w:hAnsi="Times New Roman;serif"/>
                  <w:b w:val="false"/>
                  <w:strike w:val="false"/>
                  <w:dstrike w:val="false"/>
                  <w:color w:val="000000"/>
                  <w:sz w:val="24"/>
                  <w:u w:val="none"/>
                  <w:effect w:val="none"/>
                </w:rPr>
                <w:t>SECTION 10.    NEGATIVE COVENANTS.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5847dfefd324e19bcfd5bb29914c676">
              <w:r>
                <w:rPr>
                  <w:rStyle w:val="InternetLink"/>
                  <w:rFonts w:ascii="Times New Roman;serif" w:hAnsi="Times New Roman;serif"/>
                  <w:b w:val="false"/>
                  <w:strike w:val="false"/>
                  <w:dstrike w:val="false"/>
                  <w:color w:val="000000"/>
                  <w:sz w:val="24"/>
                  <w:u w:val="none"/>
                  <w:effect w:val="none"/>
                </w:rPr>
                <w:t>-29-</w:t>
              </w:r>
            </w:hyperlink>
          </w:p>
        </w:tc>
      </w:tr>
      <w:tr>
        <w:trPr/>
        <w:tc>
          <w:tcPr>
            <w:tcW w:w="6944"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b049691d0d0474e8bfeb2ab053015ba">
              <w:r>
                <w:rPr>
                  <w:rStyle w:val="InternetLink"/>
                  <w:rFonts w:ascii="Times New Roman;serif" w:hAnsi="Times New Roman;serif"/>
                  <w:b w:val="false"/>
                  <w:strike w:val="false"/>
                  <w:dstrike w:val="false"/>
                  <w:color w:val="000000"/>
                  <w:sz w:val="24"/>
                  <w:u w:val="none"/>
                  <w:effect w:val="none"/>
                </w:rPr>
                <w:t>Section 10.1.    Transactions with Affiliates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b049691d0d0474e8bfeb2ab053015ba">
              <w:r>
                <w:rPr>
                  <w:rStyle w:val="InternetLink"/>
                  <w:rFonts w:ascii="Times New Roman;serif" w:hAnsi="Times New Roman;serif"/>
                  <w:b w:val="false"/>
                  <w:strike w:val="false"/>
                  <w:dstrike w:val="false"/>
                  <w:color w:val="000000"/>
                  <w:sz w:val="24"/>
                  <w:u w:val="none"/>
                  <w:effect w:val="none"/>
                </w:rPr>
                <w:t>-29-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54"/>
        <w:gridCol w:w="3009"/>
        <w:gridCol w:w="3009"/>
        <w:gridCol w:w="154"/>
        <w:gridCol w:w="154"/>
        <w:gridCol w:w="225"/>
      </w:tblGrid>
      <w:tr>
        <w:trPr/>
        <w:tc>
          <w:tcPr>
            <w:tcW w:w="3654"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51938e9ff4a470a8cbf6540899e431a">
              <w:r>
                <w:rPr>
                  <w:rStyle w:val="InternetLink"/>
                  <w:rFonts w:ascii="Times New Roman;serif" w:hAnsi="Times New Roman;serif"/>
                  <w:b w:val="false"/>
                  <w:strike w:val="false"/>
                  <w:dstrike w:val="false"/>
                  <w:color w:val="000000"/>
                  <w:sz w:val="24"/>
                  <w:u w:val="none"/>
                  <w:effect w:val="none"/>
                </w:rPr>
                <w:t>Section 10.2.    Merger, Consolidation,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51938e9ff4a470a8cbf6540899e431a">
              <w:r>
                <w:rPr>
                  <w:rStyle w:val="InternetLink"/>
                  <w:rFonts w:ascii="Times New Roman;serif" w:hAnsi="Times New Roman;serif"/>
                  <w:b w:val="false"/>
                  <w:strike w:val="false"/>
                  <w:dstrike w:val="false"/>
                  <w:color w:val="000000"/>
                  <w:sz w:val="24"/>
                  <w:u w:val="none"/>
                  <w:effect w:val="none"/>
                </w:rPr>
                <w:t>-30-</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93e44828d0ca4d7cbe0357f26437a06e">
              <w:r>
                <w:rPr>
                  <w:rStyle w:val="InternetLink"/>
                  <w:rFonts w:ascii="Times New Roman;serif" w:hAnsi="Times New Roman;serif"/>
                  <w:b w:val="false"/>
                  <w:strike w:val="false"/>
                  <w:dstrike w:val="false"/>
                  <w:color w:val="000000"/>
                  <w:sz w:val="24"/>
                  <w:u w:val="none"/>
                  <w:effect w:val="none"/>
                </w:rPr>
                <w:t>Section 10.3.    Line of Business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3e44828d0ca4d7cbe0357f26437a06e">
              <w:r>
                <w:rPr>
                  <w:rStyle w:val="InternetLink"/>
                  <w:rFonts w:ascii="Times New Roman;serif" w:hAnsi="Times New Roman;serif"/>
                  <w:b w:val="false"/>
                  <w:strike w:val="false"/>
                  <w:dstrike w:val="false"/>
                  <w:color w:val="000000"/>
                  <w:sz w:val="24"/>
                  <w:u w:val="none"/>
                  <w:effect w:val="none"/>
                </w:rPr>
                <w:t>-32-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c6ea7d4682ac42238e093f187f759efa">
              <w:r>
                <w:rPr>
                  <w:rStyle w:val="InternetLink"/>
                  <w:rFonts w:ascii="Times New Roman;serif" w:hAnsi="Times New Roman;serif"/>
                  <w:b w:val="false"/>
                  <w:strike w:val="false"/>
                  <w:dstrike w:val="false"/>
                  <w:color w:val="000000"/>
                  <w:sz w:val="24"/>
                  <w:u w:val="none"/>
                  <w:effect w:val="none"/>
                </w:rPr>
                <w:t>Section 10.4.    Economic Sanctions,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c6ea7d4682ac42238e093f187f759efa">
              <w:r>
                <w:rPr>
                  <w:rStyle w:val="InternetLink"/>
                  <w:rFonts w:ascii="Times New Roman;serif" w:hAnsi="Times New Roman;serif"/>
                  <w:b w:val="false"/>
                  <w:strike w:val="false"/>
                  <w:dstrike w:val="false"/>
                  <w:color w:val="000000"/>
                  <w:sz w:val="24"/>
                  <w:u w:val="none"/>
                  <w:effect w:val="none"/>
                </w:rPr>
                <w:t>-32-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3db7904c3034a38b01defbfbd4d248e">
              <w:r>
                <w:rPr>
                  <w:rStyle w:val="InternetLink"/>
                  <w:rFonts w:ascii="Times New Roman;serif" w:hAnsi="Times New Roman;serif"/>
                  <w:b w:val="false"/>
                  <w:strike w:val="false"/>
                  <w:dstrike w:val="false"/>
                  <w:color w:val="000000"/>
                  <w:sz w:val="24"/>
                  <w:u w:val="none"/>
                  <w:effect w:val="none"/>
                </w:rPr>
                <w:t>Section 10.5.    Liens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3db7904c3034a38b01defbfbd4d248e">
              <w:r>
                <w:rPr>
                  <w:rStyle w:val="InternetLink"/>
                  <w:rFonts w:ascii="Times New Roman;serif" w:hAnsi="Times New Roman;serif"/>
                  <w:b w:val="false"/>
                  <w:strike w:val="false"/>
                  <w:dstrike w:val="false"/>
                  <w:color w:val="000000"/>
                  <w:sz w:val="24"/>
                  <w:u w:val="none"/>
                  <w:effect w:val="none"/>
                </w:rPr>
                <w:t>-32-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56fe539c6074abb83fa65059b7fef9c">
              <w:r>
                <w:rPr>
                  <w:rStyle w:val="InternetLink"/>
                  <w:rFonts w:ascii="Times New Roman;serif" w:hAnsi="Times New Roman;serif"/>
                  <w:b w:val="false"/>
                  <w:strike w:val="false"/>
                  <w:dstrike w:val="false"/>
                  <w:color w:val="000000"/>
                  <w:sz w:val="24"/>
                  <w:u w:val="none"/>
                  <w:effect w:val="none"/>
                </w:rPr>
                <w:t>Section 10.6.    Financial Covenants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56fe539c6074abb83fa65059b7fef9c">
              <w:r>
                <w:rPr>
                  <w:rStyle w:val="InternetLink"/>
                  <w:rFonts w:ascii="Times New Roman;serif" w:hAnsi="Times New Roman;serif"/>
                  <w:b w:val="false"/>
                  <w:strike w:val="false"/>
                  <w:dstrike w:val="false"/>
                  <w:color w:val="000000"/>
                  <w:sz w:val="24"/>
                  <w:u w:val="none"/>
                  <w:effect w:val="none"/>
                </w:rPr>
                <w:t>-35-</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864bb2d15f3e47f7b5088d1c53238f44">
              <w:r>
                <w:rPr>
                  <w:rStyle w:val="InternetLink"/>
                  <w:rFonts w:ascii="Times New Roman;serif" w:hAnsi="Times New Roman;serif"/>
                  <w:b w:val="false"/>
                  <w:strike w:val="false"/>
                  <w:dstrike w:val="false"/>
                  <w:color w:val="000000"/>
                  <w:sz w:val="24"/>
                  <w:u w:val="none"/>
                  <w:effect w:val="none"/>
                </w:rPr>
                <w:t>Section 10.7.    Limitations on Indebtedness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864bb2d15f3e47f7b5088d1c53238f44">
              <w:r>
                <w:rPr>
                  <w:rStyle w:val="InternetLink"/>
                  <w:rFonts w:ascii="Times New Roman;serif" w:hAnsi="Times New Roman;serif"/>
                  <w:b w:val="false"/>
                  <w:strike w:val="false"/>
                  <w:dstrike w:val="false"/>
                  <w:color w:val="000000"/>
                  <w:sz w:val="24"/>
                  <w:u w:val="none"/>
                  <w:effect w:val="none"/>
                </w:rPr>
                <w:t>-36-</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25c5dd92db548118d79bfb12d46256d">
              <w:r>
                <w:rPr>
                  <w:rStyle w:val="InternetLink"/>
                  <w:rFonts w:ascii="Times New Roman;serif" w:hAnsi="Times New Roman;serif"/>
                  <w:b w:val="false"/>
                  <w:strike w:val="false"/>
                  <w:dstrike w:val="false"/>
                  <w:color w:val="000000"/>
                  <w:sz w:val="24"/>
                  <w:u w:val="none"/>
                  <w:effect w:val="none"/>
                </w:rPr>
                <w:t>Section 10.8.    Dispositions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25c5dd92db548118d79bfb12d46256d">
              <w:r>
                <w:rPr>
                  <w:rStyle w:val="InternetLink"/>
                  <w:rFonts w:ascii="Times New Roman;serif" w:hAnsi="Times New Roman;serif"/>
                  <w:b w:val="false"/>
                  <w:strike w:val="false"/>
                  <w:dstrike w:val="false"/>
                  <w:color w:val="000000"/>
                  <w:sz w:val="24"/>
                  <w:u w:val="none"/>
                  <w:effect w:val="none"/>
                </w:rPr>
                <w:t>-38-</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96a36fb70d0b46f8905ab378c6f889f9">
              <w:r>
                <w:rPr>
                  <w:rStyle w:val="InternetLink"/>
                  <w:rFonts w:ascii="Times New Roman;serif" w:hAnsi="Times New Roman;serif"/>
                  <w:b w:val="false"/>
                  <w:strike w:val="false"/>
                  <w:dstrike w:val="false"/>
                  <w:color w:val="000000"/>
                  <w:sz w:val="24"/>
                  <w:u w:val="none"/>
                  <w:effect w:val="none"/>
                </w:rPr>
                <w:t>Section 10.9.    Investments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6a36fb70d0b46f8905ab378c6f889f9">
              <w:r>
                <w:rPr>
                  <w:rStyle w:val="InternetLink"/>
                  <w:rFonts w:ascii="Times New Roman;serif" w:hAnsi="Times New Roman;serif"/>
                  <w:b w:val="false"/>
                  <w:strike w:val="false"/>
                  <w:dstrike w:val="false"/>
                  <w:color w:val="000000"/>
                  <w:sz w:val="24"/>
                  <w:u w:val="none"/>
                  <w:effect w:val="none"/>
                </w:rPr>
                <w:t>-40-</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2d2d7bb33b54537ad3c67e5927f940c">
              <w:r>
                <w:rPr>
                  <w:rStyle w:val="InternetLink"/>
                  <w:rFonts w:ascii="Times New Roman;serif" w:hAnsi="Times New Roman;serif"/>
                  <w:b w:val="false"/>
                  <w:strike w:val="false"/>
                  <w:dstrike w:val="false"/>
                  <w:color w:val="000000"/>
                  <w:sz w:val="24"/>
                  <w:u w:val="none"/>
                  <w:effect w:val="none"/>
                </w:rPr>
                <w:t>Section 10.10.    Priority Debt</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2d2d7bb33b54537ad3c67e5927f940c">
              <w:r>
                <w:rPr>
                  <w:rStyle w:val="InternetLink"/>
                  <w:rFonts w:ascii="Times New Roman;serif" w:hAnsi="Times New Roman;serif"/>
                  <w:b w:val="false"/>
                  <w:strike w:val="false"/>
                  <w:dstrike w:val="false"/>
                  <w:color w:val="000000"/>
                  <w:sz w:val="24"/>
                  <w:u w:val="none"/>
                  <w:effect w:val="none"/>
                </w:rPr>
                <w:t>-42-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9d4b95c0ffbe4e4ba0f5048354462452">
              <w:r>
                <w:rPr>
                  <w:rStyle w:val="InternetLink"/>
                  <w:rFonts w:ascii="Times New Roman;serif" w:hAnsi="Times New Roman;serif"/>
                  <w:b w:val="false"/>
                  <w:strike w:val="false"/>
                  <w:dstrike w:val="false"/>
                  <w:color w:val="000000"/>
                  <w:sz w:val="24"/>
                  <w:u w:val="none"/>
                  <w:effect w:val="none"/>
                </w:rPr>
                <w:t>Section 10.11.    Restricted Payments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d4b95c0ffbe4e4ba0f5048354462452">
              <w:r>
                <w:rPr>
                  <w:rStyle w:val="InternetLink"/>
                  <w:rFonts w:ascii="Times New Roman;serif" w:hAnsi="Times New Roman;serif"/>
                  <w:b w:val="false"/>
                  <w:strike w:val="false"/>
                  <w:dstrike w:val="false"/>
                  <w:color w:val="000000"/>
                  <w:sz w:val="24"/>
                  <w:u w:val="none"/>
                  <w:effect w:val="none"/>
                </w:rPr>
                <w:t>-42-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143e5671f4704664a3191bb64887eb1e">
              <w:r>
                <w:rPr>
                  <w:rStyle w:val="InternetLink"/>
                  <w:rFonts w:ascii="Times New Roman;serif" w:hAnsi="Times New Roman;serif"/>
                  <w:b w:val="false"/>
                  <w:strike w:val="false"/>
                  <w:dstrike w:val="false"/>
                  <w:color w:val="000000"/>
                  <w:sz w:val="24"/>
                  <w:u w:val="none"/>
                  <w:effect w:val="none"/>
                </w:rPr>
                <w:t>SECTION 11.    EVENTS OF DEFAULT.</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43e5671f4704664a3191bb64887eb1e">
              <w:r>
                <w:rPr>
                  <w:rStyle w:val="InternetLink"/>
                  <w:rFonts w:ascii="Times New Roman;serif" w:hAnsi="Times New Roman;serif"/>
                  <w:b w:val="false"/>
                  <w:strike w:val="false"/>
                  <w:dstrike w:val="false"/>
                  <w:color w:val="000000"/>
                  <w:sz w:val="24"/>
                  <w:u w:val="none"/>
                  <w:effect w:val="none"/>
                </w:rPr>
                <w:t>-43-</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009a676886bc459bb7b8d91c63ecce53">
              <w:r>
                <w:rPr>
                  <w:rStyle w:val="InternetLink"/>
                  <w:rFonts w:ascii="Times New Roman;serif" w:hAnsi="Times New Roman;serif"/>
                  <w:b w:val="false"/>
                  <w:strike w:val="false"/>
                  <w:dstrike w:val="false"/>
                  <w:color w:val="000000"/>
                  <w:sz w:val="24"/>
                  <w:u w:val="none"/>
                  <w:effect w:val="none"/>
                </w:rPr>
                <w:t>SECTION 12.    REMEDIES ON DEFAULT,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09a676886bc459bb7b8d91c63ecce53">
              <w:r>
                <w:rPr>
                  <w:rStyle w:val="InternetLink"/>
                  <w:rFonts w:ascii="Times New Roman;serif" w:hAnsi="Times New Roman;serif"/>
                  <w:b w:val="false"/>
                  <w:strike w:val="false"/>
                  <w:dstrike w:val="false"/>
                  <w:color w:val="000000"/>
                  <w:sz w:val="24"/>
                  <w:u w:val="none"/>
                  <w:effect w:val="none"/>
                </w:rPr>
                <w:t>-46-</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3b9d13d252e4533a686d7e2e9d0a01f">
              <w:r>
                <w:rPr>
                  <w:rStyle w:val="InternetLink"/>
                  <w:rFonts w:ascii="Times New Roman;serif" w:hAnsi="Times New Roman;serif"/>
                  <w:b w:val="false"/>
                  <w:strike w:val="false"/>
                  <w:dstrike w:val="false"/>
                  <w:color w:val="000000"/>
                  <w:sz w:val="24"/>
                  <w:u w:val="none"/>
                  <w:effect w:val="none"/>
                </w:rPr>
                <w:t>Section 12.1.    Acceleration</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3b9d13d252e4533a686d7e2e9d0a01f">
              <w:r>
                <w:rPr>
                  <w:rStyle w:val="InternetLink"/>
                  <w:rFonts w:ascii="Times New Roman;serif" w:hAnsi="Times New Roman;serif"/>
                  <w:b w:val="false"/>
                  <w:strike w:val="false"/>
                  <w:dstrike w:val="false"/>
                  <w:color w:val="000000"/>
                  <w:sz w:val="24"/>
                  <w:u w:val="none"/>
                  <w:effect w:val="none"/>
                </w:rPr>
                <w:t>-46-</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b9042f4631bb45508427ba4187989258">
              <w:r>
                <w:rPr>
                  <w:rStyle w:val="InternetLink"/>
                  <w:rFonts w:ascii="Times New Roman;serif" w:hAnsi="Times New Roman;serif"/>
                  <w:b w:val="false"/>
                  <w:strike w:val="false"/>
                  <w:dstrike w:val="false"/>
                  <w:color w:val="000000"/>
                  <w:sz w:val="24"/>
                  <w:u w:val="none"/>
                  <w:effect w:val="none"/>
                </w:rPr>
                <w:t>Section 12.2.    Other Remedies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b9042f4631bb45508427ba4187989258">
              <w:r>
                <w:rPr>
                  <w:rStyle w:val="InternetLink"/>
                  <w:rFonts w:ascii="Times New Roman;serif" w:hAnsi="Times New Roman;serif"/>
                  <w:b w:val="false"/>
                  <w:strike w:val="false"/>
                  <w:dstrike w:val="false"/>
                  <w:color w:val="000000"/>
                  <w:sz w:val="24"/>
                  <w:u w:val="none"/>
                  <w:effect w:val="none"/>
                </w:rPr>
                <w:t>-46-</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54038ebfe1e47e4a92f92cce789dbed">
              <w:r>
                <w:rPr>
                  <w:rStyle w:val="InternetLink"/>
                  <w:rFonts w:ascii="Times New Roman;serif" w:hAnsi="Times New Roman;serif"/>
                  <w:b w:val="false"/>
                  <w:strike w:val="false"/>
                  <w:dstrike w:val="false"/>
                  <w:color w:val="000000"/>
                  <w:sz w:val="24"/>
                  <w:u w:val="none"/>
                  <w:effect w:val="none"/>
                </w:rPr>
                <w:t>Section 12.3.    Rescission</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54038ebfe1e47e4a92f92cce789dbed">
              <w:r>
                <w:rPr>
                  <w:rStyle w:val="InternetLink"/>
                  <w:rFonts w:ascii="Times New Roman;serif" w:hAnsi="Times New Roman;serif"/>
                  <w:b w:val="false"/>
                  <w:strike w:val="false"/>
                  <w:dstrike w:val="false"/>
                  <w:color w:val="000000"/>
                  <w:sz w:val="24"/>
                  <w:u w:val="none"/>
                  <w:effect w:val="none"/>
                </w:rPr>
                <w:t>-47-</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674fc22691f4bedaf9a4d0f94300173">
              <w:r>
                <w:rPr>
                  <w:rStyle w:val="InternetLink"/>
                  <w:rFonts w:ascii="Times New Roman;serif" w:hAnsi="Times New Roman;serif"/>
                  <w:b w:val="false"/>
                  <w:strike w:val="false"/>
                  <w:dstrike w:val="false"/>
                  <w:color w:val="000000"/>
                  <w:sz w:val="24"/>
                  <w:u w:val="none"/>
                  <w:effect w:val="none"/>
                </w:rPr>
                <w:t>Section 12.4.    No Waivers or Election of Remedies, Expenses,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674fc22691f4bedaf9a4d0f94300173">
              <w:r>
                <w:rPr>
                  <w:rStyle w:val="InternetLink"/>
                  <w:rFonts w:ascii="Times New Roman;serif" w:hAnsi="Times New Roman;serif"/>
                  <w:b w:val="false"/>
                  <w:strike w:val="false"/>
                  <w:dstrike w:val="false"/>
                  <w:color w:val="000000"/>
                  <w:sz w:val="24"/>
                  <w:u w:val="none"/>
                  <w:effect w:val="none"/>
                </w:rPr>
                <w:t>-47-</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140b4d50cce84201846ee700956c8b1d">
              <w:r>
                <w:rPr>
                  <w:rStyle w:val="InternetLink"/>
                  <w:rFonts w:ascii="Times New Roman;serif" w:hAnsi="Times New Roman;serif"/>
                  <w:b w:val="false"/>
                  <w:strike w:val="false"/>
                  <w:dstrike w:val="false"/>
                  <w:color w:val="000000"/>
                  <w:sz w:val="24"/>
                  <w:u w:val="none"/>
                  <w:effect w:val="none"/>
                </w:rPr>
                <w:t>SECTION 13.    REGISTRATION; EXCHANGE; SUBSTITUTION OF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140b4d50cce84201846ee700956c8b1d">
              <w:r>
                <w:rPr>
                  <w:rStyle w:val="InternetLink"/>
                  <w:rFonts w:ascii="Times New Roman;serif" w:hAnsi="Times New Roman;serif"/>
                  <w:b w:val="false"/>
                  <w:strike w:val="false"/>
                  <w:dstrike w:val="false"/>
                  <w:color w:val="000000"/>
                  <w:sz w:val="24"/>
                  <w:u w:val="none"/>
                  <w:effect w:val="none"/>
                </w:rPr>
                <w:t>-47-</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ee2b1536cae24911b191678814032538">
              <w:r>
                <w:rPr>
                  <w:rStyle w:val="InternetLink"/>
                  <w:rFonts w:ascii="Times New Roman;serif" w:hAnsi="Times New Roman;serif"/>
                  <w:b w:val="false"/>
                  <w:strike w:val="false"/>
                  <w:dstrike w:val="false"/>
                  <w:color w:val="000000"/>
                  <w:sz w:val="24"/>
                  <w:u w:val="none"/>
                  <w:effect w:val="none"/>
                </w:rPr>
                <w:t>Section 13.1.    Registration of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ee2b1536cae24911b191678814032538">
              <w:r>
                <w:rPr>
                  <w:rStyle w:val="InternetLink"/>
                  <w:rFonts w:ascii="Times New Roman;serif" w:hAnsi="Times New Roman;serif"/>
                  <w:b w:val="false"/>
                  <w:strike w:val="false"/>
                  <w:dstrike w:val="false"/>
                  <w:color w:val="000000"/>
                  <w:sz w:val="24"/>
                  <w:u w:val="none"/>
                  <w:effect w:val="none"/>
                </w:rPr>
                <w:t>-47-</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4642356f174482f9652f2e0d3306667">
              <w:r>
                <w:rPr>
                  <w:rStyle w:val="InternetLink"/>
                  <w:rFonts w:ascii="Times New Roman;serif" w:hAnsi="Times New Roman;serif"/>
                  <w:b w:val="false"/>
                  <w:strike w:val="false"/>
                  <w:dstrike w:val="false"/>
                  <w:color w:val="000000"/>
                  <w:sz w:val="24"/>
                  <w:u w:val="none"/>
                  <w:effect w:val="none"/>
                </w:rPr>
                <w:t>Section 13.2.    Transfer and Exchange of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4642356f174482f9652f2e0d3306667">
              <w:r>
                <w:rPr>
                  <w:rStyle w:val="InternetLink"/>
                  <w:rFonts w:ascii="Times New Roman;serif" w:hAnsi="Times New Roman;serif"/>
                  <w:b w:val="false"/>
                  <w:strike w:val="false"/>
                  <w:dstrike w:val="false"/>
                  <w:color w:val="000000"/>
                  <w:sz w:val="24"/>
                  <w:u w:val="none"/>
                  <w:effect w:val="none"/>
                </w:rPr>
                <w:t>-47-</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60f4df4617a4f6c90e771e01cc163a5">
              <w:r>
                <w:rPr>
                  <w:rStyle w:val="InternetLink"/>
                  <w:rFonts w:ascii="Times New Roman;serif" w:hAnsi="Times New Roman;serif"/>
                  <w:b w:val="false"/>
                  <w:strike w:val="false"/>
                  <w:dstrike w:val="false"/>
                  <w:color w:val="000000"/>
                  <w:sz w:val="24"/>
                  <w:u w:val="none"/>
                  <w:effect w:val="none"/>
                </w:rPr>
                <w:t>Section 13.3.    Replacement of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60f4df4617a4f6c90e771e01cc163a5">
              <w:r>
                <w:rPr>
                  <w:rStyle w:val="InternetLink"/>
                  <w:rFonts w:ascii="Times New Roman;serif" w:hAnsi="Times New Roman;serif"/>
                  <w:b w:val="false"/>
                  <w:strike w:val="false"/>
                  <w:dstrike w:val="false"/>
                  <w:color w:val="000000"/>
                  <w:sz w:val="24"/>
                  <w:u w:val="none"/>
                  <w:effect w:val="none"/>
                </w:rPr>
                <w:t>-48-</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0a90963711bf4fbca69e796c73a055ec">
              <w:r>
                <w:rPr>
                  <w:rStyle w:val="InternetLink"/>
                  <w:rFonts w:ascii="Times New Roman;serif" w:hAnsi="Times New Roman;serif"/>
                  <w:b w:val="false"/>
                  <w:strike w:val="false"/>
                  <w:dstrike w:val="false"/>
                  <w:color w:val="000000"/>
                  <w:sz w:val="24"/>
                  <w:u w:val="none"/>
                  <w:effect w:val="none"/>
                </w:rPr>
                <w:t>SECTION 14.    PAYMENTS ON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a90963711bf4fbca69e796c73a055ec">
              <w:r>
                <w:rPr>
                  <w:rStyle w:val="InternetLink"/>
                  <w:rFonts w:ascii="Times New Roman;serif" w:hAnsi="Times New Roman;serif"/>
                  <w:b w:val="false"/>
                  <w:strike w:val="false"/>
                  <w:dstrike w:val="false"/>
                  <w:color w:val="000000"/>
                  <w:sz w:val="24"/>
                  <w:u w:val="none"/>
                  <w:effect w:val="none"/>
                </w:rPr>
                <w:t>-48-</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cd0cddc53f7247c6b923d9e44bd5b4a9">
              <w:r>
                <w:rPr>
                  <w:rStyle w:val="InternetLink"/>
                  <w:rFonts w:ascii="Times New Roman;serif" w:hAnsi="Times New Roman;serif"/>
                  <w:b w:val="false"/>
                  <w:strike w:val="false"/>
                  <w:dstrike w:val="false"/>
                  <w:color w:val="000000"/>
                  <w:sz w:val="24"/>
                  <w:u w:val="none"/>
                  <w:effect w:val="none"/>
                </w:rPr>
                <w:t>Section 14.1.    Place of Payment</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cd0cddc53f7247c6b923d9e44bd5b4a9">
              <w:r>
                <w:rPr>
                  <w:rStyle w:val="InternetLink"/>
                  <w:rFonts w:ascii="Times New Roman;serif" w:hAnsi="Times New Roman;serif"/>
                  <w:b w:val="false"/>
                  <w:strike w:val="false"/>
                  <w:dstrike w:val="false"/>
                  <w:color w:val="000000"/>
                  <w:sz w:val="24"/>
                  <w:u w:val="none"/>
                  <w:effect w:val="none"/>
                </w:rPr>
                <w:t>-48-</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4f1627348534d929dc810d233232798">
              <w:r>
                <w:rPr>
                  <w:rStyle w:val="InternetLink"/>
                  <w:rFonts w:ascii="Times New Roman;serif" w:hAnsi="Times New Roman;serif"/>
                  <w:b w:val="false"/>
                  <w:strike w:val="false"/>
                  <w:dstrike w:val="false"/>
                  <w:color w:val="000000"/>
                  <w:sz w:val="24"/>
                  <w:u w:val="none"/>
                  <w:effect w:val="none"/>
                </w:rPr>
                <w:t>Section 14.2.    Payment by Wire Transfer</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4f1627348534d929dc810d233232798">
              <w:r>
                <w:rPr>
                  <w:rStyle w:val="InternetLink"/>
                  <w:rFonts w:ascii="Times New Roman;serif" w:hAnsi="Times New Roman;serif"/>
                  <w:b w:val="false"/>
                  <w:strike w:val="false"/>
                  <w:dstrike w:val="false"/>
                  <w:color w:val="000000"/>
                  <w:sz w:val="24"/>
                  <w:u w:val="none"/>
                  <w:effect w:val="none"/>
                </w:rPr>
                <w:t>-49-</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aea3b361fa14bf68edbab43e4bf2a94">
              <w:r>
                <w:rPr>
                  <w:rStyle w:val="InternetLink"/>
                  <w:rFonts w:ascii="Times New Roman;serif" w:hAnsi="Times New Roman;serif"/>
                  <w:b w:val="false"/>
                  <w:strike w:val="false"/>
                  <w:dstrike w:val="false"/>
                  <w:color w:val="000000"/>
                  <w:sz w:val="24"/>
                  <w:u w:val="none"/>
                  <w:effect w:val="none"/>
                </w:rPr>
                <w:t>Section 14.3.    FATCA Information</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aea3b361fa14bf68edbab43e4bf2a94">
              <w:r>
                <w:rPr>
                  <w:rStyle w:val="InternetLink"/>
                  <w:rFonts w:ascii="Times New Roman;serif" w:hAnsi="Times New Roman;serif"/>
                  <w:b w:val="false"/>
                  <w:strike w:val="false"/>
                  <w:dstrike w:val="false"/>
                  <w:color w:val="000000"/>
                  <w:sz w:val="24"/>
                  <w:u w:val="none"/>
                  <w:effect w:val="none"/>
                </w:rPr>
                <w:t>-49-</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39e95a92b85d46e89cd8df093b9ab29c">
              <w:r>
                <w:rPr>
                  <w:rStyle w:val="InternetLink"/>
                  <w:rFonts w:ascii="Times New Roman;serif" w:hAnsi="Times New Roman;serif"/>
                  <w:b w:val="false"/>
                  <w:strike w:val="false"/>
                  <w:dstrike w:val="false"/>
                  <w:color w:val="000000"/>
                  <w:sz w:val="24"/>
                  <w:u w:val="none"/>
                  <w:effect w:val="none"/>
                </w:rPr>
                <w:t>SECTION 15.    EXPENSES,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9e95a92b85d46e89cd8df093b9ab29c">
              <w:r>
                <w:rPr>
                  <w:rStyle w:val="InternetLink"/>
                  <w:rFonts w:ascii="Times New Roman;serif" w:hAnsi="Times New Roman;serif"/>
                  <w:b w:val="false"/>
                  <w:strike w:val="false"/>
                  <w:dstrike w:val="false"/>
                  <w:color w:val="000000"/>
                  <w:sz w:val="24"/>
                  <w:u w:val="none"/>
                  <w:effect w:val="none"/>
                </w:rPr>
                <w:t>-49-</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034fb05fff934d6aa91088acc8369cb5">
              <w:r>
                <w:rPr>
                  <w:rStyle w:val="InternetLink"/>
                  <w:rFonts w:ascii="Times New Roman;serif" w:hAnsi="Times New Roman;serif"/>
                  <w:b w:val="false"/>
                  <w:strike w:val="false"/>
                  <w:dstrike w:val="false"/>
                  <w:color w:val="000000"/>
                  <w:sz w:val="24"/>
                  <w:u w:val="none"/>
                  <w:effect w:val="none"/>
                </w:rPr>
                <w:t>Section 15.1.    Transaction Expenses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034fb05fff934d6aa91088acc8369cb5">
              <w:r>
                <w:rPr>
                  <w:rStyle w:val="InternetLink"/>
                  <w:rFonts w:ascii="Times New Roman;serif" w:hAnsi="Times New Roman;serif"/>
                  <w:b w:val="false"/>
                  <w:strike w:val="false"/>
                  <w:dstrike w:val="false"/>
                  <w:color w:val="000000"/>
                  <w:sz w:val="24"/>
                  <w:u w:val="none"/>
                  <w:effect w:val="none"/>
                </w:rPr>
                <w:t>-49-</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d20d3cfb9b054dbba1f2d19a432a5ea6">
              <w:r>
                <w:rPr>
                  <w:rStyle w:val="InternetLink"/>
                  <w:rFonts w:ascii="Times New Roman;serif" w:hAnsi="Times New Roman;serif"/>
                  <w:b w:val="false"/>
                  <w:strike w:val="false"/>
                  <w:dstrike w:val="false"/>
                  <w:color w:val="000000"/>
                  <w:sz w:val="24"/>
                  <w:u w:val="none"/>
                  <w:effect w:val="none"/>
                </w:rPr>
                <w:t>Section 15.2.    Certain Taxes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d20d3cfb9b054dbba1f2d19a432a5ea6">
              <w:r>
                <w:rPr>
                  <w:rStyle w:val="InternetLink"/>
                  <w:rFonts w:ascii="Times New Roman;serif" w:hAnsi="Times New Roman;serif"/>
                  <w:b w:val="false"/>
                  <w:strike w:val="false"/>
                  <w:dstrike w:val="false"/>
                  <w:color w:val="000000"/>
                  <w:sz w:val="24"/>
                  <w:u w:val="none"/>
                  <w:effect w:val="none"/>
                </w:rPr>
                <w:t>-50-</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884b19f9742f47b48160aae85de10376">
              <w:r>
                <w:rPr>
                  <w:rStyle w:val="InternetLink"/>
                  <w:rFonts w:ascii="Times New Roman;serif" w:hAnsi="Times New Roman;serif"/>
                  <w:b w:val="false"/>
                  <w:strike w:val="false"/>
                  <w:dstrike w:val="false"/>
                  <w:color w:val="000000"/>
                  <w:sz w:val="24"/>
                  <w:u w:val="none"/>
                  <w:effect w:val="none"/>
                </w:rPr>
                <w:t>Section 15.3.    Survival</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884b19f9742f47b48160aae85de10376">
              <w:r>
                <w:rPr>
                  <w:rStyle w:val="InternetLink"/>
                  <w:rFonts w:ascii="Times New Roman;serif" w:hAnsi="Times New Roman;serif"/>
                  <w:b w:val="false"/>
                  <w:strike w:val="false"/>
                  <w:dstrike w:val="false"/>
                  <w:color w:val="000000"/>
                  <w:sz w:val="24"/>
                  <w:u w:val="none"/>
                  <w:effect w:val="none"/>
                </w:rPr>
                <w:t>-50-</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6645927747e548aea1bcde5ed1925995">
              <w:r>
                <w:rPr>
                  <w:rStyle w:val="InternetLink"/>
                  <w:rFonts w:ascii="Times New Roman;serif" w:hAnsi="Times New Roman;serif"/>
                  <w:b w:val="false"/>
                  <w:strike w:val="false"/>
                  <w:dstrike w:val="false"/>
                  <w:color w:val="000000"/>
                  <w:sz w:val="24"/>
                  <w:u w:val="none"/>
                  <w:effect w:val="none"/>
                </w:rPr>
                <w:t>SECTION 16.    SURVIVAL OF REPRESENTATIONS AND WARRANTIES; ENTIRE AGREEMENT.</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645927747e548aea1bcde5ed1925995">
              <w:r>
                <w:rPr>
                  <w:rStyle w:val="InternetLink"/>
                  <w:rFonts w:ascii="Times New Roman;serif" w:hAnsi="Times New Roman;serif"/>
                  <w:b w:val="false"/>
                  <w:strike w:val="false"/>
                  <w:dstrike w:val="false"/>
                  <w:color w:val="000000"/>
                  <w:sz w:val="24"/>
                  <w:u w:val="none"/>
                  <w:effect w:val="none"/>
                </w:rPr>
                <w:t>-50-</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26a8959ec3b74d0cb763e5404f566cad">
              <w:r>
                <w:rPr>
                  <w:rStyle w:val="InternetLink"/>
                  <w:rFonts w:ascii="Times New Roman;serif" w:hAnsi="Times New Roman;serif"/>
                  <w:b w:val="false"/>
                  <w:strike w:val="false"/>
                  <w:dstrike w:val="false"/>
                  <w:color w:val="000000"/>
                  <w:sz w:val="24"/>
                  <w:u w:val="none"/>
                  <w:effect w:val="none"/>
                </w:rPr>
                <w:t>SECTION 17.    AMENDMENT AND WAIVER.</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6a8959ec3b74d0cb763e5404f566cad">
              <w:r>
                <w:rPr>
                  <w:rStyle w:val="InternetLink"/>
                  <w:rFonts w:ascii="Times New Roman;serif" w:hAnsi="Times New Roman;serif"/>
                  <w:b w:val="false"/>
                  <w:strike w:val="false"/>
                  <w:dstrike w:val="false"/>
                  <w:color w:val="000000"/>
                  <w:sz w:val="24"/>
                  <w:u w:val="none"/>
                  <w:effect w:val="none"/>
                </w:rPr>
                <w:t>-51-</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23067ba1c8104e2681b9437ede313040">
              <w:r>
                <w:rPr>
                  <w:rStyle w:val="InternetLink"/>
                  <w:rFonts w:ascii="Times New Roman;serif" w:hAnsi="Times New Roman;serif"/>
                  <w:b w:val="false"/>
                  <w:strike w:val="false"/>
                  <w:dstrike w:val="false"/>
                  <w:color w:val="000000"/>
                  <w:sz w:val="24"/>
                  <w:u w:val="none"/>
                  <w:effect w:val="none"/>
                </w:rPr>
                <w:t>Section 17.1.    Requirements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23067ba1c8104e2681b9437ede313040">
              <w:r>
                <w:rPr>
                  <w:rStyle w:val="InternetLink"/>
                  <w:rFonts w:ascii="Times New Roman;serif" w:hAnsi="Times New Roman;serif"/>
                  <w:b w:val="false"/>
                  <w:strike w:val="false"/>
                  <w:dstrike w:val="false"/>
                  <w:color w:val="000000"/>
                  <w:sz w:val="24"/>
                  <w:u w:val="none"/>
                  <w:effect w:val="none"/>
                </w:rPr>
                <w:t>-51-</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3dff4016587c4de7b9c32098093a29dc">
              <w:r>
                <w:rPr>
                  <w:rStyle w:val="InternetLink"/>
                  <w:rFonts w:ascii="Times New Roman;serif" w:hAnsi="Times New Roman;serif"/>
                  <w:b w:val="false"/>
                  <w:strike w:val="false"/>
                  <w:dstrike w:val="false"/>
                  <w:color w:val="000000"/>
                  <w:sz w:val="24"/>
                  <w:u w:val="none"/>
                  <w:effect w:val="none"/>
                </w:rPr>
                <w:t>Section 17.2.    Solicitation of Holders of Notes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dff4016587c4de7b9c32098093a29dc">
              <w:r>
                <w:rPr>
                  <w:rStyle w:val="InternetLink"/>
                  <w:rFonts w:ascii="Times New Roman;serif" w:hAnsi="Times New Roman;serif"/>
                  <w:b w:val="false"/>
                  <w:strike w:val="false"/>
                  <w:dstrike w:val="false"/>
                  <w:color w:val="000000"/>
                  <w:sz w:val="24"/>
                  <w:u w:val="none"/>
                  <w:effect w:val="none"/>
                </w:rPr>
                <w:t>-51-</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85f819da702842f1b57e43a2703dbce1">
              <w:r>
                <w:rPr>
                  <w:rStyle w:val="InternetLink"/>
                  <w:rFonts w:ascii="Times New Roman;serif" w:hAnsi="Times New Roman;serif"/>
                  <w:b w:val="false"/>
                  <w:strike w:val="false"/>
                  <w:dstrike w:val="false"/>
                  <w:color w:val="000000"/>
                  <w:sz w:val="24"/>
                  <w:u w:val="none"/>
                  <w:effect w:val="none"/>
                </w:rPr>
                <w:t>Section 17.3.    Binding Effect,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85f819da702842f1b57e43a2703dbce1">
              <w:r>
                <w:rPr>
                  <w:rStyle w:val="InternetLink"/>
                  <w:rFonts w:ascii="Times New Roman;serif" w:hAnsi="Times New Roman;serif"/>
                  <w:b w:val="false"/>
                  <w:strike w:val="false"/>
                  <w:dstrike w:val="false"/>
                  <w:color w:val="000000"/>
                  <w:sz w:val="24"/>
                  <w:u w:val="none"/>
                  <w:effect w:val="none"/>
                </w:rPr>
                <w:t>-52-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67be242566a74776bde8df2a81969fc0">
              <w:r>
                <w:rPr>
                  <w:rStyle w:val="InternetLink"/>
                  <w:rFonts w:ascii="Times New Roman;serif" w:hAnsi="Times New Roman;serif"/>
                  <w:b w:val="false"/>
                  <w:strike w:val="false"/>
                  <w:dstrike w:val="false"/>
                  <w:color w:val="000000"/>
                  <w:sz w:val="24"/>
                  <w:u w:val="none"/>
                  <w:effect w:val="none"/>
                </w:rPr>
                <w:t>Section 17.4.    Notes Held by Company, Etc</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7be242566a74776bde8df2a81969fc0">
              <w:r>
                <w:rPr>
                  <w:rStyle w:val="InternetLink"/>
                  <w:rFonts w:ascii="Times New Roman;serif" w:hAnsi="Times New Roman;serif"/>
                  <w:b w:val="false"/>
                  <w:strike w:val="false"/>
                  <w:dstrike w:val="false"/>
                  <w:color w:val="000000"/>
                  <w:sz w:val="24"/>
                  <w:u w:val="none"/>
                  <w:effect w:val="none"/>
                </w:rPr>
                <w:t>-52-</w:t>
              </w:r>
            </w:hyperlink>
          </w:p>
        </w:tc>
      </w:tr>
      <w:tr>
        <w:trPr/>
        <w:tc>
          <w:tcPr>
            <w:tcW w:w="9672"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6c3d0448f546489ea3b1ce76d9eb241f">
              <w:r>
                <w:rPr>
                  <w:rStyle w:val="InternetLink"/>
                  <w:rFonts w:ascii="Times New Roman;serif" w:hAnsi="Times New Roman;serif"/>
                  <w:b w:val="false"/>
                  <w:strike w:val="false"/>
                  <w:dstrike w:val="false"/>
                  <w:color w:val="000000"/>
                  <w:sz w:val="24"/>
                  <w:u w:val="none"/>
                  <w:effect w:val="none"/>
                </w:rPr>
                <w:t>SECTION 18.    NOTICES.</w:t>
              </w:r>
            </w:hyperlink>
          </w:p>
        </w:tc>
        <w:tc>
          <w:tcPr>
            <w:tcW w:w="533"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6c3d0448f546489ea3b1ce76d9eb241f">
              <w:r>
                <w:rPr>
                  <w:rStyle w:val="InternetLink"/>
                  <w:rFonts w:ascii="Times New Roman;serif" w:hAnsi="Times New Roman;serif"/>
                  <w:b w:val="false"/>
                  <w:strike w:val="false"/>
                  <w:dstrike w:val="false"/>
                  <w:color w:val="000000"/>
                  <w:sz w:val="24"/>
                  <w:u w:val="none"/>
                  <w:effect w:val="none"/>
                </w:rPr>
                <w:t>-52-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6449" w:type="dxa"/>
        <w:jc w:val="left"/>
        <w:tblInd w:w="0" w:type="dxa"/>
        <w:tblLayout w:type="fixed"/>
        <w:tblCellMar>
          <w:top w:w="28" w:type="dxa"/>
          <w:left w:w="28" w:type="dxa"/>
          <w:bottom w:w="28" w:type="dxa"/>
          <w:right w:w="28" w:type="dxa"/>
        </w:tblCellMar>
      </w:tblPr>
      <w:tblGrid>
        <w:gridCol w:w="2142"/>
        <w:gridCol w:w="1883"/>
        <w:gridCol w:w="1885"/>
        <w:gridCol w:w="157"/>
        <w:gridCol w:w="157"/>
        <w:gridCol w:w="225"/>
      </w:tblGrid>
      <w:tr>
        <w:trPr/>
        <w:tc>
          <w:tcPr>
            <w:tcW w:w="214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977a980c9c58448eaee06aefdcb9bcf4">
              <w:r>
                <w:rPr>
                  <w:rStyle w:val="InternetLink"/>
                  <w:rFonts w:ascii="Times New Roman;serif" w:hAnsi="Times New Roman;serif"/>
                  <w:b w:val="false"/>
                  <w:strike w:val="false"/>
                  <w:dstrike w:val="false"/>
                  <w:color w:val="000000"/>
                  <w:sz w:val="24"/>
                  <w:u w:val="none"/>
                  <w:effect w:val="none"/>
                </w:rPr>
                <w:t>SECTION 19.    REPRODUCTION OF DOCUMENTS.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977a980c9c58448eaee06aefdcb9bcf4">
              <w:r>
                <w:rPr>
                  <w:rStyle w:val="InternetLink"/>
                  <w:rFonts w:ascii="Times New Roman;serif" w:hAnsi="Times New Roman;serif"/>
                  <w:b w:val="false"/>
                  <w:strike w:val="false"/>
                  <w:dstrike w:val="false"/>
                  <w:color w:val="000000"/>
                  <w:sz w:val="24"/>
                  <w:u w:val="none"/>
                  <w:effect w:val="none"/>
                </w:rPr>
                <w:t>-53-</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7ab2dacf8db14b4ab4811c6c065c2f6c">
              <w:r>
                <w:rPr>
                  <w:rStyle w:val="InternetLink"/>
                  <w:rFonts w:ascii="Times New Roman;serif" w:hAnsi="Times New Roman;serif"/>
                  <w:b w:val="false"/>
                  <w:strike w:val="false"/>
                  <w:dstrike w:val="false"/>
                  <w:color w:val="000000"/>
                  <w:sz w:val="24"/>
                  <w:u w:val="none"/>
                  <w:effect w:val="none"/>
                </w:rPr>
                <w:t>SECTION 20.    CONFIDENTIAL INFORMATION.</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ab2dacf8db14b4ab4811c6c065c2f6c">
              <w:r>
                <w:rPr>
                  <w:rStyle w:val="InternetLink"/>
                  <w:rFonts w:ascii="Times New Roman;serif" w:hAnsi="Times New Roman;serif"/>
                  <w:b w:val="false"/>
                  <w:strike w:val="false"/>
                  <w:dstrike w:val="false"/>
                  <w:color w:val="000000"/>
                  <w:sz w:val="24"/>
                  <w:u w:val="none"/>
                  <w:effect w:val="none"/>
                </w:rPr>
                <w:t>-53-</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371d2ea311b0460f913740ec7c6975d0">
              <w:r>
                <w:rPr>
                  <w:rStyle w:val="InternetLink"/>
                  <w:rFonts w:ascii="Times New Roman;serif" w:hAnsi="Times New Roman;serif"/>
                  <w:b w:val="false"/>
                  <w:strike w:val="false"/>
                  <w:dstrike w:val="false"/>
                  <w:color w:val="000000"/>
                  <w:sz w:val="24"/>
                  <w:u w:val="none"/>
                  <w:effect w:val="none"/>
                </w:rPr>
                <w:t>SECTION 21.    SUBSTITUTION OF PURCHASER.</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371d2ea311b0460f913740ec7c6975d0">
              <w:r>
                <w:rPr>
                  <w:rStyle w:val="InternetLink"/>
                  <w:rFonts w:ascii="Times New Roman;serif" w:hAnsi="Times New Roman;serif"/>
                  <w:b w:val="false"/>
                  <w:strike w:val="false"/>
                  <w:dstrike w:val="false"/>
                  <w:color w:val="000000"/>
                  <w:sz w:val="24"/>
                  <w:u w:val="none"/>
                  <w:effect w:val="none"/>
                </w:rPr>
                <w:t>-55-</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jc w:val="left"/>
              <w:rPr/>
            </w:pPr>
            <w:hyperlink w:anchor="ifdf8e51e0c8c4f2c95f167337148559e">
              <w:r>
                <w:rPr>
                  <w:rStyle w:val="InternetLink"/>
                  <w:rFonts w:ascii="Times New Roman;serif" w:hAnsi="Times New Roman;serif"/>
                  <w:b w:val="false"/>
                  <w:strike w:val="false"/>
                  <w:dstrike w:val="false"/>
                  <w:color w:val="000000"/>
                  <w:sz w:val="24"/>
                  <w:u w:val="none"/>
                  <w:effect w:val="none"/>
                </w:rPr>
                <w:t>SECTION 22.    MISCELLANEOUS.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df8e51e0c8c4f2c95f167337148559e">
              <w:r>
                <w:rPr>
                  <w:rStyle w:val="InternetLink"/>
                  <w:rFonts w:ascii="Times New Roman;serif" w:hAnsi="Times New Roman;serif"/>
                  <w:b w:val="false"/>
                  <w:strike w:val="false"/>
                  <w:dstrike w:val="false"/>
                  <w:color w:val="000000"/>
                  <w:sz w:val="24"/>
                  <w:u w:val="none"/>
                  <w:effect w:val="none"/>
                </w:rPr>
                <w:t>-55-</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d9bce6e5a074bf7b95e5c5b519b2726">
              <w:r>
                <w:rPr>
                  <w:rStyle w:val="InternetLink"/>
                  <w:rFonts w:ascii="Times New Roman;serif" w:hAnsi="Times New Roman;serif"/>
                  <w:b w:val="false"/>
                  <w:strike w:val="false"/>
                  <w:dstrike w:val="false"/>
                  <w:color w:val="000000"/>
                  <w:sz w:val="24"/>
                  <w:u w:val="none"/>
                  <w:effect w:val="none"/>
                </w:rPr>
                <w:t>Section 22.1.    Successors and Assigns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d9bce6e5a074bf7b95e5c5b519b2726">
              <w:r>
                <w:rPr>
                  <w:rStyle w:val="InternetLink"/>
                  <w:rFonts w:ascii="Times New Roman;serif" w:hAnsi="Times New Roman;serif"/>
                  <w:b w:val="false"/>
                  <w:strike w:val="false"/>
                  <w:dstrike w:val="false"/>
                  <w:color w:val="000000"/>
                  <w:sz w:val="24"/>
                  <w:u w:val="none"/>
                  <w:effect w:val="none"/>
                </w:rPr>
                <w:t>-55-</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512095e91afc496689f14c4412bb7dee">
              <w:r>
                <w:rPr>
                  <w:rStyle w:val="InternetLink"/>
                  <w:rFonts w:ascii="Times New Roman;serif" w:hAnsi="Times New Roman;serif"/>
                  <w:b w:val="false"/>
                  <w:strike w:val="false"/>
                  <w:dstrike w:val="false"/>
                  <w:color w:val="000000"/>
                  <w:sz w:val="24"/>
                  <w:u w:val="none"/>
                  <w:effect w:val="none"/>
                </w:rPr>
                <w:t>Section 22.2.    Accounting Terms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512095e91afc496689f14c4412bb7dee">
              <w:r>
                <w:rPr>
                  <w:rStyle w:val="InternetLink"/>
                  <w:rFonts w:ascii="Times New Roman;serif" w:hAnsi="Times New Roman;serif"/>
                  <w:b w:val="false"/>
                  <w:strike w:val="false"/>
                  <w:dstrike w:val="false"/>
                  <w:color w:val="000000"/>
                  <w:sz w:val="24"/>
                  <w:u w:val="none"/>
                  <w:effect w:val="none"/>
                </w:rPr>
                <w:t>-55-</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77b9714f17ec458592dd8f07b752a511">
              <w:r>
                <w:rPr>
                  <w:rStyle w:val="InternetLink"/>
                  <w:rFonts w:ascii="Times New Roman;serif" w:hAnsi="Times New Roman;serif"/>
                  <w:b w:val="false"/>
                  <w:strike w:val="false"/>
                  <w:dstrike w:val="false"/>
                  <w:color w:val="000000"/>
                  <w:sz w:val="24"/>
                  <w:u w:val="none"/>
                  <w:effect w:val="none"/>
                </w:rPr>
                <w:t>Section 22.3.    Severability</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77b9714f17ec458592dd8f07b752a511">
              <w:r>
                <w:rPr>
                  <w:rStyle w:val="InternetLink"/>
                  <w:rFonts w:ascii="Times New Roman;serif" w:hAnsi="Times New Roman;serif"/>
                  <w:b w:val="false"/>
                  <w:strike w:val="false"/>
                  <w:dstrike w:val="false"/>
                  <w:color w:val="000000"/>
                  <w:sz w:val="24"/>
                  <w:u w:val="none"/>
                  <w:effect w:val="none"/>
                </w:rPr>
                <w:t>-56-</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c74f0feea504403e9944939e6aaaafbc">
              <w:r>
                <w:rPr>
                  <w:rStyle w:val="InternetLink"/>
                  <w:rFonts w:ascii="Times New Roman;serif" w:hAnsi="Times New Roman;serif"/>
                  <w:b w:val="false"/>
                  <w:strike w:val="false"/>
                  <w:dstrike w:val="false"/>
                  <w:color w:val="000000"/>
                  <w:sz w:val="24"/>
                  <w:u w:val="none"/>
                  <w:effect w:val="none"/>
                </w:rPr>
                <w:t>Section 22.4.    Construction, Etc</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c74f0feea504403e9944939e6aaaafbc">
              <w:r>
                <w:rPr>
                  <w:rStyle w:val="InternetLink"/>
                  <w:rFonts w:ascii="Times New Roman;serif" w:hAnsi="Times New Roman;serif"/>
                  <w:b w:val="false"/>
                  <w:strike w:val="false"/>
                  <w:dstrike w:val="false"/>
                  <w:color w:val="000000"/>
                  <w:sz w:val="24"/>
                  <w:u w:val="none"/>
                  <w:effect w:val="none"/>
                </w:rPr>
                <w:t>-56-</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a3e813043ad940d7891556050063a3ec">
              <w:r>
                <w:rPr>
                  <w:rStyle w:val="InternetLink"/>
                  <w:rFonts w:ascii="Times New Roman;serif" w:hAnsi="Times New Roman;serif"/>
                  <w:b w:val="false"/>
                  <w:strike w:val="false"/>
                  <w:dstrike w:val="false"/>
                  <w:color w:val="000000"/>
                  <w:sz w:val="24"/>
                  <w:u w:val="none"/>
                  <w:effect w:val="none"/>
                </w:rPr>
                <w:t>Section 22.5.    Counterparts</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a3e813043ad940d7891556050063a3ec">
              <w:r>
                <w:rPr>
                  <w:rStyle w:val="InternetLink"/>
                  <w:rFonts w:ascii="Times New Roman;serif" w:hAnsi="Times New Roman;serif"/>
                  <w:b w:val="false"/>
                  <w:strike w:val="false"/>
                  <w:dstrike w:val="false"/>
                  <w:color w:val="000000"/>
                  <w:sz w:val="24"/>
                  <w:u w:val="none"/>
                  <w:effect w:val="none"/>
                </w:rPr>
                <w:t>-57-</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cf2bc0459aed47e6a160d8ed5cc3b76d">
              <w:r>
                <w:rPr>
                  <w:rStyle w:val="InternetLink"/>
                  <w:rFonts w:ascii="Times New Roman;serif" w:hAnsi="Times New Roman;serif"/>
                  <w:b w:val="false"/>
                  <w:strike w:val="false"/>
                  <w:dstrike w:val="false"/>
                  <w:color w:val="000000"/>
                  <w:sz w:val="24"/>
                  <w:u w:val="none"/>
                  <w:effect w:val="none"/>
                </w:rPr>
                <w:t>Section 22.6.    Governing Law</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cf2bc0459aed47e6a160d8ed5cc3b76d">
              <w:r>
                <w:rPr>
                  <w:rStyle w:val="InternetLink"/>
                  <w:rFonts w:ascii="Times New Roman;serif" w:hAnsi="Times New Roman;serif"/>
                  <w:b w:val="false"/>
                  <w:strike w:val="false"/>
                  <w:dstrike w:val="false"/>
                  <w:color w:val="000000"/>
                  <w:sz w:val="24"/>
                  <w:u w:val="none"/>
                  <w:effect w:val="none"/>
                </w:rPr>
                <w:t>-57-</w:t>
              </w:r>
            </w:hyperlink>
          </w:p>
        </w:tc>
      </w:tr>
      <w:tr>
        <w:trPr/>
        <w:tc>
          <w:tcPr>
            <w:tcW w:w="5910" w:type="dxa"/>
            <w:gridSpan w:val="3"/>
            <w:tcBorders/>
            <w:tcMar>
              <w:top w:w="0" w:type="dxa"/>
              <w:left w:w="0" w:type="dxa"/>
              <w:bottom w:w="0" w:type="dxa"/>
              <w:right w:w="0" w:type="dxa"/>
            </w:tcMar>
            <w:vAlign w:val="center"/>
          </w:tcPr>
          <w:p>
            <w:pPr>
              <w:pStyle w:val="TableContents"/>
              <w:bidi w:val="0"/>
              <w:spacing w:lineRule="auto" w:line="278" w:before="0" w:after="0"/>
              <w:ind w:left="0" w:right="0" w:hanging="1980"/>
              <w:jc w:val="left"/>
              <w:rPr/>
            </w:pPr>
            <w:hyperlink w:anchor="if4f7b4efaf87436b89708093a6055c38">
              <w:r>
                <w:rPr>
                  <w:rStyle w:val="InternetLink"/>
                  <w:rFonts w:ascii="Times New Roman;serif" w:hAnsi="Times New Roman;serif"/>
                  <w:b w:val="false"/>
                  <w:strike w:val="false"/>
                  <w:dstrike w:val="false"/>
                  <w:color w:val="000000"/>
                  <w:sz w:val="24"/>
                  <w:u w:val="none"/>
                  <w:effect w:val="none"/>
                </w:rPr>
                <w:t>Section 22.7.    Jurisdiction and Process; Waiver of Jury Trial</w:t>
              </w:r>
            </w:hyperlink>
          </w:p>
        </w:tc>
        <w:tc>
          <w:tcPr>
            <w:tcW w:w="539" w:type="dxa"/>
            <w:gridSpan w:val="3"/>
            <w:tcBorders/>
            <w:tcMar>
              <w:top w:w="0" w:type="dxa"/>
              <w:left w:w="0" w:type="dxa"/>
              <w:bottom w:w="0" w:type="dxa"/>
              <w:right w:w="0" w:type="dxa"/>
            </w:tcMar>
            <w:vAlign w:val="center"/>
          </w:tcPr>
          <w:p>
            <w:pPr>
              <w:pStyle w:val="TableContents"/>
              <w:bidi w:val="0"/>
              <w:spacing w:lineRule="auto" w:line="278" w:before="0" w:after="0"/>
              <w:jc w:val="right"/>
              <w:rPr/>
            </w:pPr>
            <w:hyperlink w:anchor="if4f7b4efaf87436b89708093a6055c38">
              <w:r>
                <w:rPr>
                  <w:rStyle w:val="InternetLink"/>
                  <w:rFonts w:ascii="Times New Roman;serif" w:hAnsi="Times New Roman;serif"/>
                  <w:b w:val="false"/>
                  <w:strike w:val="false"/>
                  <w:dstrike w:val="false"/>
                  <w:color w:val="000000"/>
                  <w:sz w:val="24"/>
                  <w:u w:val="none"/>
                  <w:effect w:val="none"/>
                </w:rPr>
                <w:t>-57-</w:t>
              </w:r>
            </w:hyperlink>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Schedule A    —    Defined Terms</w:t>
      </w:r>
    </w:p>
    <w:p>
      <w:pPr>
        <w:pStyle w:val="TextBody"/>
        <w:bidi w:val="0"/>
        <w:spacing w:lineRule="atLeast" w:line="280" w:before="280" w:after="283"/>
        <w:ind w:left="0" w:right="0" w:hanging="3060"/>
        <w:jc w:val="left"/>
        <w:rPr>
          <w:rFonts w:ascii="Times New Roman;serif" w:hAnsi="Times New Roman;serif"/>
          <w:b w:val="false"/>
          <w:color w:val="000000"/>
          <w:sz w:val="24"/>
        </w:rPr>
      </w:pPr>
      <w:r>
        <w:rPr>
          <w:rFonts w:ascii="Times New Roman;serif" w:hAnsi="Times New Roman;serif"/>
          <w:b w:val="false"/>
          <w:color w:val="000000"/>
          <w:sz w:val="24"/>
        </w:rPr>
        <w:t>Schedule 1-A    —    Form of Senior Note, Series A</w:t>
      </w:r>
    </w:p>
    <w:p>
      <w:pPr>
        <w:pStyle w:val="TextBody"/>
        <w:bidi w:val="0"/>
        <w:spacing w:lineRule="atLeast" w:line="280" w:before="280" w:after="283"/>
        <w:ind w:left="0" w:right="0" w:hanging="3060"/>
        <w:jc w:val="left"/>
        <w:rPr>
          <w:rFonts w:ascii="Times New Roman;serif" w:hAnsi="Times New Roman;serif"/>
          <w:b w:val="false"/>
          <w:color w:val="000000"/>
          <w:sz w:val="24"/>
        </w:rPr>
      </w:pPr>
      <w:r>
        <w:rPr>
          <w:rFonts w:ascii="Times New Roman;serif" w:hAnsi="Times New Roman;serif"/>
          <w:b w:val="false"/>
          <w:color w:val="000000"/>
          <w:sz w:val="24"/>
        </w:rPr>
        <w:t>Schedule 1-B    —    Form of Senior Note, Series B</w:t>
      </w:r>
    </w:p>
    <w:p>
      <w:pPr>
        <w:pStyle w:val="TextBody"/>
        <w:bidi w:val="0"/>
        <w:spacing w:lineRule="atLeast" w:line="280" w:before="280" w:after="283"/>
        <w:ind w:left="0" w:right="0" w:hanging="3060"/>
        <w:jc w:val="left"/>
        <w:rPr>
          <w:rFonts w:ascii="Times New Roman;serif" w:hAnsi="Times New Roman;serif"/>
          <w:b w:val="false"/>
          <w:color w:val="000000"/>
          <w:sz w:val="24"/>
        </w:rPr>
      </w:pPr>
      <w:r>
        <w:rPr>
          <w:rFonts w:ascii="Times New Roman;serif" w:hAnsi="Times New Roman;serif"/>
          <w:b w:val="false"/>
          <w:color w:val="000000"/>
          <w:sz w:val="24"/>
        </w:rPr>
        <w:t>Schedule 1-C    —    Form of Senior Note, Series C</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1.2    —    Applicable Interest Rates for the Notes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4.4(a)    —    Form of Opinion of Special Counsel for the Company</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4.4(b)    —    Form of Opinion of Purchasers’ Special Counsel</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5.3    —    Disclosure Materials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5.4    —    Subsidiaries of the Company and Ownership of Subsidiary Stock</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5.5    —    Financial Statements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5.15    —    Existing Indebtedness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10.5    —    Existing Liens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10.8    —    Dispositions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Schedule 10.9    —    Existing Investments</w:t>
      </w:r>
    </w:p>
    <w:p>
      <w:pPr>
        <w:pStyle w:val="TextBody"/>
        <w:bidi w:val="0"/>
        <w:spacing w:lineRule="atLeast" w:line="280" w:before="280" w:after="283"/>
        <w:jc w:val="left"/>
        <w:rPr>
          <w:rFonts w:ascii="Times New Roman;serif" w:hAnsi="Times New Roman;serif"/>
          <w:b w:val="false"/>
          <w:color w:val="000000"/>
          <w:sz w:val="24"/>
        </w:rPr>
      </w:pPr>
      <w:r>
        <w:rPr>
          <w:rFonts w:ascii="Times New Roman;serif" w:hAnsi="Times New Roman;serif"/>
          <w:b w:val="false"/>
          <w:color w:val="000000"/>
          <w:sz w:val="24"/>
        </w:rPr>
        <w:t>Purchaser Schedule    —    Information Relating to Purchasers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BRADY CORPORATION</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6555 West Good Hope Road</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Milwaukee, Wisconsin 53223</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$250,000,000 Senior Notes, Series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$300,000,000 Senior Notes, Series B</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$250,000,000 Senior Notes, Series C</w:t>
      </w:r>
    </w:p>
    <w:p>
      <w:pPr>
        <w:pStyle w:val="TextBody"/>
        <w:bidi w:val="0"/>
        <w:spacing w:before="280" w:after="283"/>
        <w:jc w:val="center"/>
        <w:rPr/>
      </w:pPr>
      <w:r>
        <w:rPr/>
      </w:r>
    </w:p>
    <w:p>
      <w:pPr>
        <w:pStyle w:val="TextBody"/>
        <w:bidi w:val="0"/>
        <w:spacing w:lineRule="atLeast" w:line="280" w:before="280" w:after="283"/>
        <w:jc w:val="right"/>
        <w:rPr>
          <w:rFonts w:ascii="Times New Roman;serif" w:hAnsi="Times New Roman;serif"/>
          <w:b w:val="false"/>
          <w:color w:val="000000"/>
          <w:sz w:val="24"/>
        </w:rPr>
      </w:pPr>
      <w:r>
        <w:rPr>
          <w:rFonts w:ascii="Times New Roman;serif" w:hAnsi="Times New Roman;serif"/>
          <w:b w:val="false"/>
          <w:color w:val="000000"/>
          <w:sz w:val="24"/>
        </w:rPr>
        <w:t>August 3, 2026</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To Each of the Purchasers Listed in</w:t>
      </w:r>
    </w:p>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the Purchaser Schedule Hereto:</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Brady Corporation, a Wisconsin corporation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agrees with each of the Purchasers as follows:</w:t>
      </w:r>
    </w:p>
    <w:p>
      <w:pPr>
        <w:pStyle w:val="TextBody"/>
        <w:bidi w:val="0"/>
        <w:spacing w:lineRule="atLeast" w:line="280" w:before="320" w:after="283"/>
        <w:ind w:left="0" w:right="0" w:hanging="1699"/>
        <w:jc w:val="left"/>
        <w:rPr/>
      </w:pPr>
      <w:bookmarkStart w:id="0" w:name="id0dc5ec923224ff799c237106943f434"/>
      <w:bookmarkEnd w:id="0"/>
      <w:r>
        <w:rPr>
          <w:rFonts w:ascii="Times New Roman;serif" w:hAnsi="Times New Roman;serif"/>
          <w:b/>
          <w:color w:val="000000"/>
          <w:sz w:val="24"/>
        </w:rPr>
        <w:t>Section 1.    Authorization of Notes</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1" w:name="iae094193a06c4a6396ab6e742ac22144"/>
      <w:bookmarkEnd w:id="1"/>
      <w:r>
        <w:rPr>
          <w:rFonts w:ascii="Times New Roman;serif" w:hAnsi="Times New Roman;serif"/>
          <w:b/>
          <w:color w:val="000000"/>
          <w:sz w:val="24"/>
        </w:rPr>
        <w:t>Section 1.1.    Description of Notes.</w:t>
      </w:r>
      <w:r>
        <w:rPr>
          <w:color w:val="000000"/>
        </w:rPr>
        <w:t xml:space="preserve"> </w:t>
      </w:r>
      <w:r>
        <w:rPr>
          <w:rFonts w:ascii="Times New Roman;serif" w:hAnsi="Times New Roman;serif"/>
          <w:b w:val="false"/>
          <w:color w:val="000000"/>
          <w:sz w:val="24"/>
        </w:rPr>
        <w:t xml:space="preserve">The Company will authorize the issue and sale of (a) $250,000,000 aggregate principal amount of its Senior Notes, Series A, due on the Series A Maturity Date (the </w:t>
      </w:r>
      <w:r>
        <w:rPr>
          <w:color w:val="000000"/>
        </w:rPr>
        <w:t>“</w:t>
      </w:r>
      <w:r>
        <w:rPr>
          <w:rFonts w:ascii="Times New Roman;serif" w:hAnsi="Times New Roman;serif"/>
          <w:b/>
          <w:color w:val="000000"/>
          <w:sz w:val="24"/>
        </w:rPr>
        <w:t>Series A Notes”</w:t>
      </w:r>
      <w:r>
        <w:rPr>
          <w:rFonts w:ascii="Times New Roman;serif" w:hAnsi="Times New Roman;serif"/>
          <w:b w:val="false"/>
          <w:color w:val="000000"/>
          <w:sz w:val="24"/>
        </w:rPr>
        <w:t xml:space="preserve">), (b) $300,000,000 aggregate principal amount of its Senior Notes, Series B, due on the Series B Maturity Date (the </w:t>
      </w:r>
      <w:r>
        <w:rPr>
          <w:color w:val="000000"/>
        </w:rPr>
        <w:t>“</w:t>
      </w:r>
      <w:r>
        <w:rPr>
          <w:rFonts w:ascii="Times New Roman;serif" w:hAnsi="Times New Roman;serif"/>
          <w:b/>
          <w:color w:val="000000"/>
          <w:sz w:val="24"/>
        </w:rPr>
        <w:t>Series B Notes”</w:t>
      </w:r>
      <w:r>
        <w:rPr>
          <w:rFonts w:ascii="Times New Roman;serif" w:hAnsi="Times New Roman;serif"/>
          <w:b w:val="false"/>
          <w:color w:val="000000"/>
          <w:sz w:val="24"/>
        </w:rPr>
        <w:t xml:space="preserve">) and (c) $250,000,000 aggregate principal amount of its Senior Notes, Series C, due on the Series C Maturity Date (the </w:t>
      </w:r>
      <w:r>
        <w:rPr>
          <w:color w:val="000000"/>
        </w:rPr>
        <w:t>“</w:t>
      </w:r>
      <w:r>
        <w:rPr>
          <w:rFonts w:ascii="Times New Roman;serif" w:hAnsi="Times New Roman;serif"/>
          <w:b/>
          <w:color w:val="000000"/>
          <w:sz w:val="24"/>
        </w:rPr>
        <w:t>Series C Notes”</w:t>
      </w:r>
      <w:r>
        <w:rPr>
          <w:color w:val="000000"/>
        </w:rPr>
        <w:t xml:space="preserve"> </w:t>
      </w:r>
      <w:r>
        <w:rPr>
          <w:rFonts w:ascii="Times New Roman;serif" w:hAnsi="Times New Roman;serif"/>
          <w:b w:val="false"/>
          <w:color w:val="000000"/>
          <w:sz w:val="24"/>
        </w:rPr>
        <w:t xml:space="preserve">and together with the Series A Notes and the Series B Notes, the </w:t>
      </w:r>
      <w:r>
        <w:rPr>
          <w:color w:val="000000"/>
        </w:rPr>
        <w:t>“</w:t>
      </w:r>
      <w:r>
        <w:rPr>
          <w:rFonts w:ascii="Times New Roman;serif" w:hAnsi="Times New Roman;serif"/>
          <w:b/>
          <w:color w:val="000000"/>
          <w:sz w:val="24"/>
        </w:rPr>
        <w:t>Notes”</w:t>
      </w:r>
      <w:r>
        <w:rPr>
          <w:rFonts w:ascii="Times New Roman;serif" w:hAnsi="Times New Roman;serif"/>
          <w:b w:val="false"/>
          <w:color w:val="000000"/>
          <w:sz w:val="24"/>
        </w:rPr>
        <w:t>). The Notes shall be substantially in the forms set out in Schedule 1-A, Schedule 1-B and Schedule 1-C, respectively. Certain capitalized and other terms used in this Agreement are defined in Schedule A and, for purposes of this Agreement, the rules of construction set forth in Section 22.4 shall govern. References to a “Series” of Notes shall refer to the Series A Notes, the Series B Notes or the Series C Notes, or all, as the context may require.</w:t>
      </w:r>
    </w:p>
    <w:p>
      <w:pPr>
        <w:pStyle w:val="TextBody"/>
        <w:bidi w:val="0"/>
        <w:spacing w:lineRule="atLeast" w:line="280" w:before="280" w:after="283"/>
        <w:ind w:left="0" w:right="0" w:firstLine="360"/>
        <w:jc w:val="both"/>
        <w:rPr/>
      </w:pPr>
      <w:r>
        <w:rPr>
          <w:color w:val="000000"/>
        </w:rPr>
        <w:t>    </w:t>
      </w:r>
      <w:bookmarkStart w:id="2" w:name="i2b1f8206906344ee996e348b03c34396"/>
      <w:bookmarkEnd w:id="2"/>
      <w:r>
        <w:rPr>
          <w:rFonts w:ascii="Times New Roman;serif" w:hAnsi="Times New Roman;serif"/>
          <w:b/>
          <w:color w:val="000000"/>
          <w:sz w:val="24"/>
        </w:rPr>
        <w:t>Section 1.2.    Applicable Interest Rates, Interest Payment Dates and Maturity Dates for the Notes</w:t>
      </w:r>
      <w:r>
        <w:rPr>
          <w:rFonts w:ascii="Times New Roman;serif" w:hAnsi="Times New Roman;serif"/>
          <w:b w:val="false"/>
          <w:color w:val="000000"/>
          <w:sz w:val="24"/>
        </w:rPr>
        <w:t xml:space="preserve">. Each Series of the Notes shall bear interest (computed on the basis of a 360-day year of twelve 30-day months) on the unpaid principal balance thereof at the applicable per annum interest rate set forth in Schedule 1.2 (each such rate being referred to herein as an </w:t>
      </w:r>
      <w:r>
        <w:rPr>
          <w:color w:val="000000"/>
        </w:rPr>
        <w:t>“</w:t>
      </w:r>
      <w:r>
        <w:rPr>
          <w:rFonts w:ascii="Times New Roman;serif" w:hAnsi="Times New Roman;serif"/>
          <w:b/>
          <w:color w:val="000000"/>
          <w:sz w:val="24"/>
        </w:rPr>
        <w:t>Applicable Interest Rate”</w:t>
      </w:r>
      <w:r>
        <w:rPr>
          <w:rFonts w:ascii="Times New Roman;serif" w:hAnsi="Times New Roman;serif"/>
          <w:b w:val="false"/>
          <w:color w:val="000000"/>
          <w:sz w:val="24"/>
        </w:rPr>
        <w:t xml:space="preserve">) from the date of issuance, payable semi-annually, on the dates which are six (6) months and one (1) year after the date of the Closing and on each anniversary thereafter (each such date being referred to herein as an </w:t>
      </w:r>
      <w:r>
        <w:rPr>
          <w:color w:val="000000"/>
        </w:rPr>
        <w:t>“</w:t>
      </w:r>
      <w:r>
        <w:rPr>
          <w:rFonts w:ascii="Times New Roman;serif" w:hAnsi="Times New Roman;serif"/>
          <w:b/>
          <w:color w:val="000000"/>
          <w:sz w:val="24"/>
        </w:rPr>
        <w:t>Interest Payment Date”</w:t>
      </w:r>
      <w:r>
        <w:rPr>
          <w:rFonts w:ascii="Times New Roman;serif" w:hAnsi="Times New Roman;serif"/>
          <w:b w:val="false"/>
          <w:color w:val="000000"/>
          <w:sz w:val="24"/>
        </w:rPr>
        <w:t xml:space="preserve">), until such principal amount shall have become due and payable, and, to the extent permitted by applicable law, on any overdue payment of interest and, during the continuance of an Event of Default, on such unpaid balance and on any overdue payment of any Make-Whole Amount, at a rate per annum from time to time equal to the applicable Default Rate, payable semi-annually on each Interest Payment Date as aforesaid. The Maturity Date for the Series A Notes shall be the date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which is the five-year anniversary of the Closing (the </w:t>
      </w:r>
      <w:r>
        <w:rPr>
          <w:color w:val="000000"/>
        </w:rPr>
        <w:t>“</w:t>
      </w:r>
      <w:r>
        <w:rPr>
          <w:rFonts w:ascii="Times New Roman;serif" w:hAnsi="Times New Roman;serif"/>
          <w:b/>
          <w:color w:val="000000"/>
          <w:sz w:val="24"/>
        </w:rPr>
        <w:t>Series A Maturity Date”</w:t>
      </w:r>
      <w:r>
        <w:rPr>
          <w:rFonts w:ascii="Times New Roman;serif" w:hAnsi="Times New Roman;serif"/>
          <w:b w:val="false"/>
          <w:color w:val="000000"/>
          <w:sz w:val="24"/>
        </w:rPr>
        <w:t xml:space="preserve">). The Maturity Date for the Series B Notes shall be the date which is the seven-year anniversary of the Closing (the </w:t>
      </w:r>
      <w:r>
        <w:rPr>
          <w:color w:val="000000"/>
        </w:rPr>
        <w:t>“</w:t>
      </w:r>
      <w:r>
        <w:rPr>
          <w:rFonts w:ascii="Times New Roman;serif" w:hAnsi="Times New Roman;serif"/>
          <w:b/>
          <w:color w:val="000000"/>
          <w:sz w:val="24"/>
        </w:rPr>
        <w:t>Series B Maturity Date”</w:t>
      </w:r>
      <w:r>
        <w:rPr>
          <w:rFonts w:ascii="Times New Roman;serif" w:hAnsi="Times New Roman;serif"/>
          <w:b w:val="false"/>
          <w:color w:val="000000"/>
          <w:sz w:val="24"/>
        </w:rPr>
        <w:t xml:space="preserve">). The Maturity Date for the Series C Notes shall be the date which is the ten-year anniversary of the Closing (the </w:t>
      </w:r>
      <w:r>
        <w:rPr>
          <w:color w:val="000000"/>
        </w:rPr>
        <w:t>“</w:t>
      </w:r>
      <w:r>
        <w:rPr>
          <w:rFonts w:ascii="Times New Roman;serif" w:hAnsi="Times New Roman;serif"/>
          <w:b/>
          <w:color w:val="000000"/>
          <w:sz w:val="24"/>
        </w:rPr>
        <w:t>Series C Maturity Date”</w:t>
      </w:r>
      <w:r>
        <w:rPr>
          <w:rFonts w:ascii="Times New Roman;serif" w:hAnsi="Times New Roman;serif"/>
          <w:b w:val="false"/>
          <w:color w:val="000000"/>
          <w:sz w:val="24"/>
        </w:rPr>
        <w:t>).</w:t>
      </w:r>
    </w:p>
    <w:p>
      <w:pPr>
        <w:pStyle w:val="TextBody"/>
        <w:bidi w:val="0"/>
        <w:spacing w:lineRule="atLeast" w:line="280" w:before="320" w:after="283"/>
        <w:ind w:left="0" w:right="0" w:hanging="1699"/>
        <w:jc w:val="left"/>
        <w:rPr/>
      </w:pPr>
      <w:bookmarkStart w:id="3" w:name="i68ccbe4cd28a49d387429534ab8fd702"/>
      <w:bookmarkEnd w:id="3"/>
      <w:r>
        <w:rPr>
          <w:rFonts w:ascii="Times New Roman;serif" w:hAnsi="Times New Roman;serif"/>
          <w:b/>
          <w:color w:val="000000"/>
          <w:sz w:val="24"/>
        </w:rPr>
        <w:t>Section 2.    Sale and Purchase of Notes</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4" w:name="i9eb5756b206c41f49a2fdf422d58674f"/>
      <w:bookmarkEnd w:id="4"/>
      <w:r>
        <w:rPr>
          <w:rFonts w:ascii="Times New Roman;serif" w:hAnsi="Times New Roman;serif"/>
          <w:b/>
          <w:color w:val="000000"/>
          <w:sz w:val="24"/>
        </w:rPr>
        <w:t>Section 2.1.    Sale and Purchase of Notes</w:t>
      </w:r>
      <w:r>
        <w:rPr>
          <w:rFonts w:ascii="Times New Roman;serif" w:hAnsi="Times New Roman;serif"/>
          <w:b w:val="false"/>
          <w:color w:val="000000"/>
          <w:sz w:val="24"/>
        </w:rPr>
        <w:t>. Subject to the terms and conditions of this Agreement, the Company will issue and sell to each Purchaser and each Purchaser will purchase from the Company, at the Closing provided for in Section 3, Notes in the principal amount and of the Series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spacing w:lineRule="atLeast" w:line="280" w:before="280" w:after="283"/>
        <w:ind w:left="0" w:right="0" w:firstLine="360"/>
        <w:jc w:val="both"/>
        <w:rPr/>
      </w:pPr>
      <w:r>
        <w:rPr>
          <w:color w:val="000000"/>
        </w:rPr>
        <w:t>    </w:t>
      </w:r>
      <w:bookmarkStart w:id="5" w:name="idc35da6dc5a9438ca1ebcc711ae16fc8"/>
      <w:bookmarkEnd w:id="5"/>
      <w:r>
        <w:rPr>
          <w:rFonts w:ascii="Times New Roman;serif" w:hAnsi="Times New Roman;serif"/>
          <w:b/>
          <w:color w:val="000000"/>
          <w:sz w:val="24"/>
        </w:rPr>
        <w:t>Section 2.2.    Subsidiary Guaranty</w:t>
      </w:r>
      <w:r>
        <w:rPr>
          <w:rFonts w:ascii="Times New Roman;serif" w:hAnsi="Times New Roman;serif"/>
          <w:b w:val="false"/>
          <w:color w:val="000000"/>
          <w:sz w:val="24"/>
        </w:rPr>
        <w:t xml:space="preserve">. The payment by the Company of all amounts due with respect to the Notes and the performance by the Company of its obligations under this Agreement will be absolutely and unconditionally guaranteed by the Subsidiary Guarantors pursuant to the Subsidiary Guaranty Agreement, dated as of the date of the Closing, in accordance with and subject to the provisions of Section 9.7 (the </w:t>
      </w:r>
      <w:r>
        <w:rPr>
          <w:color w:val="000000"/>
        </w:rPr>
        <w:t>“</w:t>
      </w:r>
      <w:r>
        <w:rPr>
          <w:rFonts w:ascii="Times New Roman;serif" w:hAnsi="Times New Roman;serif"/>
          <w:b/>
          <w:color w:val="000000"/>
          <w:sz w:val="24"/>
        </w:rPr>
        <w:t>Subsidiary Guaranty”</w:t>
      </w:r>
      <w:r>
        <w:rPr>
          <w:rFonts w:ascii="Times New Roman;serif" w:hAnsi="Times New Roman;serif"/>
          <w:b w:val="false"/>
          <w:color w:val="000000"/>
          <w:sz w:val="24"/>
        </w:rPr>
        <w:t>).</w:t>
      </w:r>
    </w:p>
    <w:p>
      <w:pPr>
        <w:pStyle w:val="TextBody"/>
        <w:bidi w:val="0"/>
        <w:spacing w:lineRule="atLeast" w:line="280" w:before="320" w:after="283"/>
        <w:ind w:left="0" w:right="0" w:hanging="1699"/>
        <w:jc w:val="left"/>
        <w:rPr/>
      </w:pPr>
      <w:bookmarkStart w:id="6" w:name="i305f8e9fcff64b7dba4445c26b8170aa"/>
      <w:bookmarkEnd w:id="6"/>
      <w:r>
        <w:rPr>
          <w:rFonts w:ascii="Times New Roman;serif" w:hAnsi="Times New Roman;serif"/>
          <w:b/>
          <w:color w:val="000000"/>
          <w:sz w:val="24"/>
        </w:rPr>
        <w:t>Section 3.    Execution Date; Closing</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The execution and delivery of this Agreement shall occur as of the date of this Agreement (the </w:t>
      </w:r>
      <w:r>
        <w:rPr>
          <w:color w:val="000000"/>
        </w:rPr>
        <w:t>“</w:t>
      </w:r>
      <w:r>
        <w:rPr>
          <w:rFonts w:ascii="Times New Roman;serif" w:hAnsi="Times New Roman;serif"/>
          <w:b/>
          <w:color w:val="000000"/>
          <w:sz w:val="24"/>
        </w:rPr>
        <w:t>Execution Date”</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The sale and purchase of the Notes to be purchased by each Purchaser shall occur at the offices of Chapman and Cutler LLP, 320 South Canal Street, Chicago, Illinois 60606, at 8:00 a.m., Chicago time, at a closing (the </w:t>
      </w:r>
      <w:r>
        <w:rPr>
          <w:color w:val="000000"/>
        </w:rPr>
        <w:t>“</w:t>
      </w:r>
      <w:r>
        <w:rPr>
          <w:rFonts w:ascii="Times New Roman;serif" w:hAnsi="Times New Roman;serif"/>
          <w:b/>
          <w:color w:val="000000"/>
          <w:sz w:val="24"/>
        </w:rPr>
        <w:t>Closing”</w:t>
      </w:r>
      <w:r>
        <w:rPr>
          <w:rFonts w:ascii="Times New Roman;serif" w:hAnsi="Times New Roman;serif"/>
          <w:b w:val="false"/>
          <w:color w:val="000000"/>
          <w:sz w:val="24"/>
        </w:rPr>
        <w:t xml:space="preserve">) on any date after the Execution Date and on or before the Outside Date as the Company may select with at least five (5) Business Days’ written notice to the Purchasers;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Applicable Interest Rate, the Interest Payment Dates and the Maturity Date for each Series of the Notes shall be determined in relation to the date of the Closing in accordance with Section 1.2 and Schedule 1.2. At the Closing the Company will deliver to each Purchaser the Notes of such Series to be purchased by such Purchaser in the form of a single Note for each such Series (or such greater number of Notes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specified in the funding instructions delivered by the Company pursuant to Section 4.10. If at the Closing the Company shall fail to tender such Notes to any Purchaser as provided above in this Section 3, or any of the conditions specified in Section 4 shall not have been fulfilled to such Purchaser’s reasonable satisfaction, such Purchaser shall, at its election, be relieved of all further obligations under this Agreement, without thereby waiving any rights such Purchaser may have by reason of such failure by the Company to tender such Notes or any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7800"/>
                <wp:effectExtent l="0" t="0" r="0" b="0"/>
                <wp:wrapNone/>
                <wp:docPr id="12"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conditions specified in Section 4 not having been fulfilled to such Purchaser’s reasonable satisfaction.</w:t>
      </w:r>
    </w:p>
    <w:p>
      <w:pPr>
        <w:pStyle w:val="TextBody"/>
        <w:bidi w:val="0"/>
        <w:spacing w:before="0" w:after="0"/>
        <w:jc w:val="left"/>
        <w:rPr/>
      </w:pPr>
      <w:r>
        <w:rPr/>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the obligation of the Purchasers to purchase, and of the Company to issue and sell, the Notes at the Closing is subject, in addition to the other conditions set forth in Section 4, to the consummation of the PSS Acquisition on or prior to the Outside Date. The Closing shall occur only after satisfaction (or waiver by the Required Holders) of the conditions set forth in Section 4 and in any event on or before the Outside Date. If the PSS Acquisition has not been consummated on or before the Outside Date, (i) this Agreement shall terminate without further effect (other than for obligations that expressly survive pursuant to Section 15.3), (ii) each Purchaser shall be relieved of all further obligations under this Agreement with respect to the Notes without liability of any kind (other than for obligations that expressly survive pursuant to Section 15.3) and (iii) the Company shall pay a fee to each Purchaser equal to 1.00% (100 bps) of the aggregate principal amount of the Notes that were to be purchased by such Purchaser at the Closing had the Closing occurred, as set forth in the Purchaser Schedule, no later than 5 Business Days after the Outside Date. Such fee shall be paid by wire transfer of immediately available funds to the account to which each Purchaser has specified in the Purchaser Schedule for payments of principal and interest or to such other account of such Purchaser as to which such Purchaser provides the relevant account information in writing at least 5 Business Days prior to the payment of such fee.</w:t>
      </w:r>
    </w:p>
    <w:p>
      <w:pPr>
        <w:pStyle w:val="TextBody"/>
        <w:bidi w:val="0"/>
        <w:spacing w:lineRule="atLeast" w:line="280" w:before="320" w:after="283"/>
        <w:jc w:val="left"/>
        <w:rPr/>
      </w:pPr>
      <w:bookmarkStart w:id="7" w:name="i99f80ac19ddd4468ba1d24b431b9cef3"/>
      <w:bookmarkEnd w:id="7"/>
      <w:r>
        <w:rPr>
          <w:rFonts w:ascii="Times New Roman;serif" w:hAnsi="Times New Roman;serif"/>
          <w:b/>
          <w:color w:val="000000"/>
          <w:sz w:val="24"/>
        </w:rPr>
        <w:t>Section 4.    Conditions to Closing</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Purchaser’s obligation to purchase and pay for the Notes to be sold to such Purchaser at the Closing is subject to the fulfillment to such Purchaser’s reasonable satisfaction, prior to or at the Closing, of the following conditions:</w:t>
      </w:r>
    </w:p>
    <w:p>
      <w:pPr>
        <w:pStyle w:val="TextBody"/>
        <w:bidi w:val="0"/>
        <w:spacing w:lineRule="atLeast" w:line="280" w:before="280" w:after="283"/>
        <w:ind w:left="0" w:right="0" w:firstLine="360"/>
        <w:jc w:val="both"/>
        <w:rPr/>
      </w:pPr>
      <w:r>
        <w:rPr>
          <w:color w:val="000000"/>
        </w:rPr>
        <w:t>    </w:t>
      </w:r>
      <w:bookmarkStart w:id="8" w:name="i3f11ed39f3c44df7bd6d15e67f41e124"/>
      <w:bookmarkEnd w:id="8"/>
      <w:r>
        <w:rPr>
          <w:rFonts w:ascii="Times New Roman;serif" w:hAnsi="Times New Roman;serif"/>
          <w:b/>
          <w:color w:val="000000"/>
          <w:sz w:val="24"/>
        </w:rPr>
        <w:t>Section 4.1.    Representations and Warranties</w:t>
      </w:r>
      <w:r>
        <w:rPr>
          <w:rFonts w:ascii="Times New Roman;serif" w:hAnsi="Times New Roman;serif"/>
          <w:b w:val="false"/>
          <w:color w:val="000000"/>
          <w:sz w:val="24"/>
        </w:rPr>
        <w:t xml:space="preserve">. </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Representations and Warranties of the Company</w:t>
      </w:r>
      <w:r>
        <w:rPr>
          <w:rFonts w:ascii="Times New Roman;serif" w:hAnsi="Times New Roman;serif"/>
          <w:b w:val="false"/>
          <w:color w:val="000000"/>
          <w:sz w:val="24"/>
        </w:rPr>
        <w:t>. The representations and warranties of the Company in this Agreement shall be correct when made and at the Closing.</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Representations and Warranties of the Subsidiary Guarantors</w:t>
      </w:r>
      <w:r>
        <w:rPr>
          <w:rFonts w:ascii="Times New Roman;serif" w:hAnsi="Times New Roman;serif"/>
          <w:b w:val="false"/>
          <w:color w:val="000000"/>
          <w:sz w:val="24"/>
        </w:rPr>
        <w:t>. The representations and warranties of the Subsidiary Guarantors in the Subsidiary Guaranty shall be correct when made and at the Closing.</w:t>
      </w:r>
    </w:p>
    <w:p>
      <w:pPr>
        <w:pStyle w:val="TextBody"/>
        <w:bidi w:val="0"/>
        <w:spacing w:lineRule="atLeast" w:line="280" w:before="280" w:after="283"/>
        <w:ind w:left="0" w:right="0" w:firstLine="360"/>
        <w:jc w:val="both"/>
        <w:rPr/>
      </w:pPr>
      <w:r>
        <w:rPr>
          <w:color w:val="000000"/>
        </w:rPr>
        <w:t>    </w:t>
      </w:r>
      <w:bookmarkStart w:id="9" w:name="i36175f3f3792468c94feef5da229f07d"/>
      <w:bookmarkEnd w:id="9"/>
      <w:r>
        <w:rPr>
          <w:rFonts w:ascii="Times New Roman;serif" w:hAnsi="Times New Roman;serif"/>
          <w:b/>
          <w:color w:val="000000"/>
          <w:sz w:val="24"/>
        </w:rPr>
        <w:t>Section 4.2.    Performance; No Default</w:t>
      </w:r>
      <w:r>
        <w:rPr>
          <w:rFonts w:ascii="Times New Roman;serif" w:hAnsi="Times New Roman;serif"/>
          <w:b w:val="false"/>
          <w:color w:val="000000"/>
          <w:sz w:val="24"/>
        </w:rPr>
        <w:t>. The Company and each Subsidiary Guarantor shall have performed and complied with all agreements and conditions contained in this Agreement and the Subsidiary Guaranty required to be performed or complied with by it prior to or at the Closing. Immediately before and upon giving effect to the issue and sale of the Notes (and the application of the proceeds thereof as contemplated by Section 5.14), no Change of Control, Default or Event of Default shall have occurred and be continuing. Neither the Company nor any Subsidiary shall have entered into any transaction since the date of the Presentation that would have been prohibited by Section 10 had such Section applied since such date.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7800"/>
                <wp:effectExtent l="0" t="0" r="0" b="0"/>
                <wp:wrapNone/>
                <wp:docPr id="13"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10" w:name="i20a3c59288e648fe882c83babfd61fe7"/>
      <w:bookmarkEnd w:id="10"/>
      <w:r>
        <w:rPr>
          <w:rFonts w:ascii="Times New Roman;serif" w:hAnsi="Times New Roman;serif"/>
          <w:b/>
          <w:color w:val="000000"/>
          <w:sz w:val="24"/>
        </w:rPr>
        <w:t>Section 4.3.    Compliance Certificates</w:t>
      </w:r>
      <w:r>
        <w:rPr>
          <w:rFonts w:ascii="Times New Roman;serif" w:hAnsi="Times New Roman;serif"/>
          <w:b w:val="false"/>
          <w:color w:val="000000"/>
          <w:sz w:val="24"/>
        </w:rPr>
        <w: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Officer’s Certificate of the Company</w:t>
      </w:r>
      <w:r>
        <w:rPr>
          <w:rFonts w:ascii="Times New Roman;serif" w:hAnsi="Times New Roman;serif"/>
          <w:b w:val="false"/>
          <w:color w:val="000000"/>
          <w:sz w:val="24"/>
        </w:rPr>
        <w:t>. The Company shall have delivered to such Purchaser an Officer’s Certificate, dated the date of the Closing, certifying that the conditions specified in Sections 4.1(a), 4.2 and 4.9 have been fulfilled.</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Secretary’s or Director’s Certificate of the Company</w:t>
      </w:r>
      <w:r>
        <w:rPr>
          <w:rFonts w:ascii="Times New Roman;serif" w:hAnsi="Times New Roman;serif"/>
          <w:b w:val="false"/>
          <w:color w:val="000000"/>
          <w:sz w:val="24"/>
        </w:rPr>
        <w:t>. The Company shall have delivered to such Purchaser a certificate of its Secretary, an Assistant Secretary, a Director or another appropriate representative,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i/>
          <w:color w:val="000000"/>
          <w:sz w:val="24"/>
        </w:rPr>
        <w:t>Officer’s Certificate of the Subsidiary Guarantors</w:t>
      </w:r>
      <w:r>
        <w:rPr>
          <w:rFonts w:ascii="Times New Roman;serif" w:hAnsi="Times New Roman;serif"/>
          <w:b w:val="false"/>
          <w:color w:val="000000"/>
          <w:sz w:val="24"/>
        </w:rPr>
        <w:t>. Each Subsidiary Guarantor shall have delivered to such Purchaser an Officer’s Certificate, dated the date of the Closing, certifying that the conditions specified in Sections 4.1(b), 4.2 and 4.9 have been fulfilled.</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i/>
          <w:color w:val="000000"/>
          <w:sz w:val="24"/>
        </w:rPr>
        <w:t>Secretary’s or Director’s Certificate of the Subsidiary Guarantors</w:t>
      </w:r>
      <w:r>
        <w:rPr>
          <w:rFonts w:ascii="Times New Roman;serif" w:hAnsi="Times New Roman;serif"/>
          <w:b w:val="false"/>
          <w:color w:val="000000"/>
          <w:sz w:val="24"/>
        </w:rPr>
        <w:t>. Each Subsidiary Guarantor shall have delivered to such Purchaser a certificate of its Secretary, an Assistant Secretary, a Director or another appropriate representative, dated the date of the Closing, certifying as to (i) the resolutions attached thereto and other corporate proceedings relating to the authorization, execution and delivery of the Subsidiary Guaranty and (ii) such Subsidiary Guarantor’s organizational documents as then in effect.</w:t>
      </w:r>
    </w:p>
    <w:p>
      <w:pPr>
        <w:pStyle w:val="TextBody"/>
        <w:bidi w:val="0"/>
        <w:spacing w:lineRule="atLeast" w:line="280" w:before="280" w:after="283"/>
        <w:ind w:left="0" w:right="0" w:firstLine="360"/>
        <w:jc w:val="both"/>
        <w:rPr/>
      </w:pPr>
      <w:r>
        <w:rPr>
          <w:color w:val="000000"/>
        </w:rPr>
        <w:t>    </w:t>
      </w:r>
      <w:bookmarkStart w:id="11" w:name="i70dcedf4200b4e0f96a92fa51b07270c"/>
      <w:bookmarkEnd w:id="11"/>
      <w:r>
        <w:rPr>
          <w:rFonts w:ascii="Times New Roman;serif" w:hAnsi="Times New Roman;serif"/>
          <w:b/>
          <w:color w:val="000000"/>
          <w:sz w:val="24"/>
        </w:rPr>
        <w:t>Section 4.4.    Opinions of Counsel</w:t>
      </w:r>
      <w:r>
        <w:rPr>
          <w:rFonts w:ascii="Times New Roman;serif" w:hAnsi="Times New Roman;serif"/>
          <w:b w:val="false"/>
          <w:color w:val="000000"/>
          <w:sz w:val="24"/>
        </w:rPr>
        <w:t>. Such Purchaser shall have received opinions in form and substance reasonably satisfactory to such Purchaser, dated the date of the Closing, (a) from Foley &amp; Lardner LLP, special counsel for the Company and the Subsidiary Guarantors, covering the matters and substantially in the form set forth in Schedule 4.4(a) and covering such other matters incident to the transactions contemplated hereby as such Purchaser or its counsel may reasonably request (and the Company hereby instructs its counsel to deliver such opinion to the Purchasers) and (b) from Chapman and Cutler LLP, Purchasers’ special counsel addressed to the Purchasers, substantially in the form set forth in Schedule 4.4(b) and covering such other matters incident to such transactions as such Purchaser may reasonably request.</w:t>
      </w:r>
    </w:p>
    <w:p>
      <w:pPr>
        <w:pStyle w:val="TextBody"/>
        <w:bidi w:val="0"/>
        <w:spacing w:lineRule="atLeast" w:line="280" w:before="280" w:after="283"/>
        <w:ind w:left="0" w:right="0" w:firstLine="360"/>
        <w:jc w:val="both"/>
        <w:rPr/>
      </w:pPr>
      <w:r>
        <w:rPr>
          <w:color w:val="000000"/>
        </w:rPr>
        <w:t>    </w:t>
      </w:r>
      <w:bookmarkStart w:id="12" w:name="i350ac6ac2b7a4f64b9c4beb49d4e7037"/>
      <w:bookmarkEnd w:id="12"/>
      <w:r>
        <w:rPr>
          <w:rFonts w:ascii="Times New Roman;serif" w:hAnsi="Times New Roman;serif"/>
          <w:b/>
          <w:color w:val="000000"/>
          <w:sz w:val="24"/>
        </w:rPr>
        <w:t>Section 4.5.    Purchase Permitted by Applicable Law, Etc</w:t>
      </w:r>
      <w:r>
        <w:rPr>
          <w:rFonts w:ascii="Times New Roman;serif" w:hAnsi="Times New Roman;serif"/>
          <w:b w:val="false"/>
          <w:color w:val="000000"/>
          <w:sz w:val="24"/>
        </w:rPr>
        <w:t>.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7800"/>
                <wp:effectExtent l="0" t="0" r="0" b="0"/>
                <wp:wrapNone/>
                <wp:docPr id="14"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13" w:name="i69badb8a8b7c4b79921022bf22b74fc0"/>
      <w:bookmarkEnd w:id="13"/>
      <w:r>
        <w:rPr>
          <w:rFonts w:ascii="Times New Roman;serif" w:hAnsi="Times New Roman;serif"/>
          <w:b/>
          <w:color w:val="000000"/>
          <w:sz w:val="24"/>
        </w:rPr>
        <w:t>Section 4.6.    Sale of Other Notes</w:t>
      </w:r>
      <w:r>
        <w:rPr>
          <w:rFonts w:ascii="Times New Roman;serif" w:hAnsi="Times New Roman;serif"/>
          <w:b w:val="false"/>
          <w:color w:val="000000"/>
          <w:sz w:val="24"/>
        </w:rPr>
        <w:t>. Contemporaneously with the Closing the Company shall sell to each other Purchaser and each other Purchaser shall purchase the Notes to be purchased by it at the Closing as specified in the Purchaser Schedule.</w:t>
      </w:r>
    </w:p>
    <w:p>
      <w:pPr>
        <w:pStyle w:val="TextBody"/>
        <w:bidi w:val="0"/>
        <w:spacing w:lineRule="atLeast" w:line="280" w:before="280" w:after="283"/>
        <w:ind w:left="0" w:right="0" w:firstLine="360"/>
        <w:jc w:val="both"/>
        <w:rPr/>
      </w:pPr>
      <w:r>
        <w:rPr>
          <w:color w:val="000000"/>
        </w:rPr>
        <w:t>    </w:t>
      </w:r>
      <w:bookmarkStart w:id="14" w:name="iece77ebe2342444b9ee12c4814258ca0"/>
      <w:bookmarkEnd w:id="14"/>
      <w:r>
        <w:rPr>
          <w:rFonts w:ascii="Times New Roman;serif" w:hAnsi="Times New Roman;serif"/>
          <w:b/>
          <w:color w:val="000000"/>
          <w:sz w:val="24"/>
        </w:rPr>
        <w:t>Section 4.7.    Payment of Special Counsel Fees</w:t>
      </w:r>
      <w:r>
        <w:rPr>
          <w:rFonts w:ascii="Times New Roman;serif" w:hAnsi="Times New Roman;serif"/>
          <w:b w:val="false"/>
          <w:color w:val="000000"/>
          <w:sz w:val="24"/>
        </w:rPr>
        <w:t>. Without limiting Section 15.1, the Company shall have paid on or before the Execution Date and the Closing the reasonable fees, charges and disbursements of Purchasers’ Special Counsel to the extent reflected in a reasonably detailed written statement of such counsel rendered to the Company at least one Business Day prior to the Execution Date or the Closing, as applicable.</w:t>
      </w:r>
    </w:p>
    <w:p>
      <w:pPr>
        <w:pStyle w:val="TextBody"/>
        <w:bidi w:val="0"/>
        <w:spacing w:lineRule="atLeast" w:line="280" w:before="280" w:after="283"/>
        <w:ind w:left="0" w:right="0" w:firstLine="360"/>
        <w:jc w:val="both"/>
        <w:rPr/>
      </w:pPr>
      <w:r>
        <w:rPr>
          <w:color w:val="000000"/>
        </w:rPr>
        <w:t>    </w:t>
      </w:r>
      <w:bookmarkStart w:id="15" w:name="ib65aea866f4c4098a846d26e62995f36"/>
      <w:bookmarkEnd w:id="15"/>
      <w:r>
        <w:rPr>
          <w:rFonts w:ascii="Times New Roman;serif" w:hAnsi="Times New Roman;serif"/>
          <w:b/>
          <w:color w:val="000000"/>
          <w:sz w:val="24"/>
        </w:rPr>
        <w:t>Section 4.8.    Private Placement Number</w:t>
      </w:r>
      <w:r>
        <w:rPr>
          <w:rFonts w:ascii="Times New Roman;serif" w:hAnsi="Times New Roman;serif"/>
          <w:b w:val="false"/>
          <w:color w:val="000000"/>
          <w:sz w:val="24"/>
        </w:rPr>
        <w:t>. A Private Placement Number issued by the PPN CUSIP Unit of CUSIP Global Services shall have been obtained for each Series of the Notes.</w:t>
      </w:r>
    </w:p>
    <w:p>
      <w:pPr>
        <w:pStyle w:val="TextBody"/>
        <w:bidi w:val="0"/>
        <w:spacing w:lineRule="atLeast" w:line="280" w:before="280" w:after="283"/>
        <w:ind w:left="0" w:right="0" w:firstLine="360"/>
        <w:jc w:val="both"/>
        <w:rPr/>
      </w:pPr>
      <w:r>
        <w:rPr>
          <w:color w:val="000000"/>
        </w:rPr>
        <w:t>    </w:t>
      </w:r>
      <w:bookmarkStart w:id="16" w:name="i1da44d2ed56c4eb3a0df97ad49625588"/>
      <w:bookmarkEnd w:id="16"/>
      <w:r>
        <w:rPr>
          <w:rFonts w:ascii="Times New Roman;serif" w:hAnsi="Times New Roman;serif"/>
          <w:b/>
          <w:color w:val="000000"/>
          <w:sz w:val="24"/>
        </w:rPr>
        <w:t>Section 4.9.    Changes in Corporate Structure</w:t>
      </w:r>
      <w:r>
        <w:rPr>
          <w:rFonts w:ascii="Times New Roman;serif" w:hAnsi="Times New Roman;serif"/>
          <w:b w:val="false"/>
          <w:color w:val="000000"/>
          <w:sz w:val="24"/>
        </w:rPr>
        <w:t>. Neither the Company nor any Subsidiary Guarantor shall have changed its jurisdiction of incorporation or organization, as applicable, or been a party to any merger or consolidation or succeeded to all or any substantial part of the liabilities of any other entity, at any time following the Execution Date (other than the PSS Acquisition).</w:t>
      </w:r>
    </w:p>
    <w:p>
      <w:pPr>
        <w:pStyle w:val="TextBody"/>
        <w:bidi w:val="0"/>
        <w:spacing w:lineRule="atLeast" w:line="280" w:before="280" w:after="283"/>
        <w:ind w:left="0" w:right="0" w:firstLine="360"/>
        <w:jc w:val="both"/>
        <w:rPr/>
      </w:pPr>
      <w:r>
        <w:rPr>
          <w:color w:val="000000"/>
        </w:rPr>
        <w:t>    </w:t>
      </w:r>
      <w:bookmarkStart w:id="17" w:name="ibc302c22bbda4a649bd6bc752215864e"/>
      <w:bookmarkEnd w:id="17"/>
      <w:r>
        <w:rPr>
          <w:rFonts w:ascii="Times New Roman;serif" w:hAnsi="Times New Roman;serif"/>
          <w:b/>
          <w:color w:val="000000"/>
          <w:sz w:val="24"/>
        </w:rPr>
        <w:t>Section 4.10.    Funding Instructions</w:t>
      </w:r>
      <w:r>
        <w:rPr>
          <w:rFonts w:ascii="Times New Roman;serif" w:hAnsi="Times New Roman;serif"/>
          <w:b w:val="false"/>
          <w:color w:val="000000"/>
          <w:sz w:val="24"/>
        </w:rPr>
        <w:t>. (a) At least five (5)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number/SWIFT Code/IBAN, (iii) the account name and number into which the purchase price for the Notes is to be deposited, which account shall be fully opened and able to receive micro deposits in accordance with this Section 4.10 at least five (5) Business Days prior to the date of Closing and (iv) contact information of a representative at the transferee bank and a representative at the Company available to confirm such instructions by telephone and e-mail.</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Each Purchaser has the right, but not the obligation, upon written notice (which may be by email) to the Company, to elect to deliver a micro deposit (equal to or less than $51.00) to the account identified in the written instructions no later than two (2) Business Days prior to the Closing. If a Purchaser delivers a micro deposit, a Responsible Officer must verbally verify the receipt and amount of the micro deposit to such Purchaser on a telephone call initiated by such Purchaser prior to the Closing. The Company shall not be obligated to return the amount of the micro deposit, nor will the amount of the micro deposit be netted against the Purchaser’s purchase price of the Notes.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If requested by a Purchaser at least two (2) Business Days prior to the date of the Closing, a Responsible Officer of the Company shall have confirmed such written instructions in a live video conference call made available to the Purchasers.</w:t>
      </w:r>
    </w:p>
    <w:p>
      <w:pPr>
        <w:pStyle w:val="TextBody"/>
        <w:bidi w:val="0"/>
        <w:spacing w:lineRule="atLeast" w:line="280" w:before="280" w:after="283"/>
        <w:ind w:left="0" w:right="0" w:firstLine="360"/>
        <w:jc w:val="both"/>
        <w:rPr/>
      </w:pPr>
      <w:r>
        <w:rPr>
          <w:color w:val="000000"/>
        </w:rPr>
        <w:t>    </w:t>
      </w:r>
      <w:bookmarkStart w:id="18" w:name="i0f84ef8f45d844ada10506432e95db4b"/>
      <w:bookmarkEnd w:id="18"/>
      <w:r>
        <w:rPr>
          <w:rFonts w:ascii="Times New Roman;serif" w:hAnsi="Times New Roman;serif"/>
          <w:b/>
          <w:color w:val="000000"/>
          <w:sz w:val="24"/>
        </w:rPr>
        <w:t>Section 4.11.    Offeree Letter</w:t>
      </w:r>
      <w:r>
        <w:rPr>
          <w:rFonts w:ascii="Times New Roman;serif" w:hAnsi="Times New Roman;serif"/>
          <w:b w:val="false"/>
          <w:color w:val="000000"/>
          <w:sz w:val="24"/>
        </w:rPr>
        <w:t xml:space="preserve">. BMO Capital Markets Corp. shall have delivered to the Company, its counsel and the counsel referred to in Section 4.4(b) an offeree letter, in form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7800"/>
                <wp:effectExtent l="0" t="0" r="0" b="0"/>
                <wp:wrapNone/>
                <wp:docPr id="15"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substance satisfactory to the Company and its counsel and Purchasers’ Special Counsel, confirming the manner of the offering of the Notes by such entity and the number of offerees.</w:t>
      </w:r>
    </w:p>
    <w:p>
      <w:pPr>
        <w:pStyle w:val="TextBody"/>
        <w:bidi w:val="0"/>
        <w:spacing w:lineRule="atLeast" w:line="280" w:before="280" w:after="283"/>
        <w:ind w:left="0" w:right="0" w:firstLine="360"/>
        <w:jc w:val="both"/>
        <w:rPr/>
      </w:pPr>
      <w:r>
        <w:rPr>
          <w:color w:val="000000"/>
        </w:rPr>
        <w:t>    </w:t>
      </w:r>
      <w:bookmarkStart w:id="19" w:name="i6976e8e8990b4d228580896e0355d36f"/>
      <w:bookmarkEnd w:id="19"/>
      <w:r>
        <w:rPr>
          <w:rFonts w:ascii="Times New Roman;serif" w:hAnsi="Times New Roman;serif"/>
          <w:b/>
          <w:color w:val="000000"/>
          <w:sz w:val="24"/>
        </w:rPr>
        <w:t>Section 4.12.    Debt Rating</w:t>
      </w:r>
      <w:r>
        <w:rPr>
          <w:rFonts w:ascii="Times New Roman;serif" w:hAnsi="Times New Roman;serif"/>
          <w:b w:val="false"/>
          <w:color w:val="000000"/>
          <w:sz w:val="24"/>
        </w:rPr>
        <w:t>. The Company shall have delivered, or caused to be delivered, to such Purchaser, a Debt Rating issued by an Acceptable Rating Agency setting forth the initial Debt Rating for the Notes, which Debt Rating shall not be lower than BBB. In the event such Debt Rating is not a public rating, the Company will provide to each Purchaser a Private Rating Letter evidencing such Debt Rating and the related Private Rating Rationale Report with respect to such Debt Rating.</w:t>
      </w:r>
    </w:p>
    <w:p>
      <w:pPr>
        <w:pStyle w:val="TextBody"/>
        <w:bidi w:val="0"/>
        <w:spacing w:lineRule="atLeast" w:line="280" w:before="280" w:after="283"/>
        <w:ind w:left="0" w:right="0" w:firstLine="360"/>
        <w:jc w:val="both"/>
        <w:rPr/>
      </w:pPr>
      <w:r>
        <w:rPr>
          <w:color w:val="000000"/>
        </w:rPr>
        <w:t>    </w:t>
      </w:r>
      <w:bookmarkStart w:id="20" w:name="i8e02c3410de14e9db5d7926797256323"/>
      <w:bookmarkEnd w:id="20"/>
      <w:r>
        <w:rPr>
          <w:rFonts w:ascii="Times New Roman;serif" w:hAnsi="Times New Roman;serif"/>
          <w:b/>
          <w:color w:val="000000"/>
          <w:sz w:val="24"/>
        </w:rPr>
        <w:t>Section 4.13.    Subsidiary Guaranty</w:t>
      </w:r>
      <w:r>
        <w:rPr>
          <w:rFonts w:ascii="Times New Roman;serif" w:hAnsi="Times New Roman;serif"/>
          <w:b w:val="false"/>
          <w:color w:val="000000"/>
          <w:sz w:val="24"/>
        </w:rPr>
        <w:t>. The Subsidiary Guaranty shall have been duly authorized, executed and delivered by each Subsidiary Guarantor, shall constitute the legal, valid and binding contract and agreement of each Subsidiary Guarantor and such Purchaser shall have received a true, correct and complete copy thereof.</w:t>
      </w:r>
    </w:p>
    <w:p>
      <w:pPr>
        <w:pStyle w:val="TextBody"/>
        <w:bidi w:val="0"/>
        <w:spacing w:lineRule="atLeast" w:line="280" w:before="280" w:after="283"/>
        <w:ind w:left="0" w:right="0" w:firstLine="360"/>
        <w:jc w:val="both"/>
        <w:rPr/>
      </w:pPr>
      <w:r>
        <w:rPr>
          <w:color w:val="000000"/>
        </w:rPr>
        <w:t>    </w:t>
      </w:r>
      <w:bookmarkStart w:id="21" w:name="i6dd9bfba5433492fa02fa82a5119d40b"/>
      <w:bookmarkEnd w:id="21"/>
      <w:r>
        <w:rPr>
          <w:rFonts w:ascii="Times New Roman;serif" w:hAnsi="Times New Roman;serif"/>
          <w:b/>
          <w:color w:val="000000"/>
          <w:sz w:val="24"/>
        </w:rPr>
        <w:t>Section 4.14.    Notice of Closing Date</w:t>
      </w:r>
      <w:r>
        <w:rPr>
          <w:rFonts w:ascii="Times New Roman;serif" w:hAnsi="Times New Roman;serif"/>
          <w:b w:val="false"/>
          <w:color w:val="000000"/>
          <w:sz w:val="24"/>
        </w:rPr>
        <w:t>. At least five (5) Business Days prior to the date of the Closing, each Purchaser shall have received written notice signed by a Responsible Officer on letterhead of the Company confirming the date of the Closing.</w:t>
      </w:r>
    </w:p>
    <w:p>
      <w:pPr>
        <w:pStyle w:val="TextBody"/>
        <w:bidi w:val="0"/>
        <w:spacing w:lineRule="atLeast" w:line="280" w:before="280" w:after="283"/>
        <w:ind w:left="0" w:right="0" w:firstLine="360"/>
        <w:jc w:val="both"/>
        <w:rPr/>
      </w:pPr>
      <w:r>
        <w:rPr>
          <w:color w:val="000000"/>
        </w:rPr>
        <w:t>    </w:t>
      </w:r>
      <w:bookmarkStart w:id="22" w:name="i7b5fa568293e487a8e7f81f656f642eb"/>
      <w:bookmarkEnd w:id="22"/>
      <w:r>
        <w:rPr>
          <w:rFonts w:ascii="Times New Roman;serif" w:hAnsi="Times New Roman;serif"/>
          <w:b/>
          <w:color w:val="000000"/>
          <w:sz w:val="24"/>
        </w:rPr>
        <w:t>Section 4.15.    Proceedings and Documents</w:t>
      </w:r>
      <w:r>
        <w:rPr>
          <w:rFonts w:ascii="Times New Roman;serif" w:hAnsi="Times New Roman;serif"/>
          <w:b w:val="false"/>
          <w:color w:val="000000"/>
          <w:sz w:val="24"/>
        </w:rPr>
        <w:t>.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bidi w:val="0"/>
        <w:spacing w:lineRule="atLeast" w:line="280" w:before="320" w:after="283"/>
        <w:ind w:left="0" w:right="0" w:hanging="1699"/>
        <w:jc w:val="left"/>
        <w:rPr/>
      </w:pPr>
      <w:bookmarkStart w:id="23" w:name="ia0216271962140eaa35191e2c45ab876"/>
      <w:bookmarkEnd w:id="23"/>
      <w:r>
        <w:rPr>
          <w:rFonts w:ascii="Times New Roman;serif" w:hAnsi="Times New Roman;serif"/>
          <w:b/>
          <w:color w:val="000000"/>
          <w:sz w:val="24"/>
        </w:rPr>
        <w:t>Section 5.    Representations and Warranties of the Company</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represents and warrants to each Purchaser as of the date of this Agreement and as of the Closing that:</w:t>
      </w:r>
    </w:p>
    <w:p>
      <w:pPr>
        <w:pStyle w:val="TextBody"/>
        <w:bidi w:val="0"/>
        <w:spacing w:lineRule="atLeast" w:line="280" w:before="280" w:after="283"/>
        <w:ind w:left="0" w:right="0" w:firstLine="360"/>
        <w:jc w:val="both"/>
        <w:rPr/>
      </w:pPr>
      <w:r>
        <w:rPr>
          <w:color w:val="000000"/>
        </w:rPr>
        <w:t>    </w:t>
      </w:r>
      <w:bookmarkStart w:id="24" w:name="i13f6cfa0b483478484d609c65f9fb6e1"/>
      <w:bookmarkEnd w:id="24"/>
      <w:r>
        <w:rPr>
          <w:rFonts w:ascii="Times New Roman;serif" w:hAnsi="Times New Roman;serif"/>
          <w:b/>
          <w:color w:val="000000"/>
          <w:sz w:val="24"/>
        </w:rPr>
        <w:t>Section 5.1.    Organization; Power and Authority</w:t>
      </w:r>
      <w:r>
        <w:rPr>
          <w:rFonts w:ascii="Times New Roman;serif" w:hAnsi="Times New Roman;serif"/>
          <w:b w:val="false"/>
          <w:color w:val="000000"/>
          <w:sz w:val="24"/>
        </w:rPr>
        <w:t>. The Company is a corporation duly organized, validly existing and in good standing (or equivalent status) under the laws of its jurisdiction of incorporation, and is duly qualified as a foreign corporation and is in good standing (or equivalent status) in each jurisdiction where the nature of its business makes such qualification necessary,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presently transacts, to execute and deliver this Agreement and the Notes and to perform the provisions hereof and thereof.</w:t>
      </w:r>
    </w:p>
    <w:p>
      <w:pPr>
        <w:pStyle w:val="TextBody"/>
        <w:bidi w:val="0"/>
        <w:spacing w:lineRule="atLeast" w:line="280" w:before="280" w:after="283"/>
        <w:ind w:left="0" w:right="0" w:firstLine="360"/>
        <w:jc w:val="both"/>
        <w:rPr/>
      </w:pPr>
      <w:r>
        <w:rPr>
          <w:color w:val="000000"/>
        </w:rPr>
        <w:t>    </w:t>
      </w:r>
      <w:bookmarkStart w:id="25" w:name="i9dced47ec24040e5a202fe5c700fb3ee"/>
      <w:bookmarkEnd w:id="25"/>
      <w:r>
        <w:rPr>
          <w:rFonts w:ascii="Times New Roman;serif" w:hAnsi="Times New Roman;serif"/>
          <w:b/>
          <w:color w:val="000000"/>
          <w:sz w:val="24"/>
        </w:rPr>
        <w:t>Section 5.2.    Authorization, Etc</w:t>
      </w:r>
      <w:r>
        <w:rPr>
          <w:rFonts w:ascii="Times New Roman;serif" w:hAnsi="Times New Roman;serif"/>
          <w:b w:val="false"/>
          <w:color w:val="000000"/>
          <w:sz w:val="24"/>
        </w:rPr>
        <w:t xml:space="preserve">.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7800"/>
                <wp:effectExtent l="0" t="0" r="0" b="0"/>
                <wp:wrapNone/>
                <wp:docPr id="16"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pStyle w:val="TextBody"/>
        <w:bidi w:val="0"/>
        <w:spacing w:lineRule="atLeast" w:line="280" w:before="280" w:after="283"/>
        <w:ind w:left="0" w:right="0" w:firstLine="360"/>
        <w:jc w:val="both"/>
        <w:rPr/>
      </w:pPr>
      <w:r>
        <w:rPr>
          <w:color w:val="000000"/>
        </w:rPr>
        <w:t>    </w:t>
      </w:r>
      <w:bookmarkStart w:id="26" w:name="id5a290832d544cd8a5f57a6b58e09965"/>
      <w:bookmarkEnd w:id="26"/>
      <w:r>
        <w:rPr>
          <w:rFonts w:ascii="Times New Roman;serif" w:hAnsi="Times New Roman;serif"/>
          <w:b/>
          <w:color w:val="000000"/>
          <w:sz w:val="24"/>
        </w:rPr>
        <w:t>Section 5.3.    Disclosure</w:t>
      </w:r>
      <w:r>
        <w:rPr>
          <w:rFonts w:ascii="Times New Roman;serif" w:hAnsi="Times New Roman;serif"/>
          <w:b w:val="false"/>
          <w:color w:val="000000"/>
          <w:sz w:val="24"/>
        </w:rPr>
        <w:t xml:space="preserve">. The Company, through its agent, BMO Capital Markets Corp., has delivered to each Purchaser a copy of a Private Placement Investor Presentation, dated June 25, 2026 (the </w:t>
      </w:r>
      <w:r>
        <w:rPr>
          <w:color w:val="000000"/>
        </w:rPr>
        <w:t>“</w:t>
      </w:r>
      <w:r>
        <w:rPr>
          <w:rFonts w:ascii="Times New Roman;serif" w:hAnsi="Times New Roman;serif"/>
          <w:b/>
          <w:color w:val="000000"/>
          <w:sz w:val="24"/>
        </w:rPr>
        <w:t>Presentation”</w:t>
      </w:r>
      <w:r>
        <w:rPr>
          <w:rFonts w:ascii="Times New Roman;serif" w:hAnsi="Times New Roman;serif"/>
          <w:b w:val="false"/>
          <w:color w:val="000000"/>
          <w:sz w:val="24"/>
        </w:rPr>
        <w:t xml:space="preserve">), relating to the transactions contemplated hereby. The Presentation fairly describes, in all material respects, the general nature of the business and principal properties of the Company and its Subsidiaries. This Agreement, the Presentation, the financial statements listed in Schedule 5.5 and the documents, certificates or other writings delivered to the Purchasers by or on behalf of the Company prior to July 17, 2026 in connection with the transactions contemplated hereby and identified in Schedule 5.3 (this Agreement, the Presentation and such documents, certificates or other writings and such financial statements delivered to each Purchaser being referred to, collectively, as the </w:t>
      </w:r>
      <w:r>
        <w:rPr>
          <w:color w:val="000000"/>
        </w:rPr>
        <w:t>“</w:t>
      </w:r>
      <w:r>
        <w:rPr>
          <w:rFonts w:ascii="Times New Roman;serif" w:hAnsi="Times New Roman;serif"/>
          <w:b/>
          <w:color w:val="000000"/>
          <w:sz w:val="24"/>
        </w:rPr>
        <w:t>Disclosure Documents”</w:t>
      </w:r>
      <w:r>
        <w:rPr>
          <w:rFonts w:ascii="Times New Roman;serif" w:hAnsi="Times New Roman;serif"/>
          <w:b w:val="false"/>
          <w:color w:val="000000"/>
          <w:sz w:val="24"/>
        </w:rPr>
        <w:t>), taken as a whole, do not contain any untrue statement of a material fact or omit to state any material fact necessary to make the statements therein not materially misleading in light of the circumstances under which they were made (it being recognized by the Purchasers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 Except as disclosed in the Disclosure Documents, since July 31, 2025, there has been no change in the financial condition, operations, business, properties, or prospects of the Company or any Subsidiary except changes that could not, individually or in the aggregate, reasonably be expected to have a Material Adverse Effect. There is no fact known to the Company that could reasonably be expected to have a Material Adverse Effect that has not been set forth herein or in the Disclosure Documents.</w:t>
      </w:r>
    </w:p>
    <w:p>
      <w:pPr>
        <w:pStyle w:val="TextBody"/>
        <w:bidi w:val="0"/>
        <w:spacing w:lineRule="atLeast" w:line="280" w:before="280" w:after="283"/>
        <w:ind w:left="0" w:right="0" w:firstLine="360"/>
        <w:jc w:val="both"/>
        <w:rPr/>
      </w:pPr>
      <w:r>
        <w:rPr>
          <w:color w:val="000000"/>
        </w:rPr>
        <w:t>    </w:t>
      </w:r>
      <w:bookmarkStart w:id="27" w:name="ifc37dcd6f0f941f589d797965eb6e4cf"/>
      <w:bookmarkEnd w:id="27"/>
      <w:r>
        <w:rPr>
          <w:rFonts w:ascii="Times New Roman;serif" w:hAnsi="Times New Roman;serif"/>
          <w:b/>
          <w:color w:val="000000"/>
          <w:sz w:val="24"/>
        </w:rPr>
        <w:t>Section 5.4.    Organization and Ownership of Shares of Subsidiaries</w:t>
      </w:r>
      <w:r>
        <w:rPr>
          <w:rFonts w:ascii="Times New Roman;serif" w:hAnsi="Times New Roman;serif"/>
          <w:b w:val="false"/>
          <w:color w:val="000000"/>
          <w:sz w:val="24"/>
        </w:rPr>
        <w:t>. (a) Schedule 5.4 contains (except as noted therein) complete and correct lists of the Company’s Subsidiaries, showing, as to each Subsidiary, the name thereof, the jurisdiction of its organization, the percentage of shares of each class of its capital stock or similar equity interests outstanding owned by the Company and each other Subsidiary and whether such Subsidiary is a Subsidiary Guarantor.</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All of the outstanding shares of capital stock or similar equity interests of each Subsidiary shown in Schedule 5.4 as being owned by the Company and its Subsidiaries have been validly issued, are fully paid and non-assessable (except, with respect to capital stock of a Wisconsin corporation, as otherwise provided in former Section 180.0622(2) of the Wisconsin Business Corporation Law, as judicially interpreted, for debts incurred prior to June 14, 2006) and are owned by the Company or another Subsidiary free and clear of any Lien that is prohibited by this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7800"/>
                <wp:effectExtent l="0" t="0" r="0" b="0"/>
                <wp:wrapNone/>
                <wp:docPr id="17"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Each Significant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where the nature of its business makes such qualification necessary, other than those jurisdictions as to which the failure to be so qualified or in good standing could not reasonably be expected to have a Material Adverse Effect. Each such Significant Subsidiary has the corporate or other power and authority to own or hold under lease the properties it purports to own or hold under lease and to transact the business it presently transacts.</w:t>
      </w:r>
    </w:p>
    <w:p>
      <w:pPr>
        <w:pStyle w:val="TextBody"/>
        <w:bidi w:val="0"/>
        <w:spacing w:lineRule="atLeast" w:line="280" w:before="280" w:after="283"/>
        <w:ind w:left="0" w:right="0" w:firstLine="360"/>
        <w:jc w:val="both"/>
        <w:rPr/>
      </w:pPr>
      <w:r>
        <w:rPr>
          <w:color w:val="000000"/>
        </w:rPr>
        <w:t>    </w:t>
      </w:r>
      <w:bookmarkStart w:id="28" w:name="i4836cf1c4a9f4f24830a0a10b67cb48d"/>
      <w:bookmarkEnd w:id="28"/>
      <w:r>
        <w:rPr>
          <w:rFonts w:ascii="Times New Roman;serif" w:hAnsi="Times New Roman;serif"/>
          <w:b/>
          <w:color w:val="000000"/>
          <w:sz w:val="24"/>
        </w:rPr>
        <w:t>Section 5.5.    Financial Statements</w:t>
      </w:r>
      <w:r>
        <w:rPr>
          <w:rFonts w:ascii="Times New Roman;serif" w:hAnsi="Times New Roman;serif"/>
          <w:b w:val="false"/>
          <w:color w:val="000000"/>
          <w:sz w:val="24"/>
        </w:rPr>
        <w:t>. The Company has delivered to each Purchaser copies of the financial statements of the Company and its Subsidiaries listed on Schedule 5.5. All of such financial statements (including in each case the related schedules and notes) fairly present in all material respects the consolidated financial position of the Company and its consolidated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and absence of footnotes). The Company and its Subsidiaries do not have any Material liabilities that are not disclosed in the Disclosure Documents.</w:t>
      </w:r>
    </w:p>
    <w:p>
      <w:pPr>
        <w:pStyle w:val="TextBody"/>
        <w:bidi w:val="0"/>
        <w:spacing w:lineRule="atLeast" w:line="280" w:before="280" w:after="283"/>
        <w:ind w:left="0" w:right="0" w:firstLine="360"/>
        <w:jc w:val="both"/>
        <w:rPr/>
      </w:pPr>
      <w:r>
        <w:rPr>
          <w:color w:val="000000"/>
        </w:rPr>
        <w:t>    </w:t>
      </w:r>
      <w:bookmarkStart w:id="29" w:name="i4539d394b21f432fab26d5186262e7b3"/>
      <w:bookmarkEnd w:id="29"/>
      <w:r>
        <w:rPr>
          <w:rFonts w:ascii="Times New Roman;serif" w:hAnsi="Times New Roman;serif"/>
          <w:b/>
          <w:color w:val="000000"/>
          <w:sz w:val="24"/>
        </w:rPr>
        <w:t>Section 5.6.    Compliance with Laws, Other Instruments, Etc</w:t>
      </w:r>
      <w:r>
        <w:rPr>
          <w:rFonts w:ascii="Times New Roman;serif" w:hAnsi="Times New Roman;serif"/>
          <w:b w:val="false"/>
          <w:color w:val="000000"/>
          <w:sz w:val="24"/>
        </w:rPr>
        <w:t>. The execution, delivery and performance by the Company of this Agreement and the Notes will not (a) violate any provision of applicable law or any order, decree or judgment of any court or other Governmental Authority which is binding on the Company or any other Note Party, (b) contravene or conflict with, or result in a breach of, any provision of the organizational documents of the Company or any other Note Party, (c) contravene or conflict with, or result in a Lien under, any material agreement, indenture, instrument or other document which is binding on the Company or any other Note Party or (d) as of the Execution Date, cause a default under any agreement or instrument with respect to Indebtedness of any Note Party having a principal or committed amount in excess of $50,000,000.</w:t>
      </w:r>
    </w:p>
    <w:p>
      <w:pPr>
        <w:pStyle w:val="TextBody"/>
        <w:bidi w:val="0"/>
        <w:spacing w:lineRule="atLeast" w:line="280" w:before="280" w:after="283"/>
        <w:ind w:left="0" w:right="0" w:firstLine="360"/>
        <w:jc w:val="both"/>
        <w:rPr/>
      </w:pPr>
      <w:r>
        <w:rPr>
          <w:color w:val="000000"/>
        </w:rPr>
        <w:t>    </w:t>
      </w:r>
      <w:bookmarkStart w:id="30" w:name="if6b935391115493e897e6df0deed8f83"/>
      <w:bookmarkEnd w:id="30"/>
      <w:r>
        <w:rPr>
          <w:rFonts w:ascii="Times New Roman;serif" w:hAnsi="Times New Roman;serif"/>
          <w:b/>
          <w:color w:val="000000"/>
          <w:sz w:val="24"/>
        </w:rPr>
        <w:t>Section 5.7.    Governmental Authorizations, Etc</w:t>
      </w:r>
      <w:r>
        <w:rPr>
          <w:rFonts w:ascii="Times New Roman;serif" w:hAnsi="Times New Roman;serif"/>
          <w:b w:val="false"/>
          <w:color w:val="000000"/>
          <w:sz w:val="24"/>
        </w:rPr>
        <w:t>. No consent, approval or authorization of, or registration, filing or declaration with, any Governmental Authority is required in connection with the execution, delivery or performance by the Company of this Agreement or the Notes except (a) such as have been made or obtained and (b) for any such consents, approvals, authorization, registrations, filings or declarations the failure of which to obtain could not reasonably be expected to have a Material Adverse Effect.</w:t>
      </w:r>
    </w:p>
    <w:p>
      <w:pPr>
        <w:pStyle w:val="TextBody"/>
        <w:bidi w:val="0"/>
        <w:spacing w:lineRule="atLeast" w:line="280" w:before="280" w:after="283"/>
        <w:ind w:left="0" w:right="0" w:firstLine="360"/>
        <w:jc w:val="both"/>
        <w:rPr/>
      </w:pPr>
      <w:r>
        <w:rPr>
          <w:color w:val="000000"/>
        </w:rPr>
        <w:t>    </w:t>
      </w:r>
      <w:bookmarkStart w:id="31" w:name="i2685b8d8064144f6b45d8aaf4ea7a255"/>
      <w:bookmarkEnd w:id="31"/>
      <w:r>
        <w:rPr>
          <w:rFonts w:ascii="Times New Roman;serif" w:hAnsi="Times New Roman;serif"/>
          <w:b/>
          <w:color w:val="000000"/>
          <w:sz w:val="24"/>
        </w:rPr>
        <w:t>Section 5.8.    Litigation; Observance of Agreements, Statutes and Orders</w:t>
      </w:r>
      <w:r>
        <w:rPr>
          <w:rFonts w:ascii="Times New Roman;serif" w:hAnsi="Times New Roman;serif"/>
          <w:b w:val="false"/>
          <w:color w:val="000000"/>
          <w:sz w:val="24"/>
        </w:rPr>
        <w:t>. (a) There are no actions, suits, investigations or proceedings pending or, to the knowledge of the Company, threatened in writing against the Company or any Significant Subsidiary or any property of the Company or any Significant Subsidiary in any court or before any arbitrator of any kind or before or by any Governmental Authority that could, individually or in the aggregate, reasonably be expected to have a Material Adverse Effect.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7800"/>
                <wp:effectExtent l="0" t="0" r="0" b="0"/>
                <wp:wrapNone/>
                <wp:docPr id="18" name="Frame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Significant Subsidiary is (i) in default under any agreement or instrument to which it is a party or by which it is bound, (ii) in violation of any order, judgment, decree or ruling of any court, any arbitrator of any kind or any Governmental Authority or (iii) in violation of any applicable law, ordinance, rule or regulation of any Governmental Authority (including Environmental Laws, the USA PATRIOT Act or any of the other laws and regulations that are referred to in Section 5.16), which default or violation could, individually or in the aggregate, reasonably be expected to have a Material Adverse Effect.</w:t>
      </w:r>
    </w:p>
    <w:p>
      <w:pPr>
        <w:pStyle w:val="TextBody"/>
        <w:bidi w:val="0"/>
        <w:spacing w:lineRule="atLeast" w:line="280" w:before="280" w:after="283"/>
        <w:ind w:left="0" w:right="0" w:firstLine="360"/>
        <w:jc w:val="both"/>
        <w:rPr/>
      </w:pPr>
      <w:r>
        <w:rPr>
          <w:color w:val="000000"/>
        </w:rPr>
        <w:t>    </w:t>
      </w:r>
      <w:bookmarkStart w:id="32" w:name="i32d6a8787ec54522806ea2b12c78b7bc"/>
      <w:bookmarkEnd w:id="32"/>
      <w:r>
        <w:rPr>
          <w:rFonts w:ascii="Times New Roman;serif" w:hAnsi="Times New Roman;serif"/>
          <w:b/>
          <w:color w:val="000000"/>
          <w:sz w:val="24"/>
        </w:rPr>
        <w:t>Section 5.9.    Taxes</w:t>
      </w:r>
      <w:r>
        <w:rPr>
          <w:rFonts w:ascii="Times New Roman;serif" w:hAnsi="Times New Roman;serif"/>
          <w:b w:val="false"/>
          <w:color w:val="000000"/>
          <w:sz w:val="24"/>
        </w:rPr>
        <w:t>. The Company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(a) where failure of which to file and/or pay (as the case may be) could not reasonably be expected to have a Material Adverse Effect or (b)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July 31, 2025.</w:t>
      </w:r>
    </w:p>
    <w:p>
      <w:pPr>
        <w:pStyle w:val="TextBody"/>
        <w:bidi w:val="0"/>
        <w:spacing w:lineRule="atLeast" w:line="280" w:before="280" w:after="283"/>
        <w:ind w:left="0" w:right="0" w:firstLine="360"/>
        <w:jc w:val="both"/>
        <w:rPr/>
      </w:pPr>
      <w:r>
        <w:rPr>
          <w:color w:val="000000"/>
        </w:rPr>
        <w:t>    </w:t>
      </w:r>
      <w:bookmarkStart w:id="33" w:name="i2814b4cd67474e7f83f639fa316f195e"/>
      <w:bookmarkEnd w:id="33"/>
      <w:r>
        <w:rPr>
          <w:rFonts w:ascii="Times New Roman;serif" w:hAnsi="Times New Roman;serif"/>
          <w:b/>
          <w:color w:val="000000"/>
          <w:sz w:val="24"/>
        </w:rPr>
        <w:t>Section 5.10.    Title to Property</w:t>
      </w:r>
      <w:r>
        <w:rPr>
          <w:rFonts w:ascii="Times New Roman;serif" w:hAnsi="Times New Roman;serif"/>
          <w:b w:val="false"/>
          <w:color w:val="000000"/>
          <w:sz w:val="24"/>
        </w:rPr>
        <w:t>. 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pStyle w:val="TextBody"/>
        <w:bidi w:val="0"/>
        <w:spacing w:lineRule="atLeast" w:line="280" w:before="280" w:after="283"/>
        <w:ind w:left="0" w:right="0" w:firstLine="360"/>
        <w:jc w:val="both"/>
        <w:rPr/>
      </w:pPr>
      <w:r>
        <w:rPr>
          <w:color w:val="000000"/>
        </w:rPr>
        <w:t>    </w:t>
      </w:r>
      <w:bookmarkStart w:id="34" w:name="ib42a0eb9cff04fd79f1ed10562e4bc10"/>
      <w:bookmarkEnd w:id="34"/>
      <w:r>
        <w:rPr>
          <w:rFonts w:ascii="Times New Roman;serif" w:hAnsi="Times New Roman;serif"/>
          <w:b/>
          <w:color w:val="000000"/>
          <w:sz w:val="24"/>
        </w:rPr>
        <w:t>Section 5.11.    Licenses, Permits, Etc</w:t>
      </w:r>
      <w:r>
        <w:rPr>
          <w:rFonts w:ascii="Times New Roman;serif" w:hAnsi="Times New Roman;serif"/>
          <w:b w:val="false"/>
          <w:color w:val="000000"/>
          <w:sz w:val="24"/>
        </w:rPr>
        <w:t>. The Company and its Significant Subsidiaries own or possess all licenses, permits, franchises, authorizations, patents, copyrights, proprietary software, service marks, trademarks and trade names, or rights thereto, except as could not reasonably be expected to have a Material Adverse Effect.</w:t>
      </w:r>
    </w:p>
    <w:p>
      <w:pPr>
        <w:pStyle w:val="TextBody"/>
        <w:bidi w:val="0"/>
        <w:spacing w:lineRule="atLeast" w:line="280" w:before="280" w:after="283"/>
        <w:ind w:left="0" w:right="0" w:firstLine="360"/>
        <w:jc w:val="both"/>
        <w:rPr/>
      </w:pPr>
      <w:r>
        <w:rPr>
          <w:color w:val="000000"/>
        </w:rPr>
        <w:t>    </w:t>
      </w:r>
      <w:bookmarkStart w:id="35" w:name="i7a308e8e96db4647970b7486d9fb89ce"/>
      <w:bookmarkEnd w:id="35"/>
      <w:r>
        <w:rPr>
          <w:rFonts w:ascii="Times New Roman;serif" w:hAnsi="Times New Roman;serif"/>
          <w:b/>
          <w:color w:val="000000"/>
          <w:sz w:val="24"/>
        </w:rPr>
        <w:t>Section 5.12.    Compliance with ERISA</w:t>
      </w:r>
      <w:r>
        <w:rPr>
          <w:rFonts w:ascii="Times New Roman;serif" w:hAnsi="Times New Roman;serif"/>
          <w:b w:val="false"/>
          <w:color w:val="000000"/>
          <w:sz w:val="24"/>
        </w:rPr>
        <w:t>. (a) During the twelve-consecutive-month period prior to the Execution Date or the Closing, (i) no steps have been taken to terminate any Pension Plan other than a “standard termination” in accordance with Section 4041(b) of ERISA and (ii) 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contributions (if any) have been made to any Multiemployer Plan that are required to be made by the Company or any other member of the Controlled Group under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7800"/>
                <wp:effectExtent l="0" t="0" r="0" b="0"/>
                <wp:wrapNone/>
                <wp:docPr id="19" name="Frame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terms of the plan or of any collective bargaining agreement or by applicable law; neither the Company nor any member of the Controlled Group has withdrawn or partially withdrawn from any Multiemployer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Times New Roman;serif" w:hAnsi="Times New Roman;serif"/>
          <w:b w:val="false"/>
          <w:color w:val="000000"/>
          <w:sz w:val="24"/>
          <w:u w:val="single"/>
        </w:rPr>
        <w:t>clause (b)</w:t>
      </w:r>
      <w:r>
        <w:rPr>
          <w:rFonts w:ascii="Times New Roman;serif" w:hAnsi="Times New Roman;serif"/>
          <w:b w:val="false"/>
          <w:color w:val="000000"/>
          <w:sz w:val="24"/>
        </w:rPr>
        <w:t>, to the extent that the facts and circumstances causing such representation and warranty to be inaccurate could not reasonably be expected to have a Material Adverse Effect.</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Neither the Company nor any other Note Party is an entity deemed to hold Plan Assets.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color w:val="000000"/>
          <w:sz w:val="24"/>
        </w:rPr>
        <w:t>The present value of the aggregate benefit liabilities under each of the Pension Plans (other than Multiemployer Plans), determined as of the end of such Pension Plan’s most recently ended plan year on the basis of the actuarial assumptions specified for funding purposes in such Pension Plan’s most recent actuarial valuation report, did not exceed the aggregate current value of the assets of such Pension Plan allocable to such benefit liabilities.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(e)</w:t>
      </w:r>
      <w:r>
        <w:rPr>
          <w:rFonts w:ascii="Times New Roman;serif" w:hAnsi="Times New Roman;serif"/>
          <w:b w:val="false"/>
          <w:color w:val="000000"/>
          <w:sz w:val="24"/>
        </w:rPr>
        <w:t>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any Note Party, and their Subsidiaries is not Material.</w:t>
      </w:r>
    </w:p>
    <w:p>
      <w:pPr>
        <w:pStyle w:val="TextBody"/>
        <w:bidi w:val="0"/>
        <w:spacing w:lineRule="auto" w:line="278" w:before="280" w:after="283"/>
        <w:ind w:left="0" w:right="0" w:firstLine="825"/>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5.12(f) is made in reliance upon and subject to the accuracy of such Purchaser’s representation in Section 6.2 as to the sources of the funds to be used to pay the purchase price of the Notes to be purchased by such Purchaser. </w:t>
      </w:r>
    </w:p>
    <w:p>
      <w:pPr>
        <w:pStyle w:val="TextBody"/>
        <w:bidi w:val="0"/>
        <w:spacing w:lineRule="auto" w:line="278" w:before="280" w:after="283"/>
        <w:ind w:left="0" w:right="0" w:firstLine="825"/>
        <w:jc w:val="both"/>
        <w:rPr/>
      </w:pPr>
      <w:r>
        <w:rPr>
          <w:rFonts w:ascii="Times New Roman;serif" w:hAnsi="Times New Roman;serif"/>
          <w:b w:val="false"/>
          <w:color w:val="000000"/>
          <w:sz w:val="24"/>
        </w:rPr>
        <w:t>(g)</w:t>
      </w:r>
      <w:r>
        <w:rPr>
          <w:rFonts w:ascii="Times New Roman;serif" w:hAnsi="Times New Roman;serif"/>
          <w:b w:val="false"/>
          <w:color w:val="000000"/>
          <w:sz w:val="24"/>
        </w:rPr>
        <w:t>All Non-U.S.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Non-U.S. Plan documents or applicable laws to be paid or accrued by the Company, each Note Party and their Subsidiaries have been paid or accrued as required, except where failure so to pay or accrue could not be reasonably expected to have a Material Adverse Effect.</w:t>
      </w:r>
    </w:p>
    <w:p>
      <w:pPr>
        <w:pStyle w:val="TextBody"/>
        <w:bidi w:val="0"/>
        <w:spacing w:lineRule="atLeast" w:line="280" w:before="280" w:after="283"/>
        <w:ind w:left="0" w:right="0" w:firstLine="360"/>
        <w:jc w:val="both"/>
        <w:rPr/>
      </w:pPr>
      <w:r>
        <w:rPr>
          <w:color w:val="000000"/>
        </w:rPr>
        <w:t>    </w:t>
      </w:r>
      <w:bookmarkStart w:id="36" w:name="ia925a64aa1744d138c8947a44fcbe319"/>
      <w:bookmarkEnd w:id="36"/>
      <w:r>
        <w:rPr>
          <w:rFonts w:ascii="Times New Roman;serif" w:hAnsi="Times New Roman;serif"/>
          <w:b/>
          <w:color w:val="000000"/>
          <w:sz w:val="24"/>
        </w:rPr>
        <w:t>Section 5.13.    Private Offering by the Company</w:t>
      </w:r>
      <w:r>
        <w:rPr>
          <w:rFonts w:ascii="Times New Roman;serif" w:hAnsi="Times New Roman;serif"/>
          <w:b w:val="false"/>
          <w:color w:val="000000"/>
          <w:sz w:val="24"/>
        </w:rPr>
        <w:t xml:space="preserve">. Neither the Company nor anyone acting on its behalf has offered the Notes or any similar Securities for sale to, or solicited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7800"/>
                <wp:effectExtent l="0" t="0" r="0" b="0"/>
                <wp:wrapNone/>
                <wp:docPr id="20" name="Frame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offer to buy the Notes or any similar Securities from, or otherwise approached or negotiated in respect thereof with, any Person other than the Purchasers and not more than seventy-five (75) Institutional Investors (including the Purchasers), each of which has been offered the Notes at a private sale for investment. Neither the Company nor anyone acting on its behalf has, with respect to the Notes, engaged in any form of “general solicitation or general advertising,” as defined under Rule 502(c) of the Securities Act. The Company has provided each Purchaser an opportunity to discuss with the Company’s management the financial statements delivered pursuant to Section 5.5, as well as the Company’s business, management, financial affairs and the terms and conditions of the offering of the Notes. Neither the Company nor anyone acting on its behalf has taken, or will take, any action that would subject the issuance or sale of the Notes or delivery of any Guaranties to the registration requirements of section 5 of the Securities Act or to the registration requirements of any Securities or blue sky laws of any applicable jurisdiction, including the jurisdiction that governs the Company’s internal affairs.</w:t>
      </w:r>
    </w:p>
    <w:p>
      <w:pPr>
        <w:pStyle w:val="TextBody"/>
        <w:bidi w:val="0"/>
        <w:spacing w:lineRule="atLeast" w:line="280" w:before="280" w:after="283"/>
        <w:ind w:left="0" w:right="0" w:firstLine="360"/>
        <w:jc w:val="both"/>
        <w:rPr/>
      </w:pPr>
      <w:r>
        <w:rPr>
          <w:color w:val="000000"/>
        </w:rPr>
        <w:t>    </w:t>
      </w:r>
      <w:bookmarkStart w:id="37" w:name="ia6d83da34262472e8bac5c80e51e7c9e"/>
      <w:bookmarkEnd w:id="37"/>
      <w:r>
        <w:rPr>
          <w:rFonts w:ascii="Times New Roman;serif" w:hAnsi="Times New Roman;serif"/>
          <w:b/>
          <w:color w:val="000000"/>
          <w:sz w:val="24"/>
        </w:rPr>
        <w:t>Section 5.14.    Use of Proceeds; Margin Regulations</w:t>
      </w:r>
      <w:r>
        <w:rPr>
          <w:rFonts w:ascii="Times New Roman;serif" w:hAnsi="Times New Roman;serif"/>
          <w:b w:val="false"/>
          <w:color w:val="000000"/>
          <w:sz w:val="24"/>
        </w:rPr>
        <w:t xml:space="preserve">. The Company will apply the proceeds of the sale of the Notes hereunder to provide funding for the PSS Acquisition and to pay related or ancillary costs and expenses,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5% of the value of the consolidated assets of the Company and its Subsidiaries and the Company does not have any present intention that margin stock will constitute more than 5% of the value of such assets. As used in this Section, the terms </w:t>
      </w:r>
      <w:r>
        <w:rPr>
          <w:color w:val="000000"/>
        </w:rPr>
        <w:t>“</w:t>
      </w:r>
      <w:r>
        <w:rPr>
          <w:rFonts w:ascii="Times New Roman;serif" w:hAnsi="Times New Roman;serif"/>
          <w:b/>
          <w:color w:val="000000"/>
          <w:sz w:val="24"/>
        </w:rPr>
        <w:t>margin stock”</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color w:val="000000"/>
          <w:sz w:val="24"/>
        </w:rPr>
        <w:t>purpose of buying or carrying”</w:t>
      </w:r>
      <w:r>
        <w:rPr>
          <w:color w:val="000000"/>
        </w:rPr>
        <w:t xml:space="preserve"> </w:t>
      </w:r>
      <w:r>
        <w:rPr>
          <w:rFonts w:ascii="Times New Roman;serif" w:hAnsi="Times New Roman;serif"/>
          <w:b w:val="false"/>
          <w:color w:val="000000"/>
          <w:sz w:val="24"/>
        </w:rPr>
        <w:t>shall have the meanings assigned to them in said Regulation U.</w:t>
      </w:r>
    </w:p>
    <w:p>
      <w:pPr>
        <w:pStyle w:val="TextBody"/>
        <w:bidi w:val="0"/>
        <w:spacing w:lineRule="atLeast" w:line="280" w:before="280" w:after="283"/>
        <w:ind w:left="0" w:right="0" w:firstLine="360"/>
        <w:jc w:val="both"/>
        <w:rPr/>
      </w:pPr>
      <w:r>
        <w:rPr>
          <w:color w:val="000000"/>
        </w:rPr>
        <w:t>    </w:t>
      </w:r>
      <w:bookmarkStart w:id="38" w:name="iac41c8c3ef7e4794b420c42f86ccb8c4"/>
      <w:bookmarkEnd w:id="38"/>
      <w:r>
        <w:rPr>
          <w:rFonts w:ascii="Times New Roman;serif" w:hAnsi="Times New Roman;serif"/>
          <w:b/>
          <w:color w:val="000000"/>
          <w:sz w:val="24"/>
        </w:rPr>
        <w:t>Section 5.15.    Existing Indebtedness; Future Liens</w:t>
      </w:r>
      <w:r>
        <w:rPr>
          <w:rFonts w:ascii="Times New Roman;serif" w:hAnsi="Times New Roman;serif"/>
          <w:b w:val="false"/>
          <w:color w:val="000000"/>
          <w:sz w:val="24"/>
        </w:rPr>
        <w:t>. (a) Except as described therein, Schedule 5.15 sets forth a complete and correct list of all outstanding Indebtedness of the Company and its Significant Subsidiaries as of the Execution Date (including descriptions of the obligors and obligees, principal amounts outstanding, any collateral therefor and any Guaranties thereof) not otherwise permitted by Section 10.7, since which date there has been no Material change in the amounts, interest rates, sinking funds, installment payments or maturities of the Indebtedness of the Company or its Subsidiaries. Neither the Company nor any Significant Subsidiary is in default and no waiver of default is currently in effect, in the payment of any principal or interest on any Material Indebtedness of the Company or such Significant Subsidiary and no event or condition exists with respect to any Material Indebtedness of the Company or any Significant Subsidiary that would permit (or that with notice or the lapse of time, or both, would permit) one or more Persons to cause such Material Indebtedness to become due and payable before its stated maturity or before its regularly scheduled dates of payment.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disclosed in Schedule 5.15, neither the Company nor any Significant Subsidiary has agreed or consented to cause or permit any of its property, whether now owned or hereafter acquired, to be subject to a Lien that secures Indebtedness or to cause or permit in the future (upon the happening of a contingency or otherwise) any of its property, whether now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7800"/>
                <wp:effectExtent l="0" t="0" r="0" b="0"/>
                <wp:wrapNone/>
                <wp:docPr id="21" name="Frame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owned or hereafter acquired, to be subject to a Lien that secures Indebtedness, in each case, which Lien is not permitted by Section 10.5.</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prohibits the incurrence of the Notes, except as disclosed in Schedule 5.15.</w:t>
      </w:r>
    </w:p>
    <w:p>
      <w:pPr>
        <w:pStyle w:val="TextBody"/>
        <w:bidi w:val="0"/>
        <w:spacing w:lineRule="atLeast" w:line="280" w:before="280" w:after="283"/>
        <w:ind w:left="0" w:right="0" w:firstLine="360"/>
        <w:jc w:val="both"/>
        <w:rPr/>
      </w:pPr>
      <w:r>
        <w:rPr>
          <w:color w:val="000000"/>
        </w:rPr>
        <w:t>    </w:t>
      </w:r>
      <w:bookmarkStart w:id="39" w:name="if96c9c4d34e34977aef676e292132ce5"/>
      <w:bookmarkEnd w:id="39"/>
      <w:r>
        <w:rPr>
          <w:rFonts w:ascii="Times New Roman;serif" w:hAnsi="Times New Roman;serif"/>
          <w:b/>
          <w:color w:val="000000"/>
          <w:sz w:val="24"/>
        </w:rPr>
        <w:t>Section 5.16.    Foreign Assets Control Regulations, Etc</w:t>
      </w:r>
      <w:r>
        <w:rPr>
          <w:rFonts w:ascii="Times New Roman;serif" w:hAnsi="Times New Roman;serif"/>
          <w:b w:val="false"/>
          <w:color w:val="000000"/>
          <w:sz w:val="24"/>
        </w:rPr>
        <w:t>. (a) Neither the Company nor any Controlled Entity (i) is a Blocked Person, (ii) has been notified that its name appears or may in the future appear on a State Sanctions List or (iii) is a target of sanctions that have been imposed by the United Nations, the European Union or the United Kingdom.</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Controlled Entity (i) has violated, been found in violation of, or been charged or convicted under, any applicable Economic Sanctions Laws, Anti-Money Laundering Laws or Anti-Corruption Laws or (ii) to the Company’s knowledge, is under investigation by any Governmental Authority for possible violation of any Economic Sanctions Laws, Anti-Money Laundering Laws or Anti-Corruption Laws.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No part of the proceeds from the sale of the Notes hereunder: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(i)constitutes or will constitute funds obtained on behalf of any Blocked Person or will otherwise be used by the Company or any Controlled Entity, directly or indirectly, (A) in connection with any investment in, or any transactions or dealings with, any Blocked Person, in each case in violation of Economic Sanctions Laws (B) for any purpose that would cause any Purchaser to be in violation of any Economic Sanctions Laws or (C) otherwise in violation of any Economic Sanctions Laws;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(ii)will be used, directly or indirectly, in violation of, or cause any Purchaser to be in violation of, any applicable Anti-Money Laundering Laws;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(iii)will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has established procedures and controls which it reasonably believes are adequate (and otherwise comply with applicable law) to ensure that the Company and each Controlled Entity is and will continue to be in compliance with all applicable Economic Sanctions Laws, Anti-Money Laundering Laws and Anti-Corruption Laws.</w:t>
      </w:r>
    </w:p>
    <w:p>
      <w:pPr>
        <w:pStyle w:val="TextBody"/>
        <w:bidi w:val="0"/>
        <w:spacing w:lineRule="atLeast" w:line="280" w:before="280" w:after="283"/>
        <w:ind w:left="0" w:right="0" w:firstLine="360"/>
        <w:jc w:val="both"/>
        <w:rPr/>
      </w:pPr>
      <w:r>
        <w:rPr>
          <w:color w:val="000000"/>
        </w:rPr>
        <w:t>    </w:t>
      </w:r>
      <w:bookmarkStart w:id="40" w:name="i120e0d3ebb804b8a80e712f068cb7b5e"/>
      <w:bookmarkEnd w:id="40"/>
      <w:r>
        <w:rPr>
          <w:rFonts w:ascii="Times New Roman;serif" w:hAnsi="Times New Roman;serif"/>
          <w:b/>
          <w:color w:val="000000"/>
          <w:sz w:val="24"/>
        </w:rPr>
        <w:t>Section 5.17.    Status under Certain Statutes</w:t>
      </w:r>
      <w:r>
        <w:rPr>
          <w:rFonts w:ascii="Times New Roman;serif" w:hAnsi="Times New Roman;serif"/>
          <w:b w:val="false"/>
          <w:color w:val="000000"/>
          <w:sz w:val="24"/>
        </w:rPr>
        <w:t xml:space="preserve">. Neither the Company nor any Subsidiary is subject to regulation under the Public Utility Holding Company Act of 2005, the ICC Termination Act of 1995, or the Federal Power Act. Neither the Company nor any Subsidiary 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7800"/>
                <wp:effectExtent l="0" t="0" r="0" b="0"/>
                <wp:wrapNone/>
                <wp:docPr id="22" name="Frame2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an “investment company” or a company “controlled” by an “investment company”, within the meaning of the Investment Company Act of 1940.</w:t>
      </w:r>
    </w:p>
    <w:p>
      <w:pPr>
        <w:pStyle w:val="TextBody"/>
        <w:bidi w:val="0"/>
        <w:spacing w:lineRule="atLeast" w:line="280" w:before="280" w:after="283"/>
        <w:ind w:left="0" w:right="0" w:firstLine="360"/>
        <w:jc w:val="both"/>
        <w:rPr/>
      </w:pPr>
      <w:r>
        <w:rPr>
          <w:color w:val="000000"/>
        </w:rPr>
        <w:t>    </w:t>
      </w:r>
      <w:bookmarkStart w:id="41" w:name="id8367b2a0dd94b768a7651b9d1459a91"/>
      <w:bookmarkEnd w:id="41"/>
      <w:r>
        <w:rPr>
          <w:rFonts w:ascii="Times New Roman;serif" w:hAnsi="Times New Roman;serif"/>
          <w:b/>
          <w:color w:val="000000"/>
          <w:sz w:val="24"/>
        </w:rPr>
        <w:t>Section 5.18.    Environmental Matters</w:t>
      </w:r>
      <w:r>
        <w:rPr>
          <w:rFonts w:ascii="Times New Roman;serif" w:hAnsi="Times New Roman;serif"/>
          <w:b w:val="false"/>
          <w:color w:val="000000"/>
          <w:sz w:val="24"/>
        </w:rPr>
        <w:t>. The Company conducts, in the ordinary course of business (in a manner sufficient to enable the Company to make the representation and warranty set forth in this Section 5.18),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pStyle w:val="TextBody"/>
        <w:bidi w:val="0"/>
        <w:spacing w:lineRule="atLeast" w:line="280" w:before="280" w:after="283"/>
        <w:ind w:left="0" w:right="0" w:firstLine="360"/>
        <w:jc w:val="both"/>
        <w:rPr/>
      </w:pPr>
      <w:r>
        <w:rPr>
          <w:color w:val="000000"/>
        </w:rPr>
        <w:t>    </w:t>
      </w:r>
      <w:bookmarkStart w:id="42" w:name="i130ba0cf0e8949da96e58f30e9deb7d1"/>
      <w:bookmarkEnd w:id="42"/>
      <w:r>
        <w:rPr>
          <w:rFonts w:ascii="Times New Roman;serif" w:hAnsi="Times New Roman;serif"/>
          <w:b/>
          <w:color w:val="000000"/>
          <w:sz w:val="24"/>
        </w:rPr>
        <w:t>Section 5.19.    Ranking of Obligations</w:t>
      </w:r>
      <w:r>
        <w:rPr>
          <w:rFonts w:ascii="Times New Roman;serif" w:hAnsi="Times New Roman;serif"/>
          <w:b w:val="false"/>
          <w:color w:val="000000"/>
          <w:sz w:val="24"/>
        </w:rPr>
        <w:t>. The Company’s payment obligations under this Agreement and the Notes will, upon issuance of the Notes, rank at least pari passu, without preference or priority, with all other unsecured and unsubordinated Indebtedness of the Company. The Subsidiary Guarantors’ payment obligation under the Subsidiary Guaranty rank at least pari passu, without preference or priority, with all other unsecured and unsubordinated Indebtedness of each Subsidiary Guarantor.</w:t>
      </w:r>
    </w:p>
    <w:p>
      <w:pPr>
        <w:pStyle w:val="TextBody"/>
        <w:bidi w:val="0"/>
        <w:spacing w:lineRule="auto" w:line="278" w:before="320" w:after="283"/>
        <w:ind w:left="0" w:right="0" w:hanging="1699"/>
        <w:jc w:val="left"/>
        <w:rPr>
          <w:rFonts w:ascii="Times New Roman;serif" w:hAnsi="Times New Roman;serif"/>
          <w:b/>
          <w:color w:val="000000"/>
          <w:sz w:val="24"/>
        </w:rPr>
      </w:pPr>
      <w:bookmarkStart w:id="43" w:name="ia5d4747d13b64803af780e1c9a8273e6"/>
      <w:bookmarkEnd w:id="43"/>
      <w:r>
        <w:rPr>
          <w:rFonts w:ascii="Times New Roman;serif" w:hAnsi="Times New Roman;serif"/>
          <w:b/>
          <w:color w:val="000000"/>
          <w:sz w:val="24"/>
        </w:rPr>
        <w:t>Section 6.    Representations of the Purchasers.</w:t>
      </w:r>
    </w:p>
    <w:p>
      <w:pPr>
        <w:pStyle w:val="TextBody"/>
        <w:bidi w:val="0"/>
        <w:spacing w:lineRule="atLeast" w:line="280" w:before="280" w:after="283"/>
        <w:ind w:left="0" w:right="0" w:firstLine="360"/>
        <w:jc w:val="both"/>
        <w:rPr/>
      </w:pPr>
      <w:r>
        <w:rPr>
          <w:color w:val="000000"/>
        </w:rPr>
        <w:t>    </w:t>
      </w:r>
      <w:bookmarkStart w:id="44" w:name="i5f45eae2d0f848da98fc1afe4ae3b44d"/>
      <w:bookmarkEnd w:id="44"/>
      <w:r>
        <w:rPr>
          <w:rFonts w:ascii="Times New Roman;serif" w:hAnsi="Times New Roman;serif"/>
          <w:b/>
          <w:color w:val="000000"/>
          <w:sz w:val="24"/>
        </w:rPr>
        <w:t>Section 6.1.    Purchase for Investment</w:t>
      </w:r>
      <w:r>
        <w:rPr>
          <w:rFonts w:ascii="Times New Roman;serif" w:hAnsi="Times New Roman;serif"/>
          <w:b w:val="false"/>
          <w:color w:val="000000"/>
          <w:sz w:val="24"/>
        </w:rPr>
        <w:t xml:space="preserve">. Each Purchaser severally represents that (i) it is an “accredited investor” within the meaning of Rule 501(a)(1), (2), (3), (7) or (9) of Regulation D of the Securities Act and it is purchasing the Notes for its own account or for one or more separate accounts maintained by such Purchaser or for the account of one or more pension or trust funds and not with a view to the distribution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disposition of such Purchaser’s or their property shall at all times be within such Purchaser’s or their control and (ii) it has (or its investment manager or investment advisor has) knowledge and experience in financial and business matters and is capable of evaluating the merits and risks of its investment in the Notes and it is able to bear the economic risk of holding the Notes for an indefinite period of time.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nor does it intend to do so and, in any event, a Purchaser shall only reoffer or resell the Notes purchased by it in accordance with any available exemption from the requirements of Section 5 of the Securities Act, except as aforesaid. Each Purchaser also severally represents that the Company has provided such Purchaser an opportunity to discuss with the Company’s management the financial statements delivered pursuant to Section 5.5, as well as the Company’s business management, financial affairs and the terms and conditions of the offering of the Notes.</w:t>
      </w:r>
    </w:p>
    <w:p>
      <w:pPr>
        <w:pStyle w:val="TextBody"/>
        <w:bidi w:val="0"/>
        <w:spacing w:lineRule="atLeast" w:line="280" w:before="280" w:after="283"/>
        <w:ind w:left="0" w:right="0" w:firstLine="360"/>
        <w:jc w:val="both"/>
        <w:rPr/>
      </w:pPr>
      <w:r>
        <w:rPr>
          <w:color w:val="000000"/>
        </w:rPr>
        <w:t>    </w:t>
      </w:r>
      <w:bookmarkStart w:id="45" w:name="i39c5d61c6cb844c78d2dec3f27c479ae"/>
      <w:bookmarkEnd w:id="45"/>
      <w:r>
        <w:rPr>
          <w:rFonts w:ascii="Times New Roman;serif" w:hAnsi="Times New Roman;serif"/>
          <w:b/>
          <w:color w:val="000000"/>
          <w:sz w:val="24"/>
        </w:rPr>
        <w:t>Section 6.2.    Source of Funds</w:t>
      </w:r>
      <w:r>
        <w:rPr>
          <w:rFonts w:ascii="Times New Roman;serif" w:hAnsi="Times New Roman;serif"/>
          <w:b w:val="false"/>
          <w:color w:val="000000"/>
          <w:sz w:val="24"/>
        </w:rPr>
        <w:t xml:space="preserve">. Each Purchaser severally represents that at least one of the following statements is an accurate representation as to each source of funds (a </w:t>
      </w:r>
      <w:r>
        <w:rPr>
          <w:color w:val="000000"/>
        </w:rPr>
        <w:t>“</w:t>
      </w:r>
      <w:r>
        <w:rPr>
          <w:rFonts w:ascii="Times New Roman;serif" w:hAnsi="Times New Roman;serif"/>
          <w:b/>
          <w:color w:val="000000"/>
          <w:sz w:val="24"/>
        </w:rPr>
        <w:t>Source”</w:t>
      </w:r>
      <w:r>
        <w:rPr>
          <w:rFonts w:ascii="Times New Roman;serif" w:hAnsi="Times New Roman;serif"/>
          <w:b w:val="false"/>
          <w:color w:val="000000"/>
          <w:sz w:val="24"/>
        </w:rPr>
        <w:t xml:space="preserve">) to be used by such Purchaser to pay the purchase price of the Notes to be purchased by such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7800"/>
                <wp:effectExtent l="0" t="0" r="0" b="0"/>
                <wp:wrapNone/>
                <wp:docPr id="23" name="Frame2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Purchaser hereunder:(a)    the Source is an “insurance company general account” (as the term is defined in the United States Department of Labor’s Prohibited Transaction Exemption (</w:t>
      </w:r>
      <w:r>
        <w:rPr>
          <w:color w:val="000000"/>
        </w:rPr>
        <w:t>“</w:t>
      </w:r>
      <w:r>
        <w:rPr>
          <w:rFonts w:ascii="Times New Roman;serif" w:hAnsi="Times New Roman;serif"/>
          <w:b/>
          <w:color w:val="000000"/>
          <w:sz w:val="24"/>
        </w:rPr>
        <w:t>PTE”</w:t>
      </w:r>
      <w:r>
        <w:rPr>
          <w:rFonts w:ascii="Times New Roman;serif" w:hAnsi="Times New Roman;serif"/>
          <w:b w:val="false"/>
          <w:color w:val="000000"/>
          <w:sz w:val="24"/>
        </w:rPr>
        <w:t xml:space="preserve">) 95-60) in respect of which the reserves and liabilities (as defined by the annual statement for life insurance companies approved by the NAIC (the </w:t>
      </w:r>
      <w:r>
        <w:rPr>
          <w:color w:val="000000"/>
        </w:rPr>
        <w:t>“</w:t>
      </w:r>
      <w:r>
        <w:rPr>
          <w:rFonts w:ascii="Times New Roman;serif" w:hAnsi="Times New Roman;serif"/>
          <w:b/>
          <w:color w:val="000000"/>
          <w:sz w:val="24"/>
        </w:rPr>
        <w:t>NAIC Annual Statement”</w:t>
      </w:r>
      <w:r>
        <w:rPr>
          <w:rFonts w:ascii="Times New Roman;serif" w:hAnsi="Times New Roman;serif"/>
          <w:b w:val="false"/>
          <w:color w:val="000000"/>
          <w:sz w:val="24"/>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(d)the Source constitutes assets of an “investment fund” (within the meaning of Section VI of PTE 84-14 (the </w:t>
      </w:r>
      <w:r>
        <w:rPr>
          <w:color w:val="000000"/>
        </w:rPr>
        <w:t>“</w:t>
      </w:r>
      <w:r>
        <w:rPr>
          <w:rFonts w:ascii="Times New Roman;serif" w:hAnsi="Times New Roman;serif"/>
          <w:b/>
          <w:color w:val="000000"/>
          <w:sz w:val="24"/>
        </w:rPr>
        <w:t>QPAM Exemption”</w:t>
      </w:r>
      <w:r>
        <w:rPr>
          <w:rFonts w:ascii="Times New Roman;serif" w:hAnsi="Times New Roman;serif"/>
          <w:b w:val="false"/>
          <w:color w:val="000000"/>
          <w:sz w:val="24"/>
        </w:rPr>
        <w:t xml:space="preserve">)) managed by a “qualified professional asset manager” or “QPAM” (within the meaning of Section VI of the QPAM Exemption), no employee benefit plan’s assets that are managed by the QPAM in such investment fund, when combined with the assets of all other employee benefit plans established or maintained by the same employer or by an affiliate (within the meaning of Section VI(c)(1) of the QPAM Exemption) of such employer or by the same employee organization and managed by such QPAM, represent more than 20% of the total client assets managed by such QPAM, the conditions of Sections I(c), I(g) (regarding eligibility), and I(k) of the QPAM Exemption are satisfied, neither the QPAM nor a person controlling or controlled by the QPAM maintains an ownership interest in the Company that would cause the QPAM and the Company to be “related” within the meaning of Section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Section VI(c)(1) of the QPAM Exemption) of such employer or by the same employee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7800"/>
                <wp:effectExtent l="0" t="0" r="0" b="0"/>
                <wp:wrapNone/>
                <wp:docPr id="24" name="Frame2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organization, represent 10% or more of the assets of such investment fund, have been disclosed to the Company in writing pursuant to this clause (d); or</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(e)the Source constitutes assets of a “plan(s)” (within the meaning of Part IV(h) of PTE 96-23 (the </w:t>
      </w:r>
      <w:r>
        <w:rPr>
          <w:color w:val="000000"/>
        </w:rPr>
        <w:t>“</w:t>
      </w:r>
      <w:r>
        <w:rPr>
          <w:rFonts w:ascii="Times New Roman;serif" w:hAnsi="Times New Roman;serif"/>
          <w:b/>
          <w:color w:val="000000"/>
          <w:sz w:val="24"/>
        </w:rPr>
        <w:t>INHAM Exemption”</w:t>
      </w:r>
      <w:r>
        <w:rPr>
          <w:rFonts w:ascii="Times New Roman;serif" w:hAnsi="Times New Roman;serif"/>
          <w:b w:val="false"/>
          <w:color w:val="000000"/>
          <w:sz w:val="24"/>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(f)the Source is a governmental plan;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(g)the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(h)the Source does not include assets of any employee benefit plan, other than a plan exempt from the coverage of ERISA.</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in this Section 6.2, the terms “employee benefit plan,” “governmental plan,” and “separate account” shall have the respective meanings assigned to such terms in section 3 of ERISA.</w:t>
      </w:r>
    </w:p>
    <w:p>
      <w:pPr>
        <w:pStyle w:val="TextBody"/>
        <w:bidi w:val="0"/>
        <w:spacing w:lineRule="auto" w:line="278" w:before="320" w:after="283"/>
        <w:ind w:left="0" w:right="0" w:hanging="1699"/>
        <w:jc w:val="left"/>
        <w:rPr>
          <w:rFonts w:ascii="Times New Roman;serif" w:hAnsi="Times New Roman;serif"/>
          <w:b/>
          <w:color w:val="000000"/>
          <w:sz w:val="24"/>
        </w:rPr>
      </w:pPr>
      <w:bookmarkStart w:id="46" w:name="iefa9fb8056c646b79ba069770b25686a"/>
      <w:bookmarkEnd w:id="46"/>
      <w:r>
        <w:rPr>
          <w:rFonts w:ascii="Times New Roman;serif" w:hAnsi="Times New Roman;serif"/>
          <w:b/>
          <w:color w:val="000000"/>
          <w:sz w:val="24"/>
        </w:rPr>
        <w:t>Section 7.    Information as to Company.</w:t>
      </w:r>
    </w:p>
    <w:p>
      <w:pPr>
        <w:pStyle w:val="TextBody"/>
        <w:bidi w:val="0"/>
        <w:spacing w:lineRule="atLeast" w:line="280" w:before="280" w:after="283"/>
        <w:ind w:left="0" w:right="0" w:firstLine="360"/>
        <w:jc w:val="both"/>
        <w:rPr/>
      </w:pPr>
      <w:r>
        <w:rPr>
          <w:color w:val="000000"/>
        </w:rPr>
        <w:t>    </w:t>
      </w:r>
      <w:bookmarkStart w:id="47" w:name="i58b4d445e8074931afc8c904aec404db"/>
      <w:bookmarkEnd w:id="47"/>
      <w:r>
        <w:rPr>
          <w:rFonts w:ascii="Times New Roman;serif" w:hAnsi="Times New Roman;serif"/>
          <w:b/>
          <w:color w:val="000000"/>
          <w:sz w:val="24"/>
        </w:rPr>
        <w:t>Section 7.1.    Financial and Business Information</w:t>
      </w:r>
      <w:r>
        <w:rPr>
          <w:rFonts w:ascii="Times New Roman;serif" w:hAnsi="Times New Roman;serif"/>
          <w:b w:val="false"/>
          <w:color w:val="000000"/>
          <w:sz w:val="24"/>
        </w:rPr>
        <w:t>. The Company shall deliver to each Purchaser and each holder of a Note that is an Institutional Investor:</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Quarterly Statements</w:t>
      </w:r>
      <w:r>
        <w:rPr>
          <w:color w:val="000000"/>
        </w:rPr>
        <w:t xml:space="preserve"> — </w:t>
      </w:r>
      <w:r>
        <w:rPr>
          <w:rFonts w:ascii="Times New Roman;serif" w:hAnsi="Times New Roman;serif"/>
          <w:b w:val="false"/>
          <w:color w:val="000000"/>
          <w:sz w:val="24"/>
        </w:rPr>
        <w:t>Promptly when available and in any event not later than the earlier of (x) five Business Days after the filing thereof with the SEC and (y) within 45 days after the end of each Fiscal Quarter (other than the last Fiscal Quarter of each Fiscal Year), duplicate copies 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(i)a consolidated balance sheet of the Company and its consolidated Subsidiaries as at the end of such Fiscal Quarter,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(ii)a consolidated statement of earnings for such Fiscal Quarter and consolidated statements of earnings and cash flows for the period beginning with the first day of such Fiscal Year and ending on the last day of such Fiscal Quarter,</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prepared in accordance with GAAP (subject to normal year-end audit adjustments and the absence of footnotes), and certified by a Senior Financial Officer as fairly presenting,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7800"/>
                <wp:effectExtent l="0" t="0" r="0" b="0"/>
                <wp:wrapNone/>
                <wp:docPr id="25" name="Frame2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all material respects, the consolidated financial position of the companies being reported on and their results of operations for such period;</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Annual Statements</w:t>
      </w:r>
      <w:r>
        <w:rPr>
          <w:color w:val="000000"/>
        </w:rPr>
        <w:t xml:space="preserve"> — </w:t>
      </w:r>
      <w:r>
        <w:rPr>
          <w:rFonts w:ascii="Times New Roman;serif" w:hAnsi="Times New Roman;serif"/>
          <w:b w:val="false"/>
          <w:color w:val="000000"/>
          <w:sz w:val="24"/>
        </w:rPr>
        <w:t>Promptly when available and in any event not later than the earlier of (x) five Business Days after the filing thereof with the SEC and (y) within 105 days after the end of each Fiscal Year, duplicate copies 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(i)a consolidated balance sheet of the Company and its consolidated Subsidiaries as at the end of such Fiscal Year,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(ii)consolidated statements of earnings and cash flows for such Fiscal Year,</w:t>
      </w:r>
    </w:p>
    <w:p>
      <w:pPr>
        <w:pStyle w:val="TextBody"/>
        <w:bidi w:val="0"/>
        <w:spacing w:lineRule="atLeast" w:line="280" w:before="280" w:after="283"/>
        <w:jc w:val="both"/>
        <w:rPr/>
      </w:pPr>
      <w:r>
        <w:rPr>
          <w:rFonts w:ascii="Times New Roman;serif" w:hAnsi="Times New Roman;serif"/>
          <w:b w:val="false"/>
          <w:color w:val="000000"/>
          <w:sz w:val="24"/>
        </w:rPr>
        <w:t>accompanied by the report of Deloitte &amp; Touche LLP or another nationally-recognized independent registered public accounting firm (the “</w:t>
      </w:r>
      <w:r>
        <w:rPr>
          <w:rFonts w:ascii="Times New Roman;serif" w:hAnsi="Times New Roman;serif"/>
          <w:b/>
          <w:color w:val="000000"/>
          <w:sz w:val="24"/>
        </w:rPr>
        <w:t>Independent Auditor</w:t>
      </w:r>
      <w:r>
        <w:rPr>
          <w:color w:val="000000"/>
        </w:rPr>
        <w:t>”</w:t>
      </w:r>
      <w:r>
        <w:rPr>
          <w:rFonts w:ascii="Times New Roman;serif" w:hAnsi="Times New Roman;serif"/>
          <w:b w:val="false"/>
          <w:color w:val="000000"/>
          <w:sz w:val="24"/>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i/>
          <w:color w:val="000000"/>
          <w:sz w:val="24"/>
        </w:rPr>
        <w:t>SEC and Other Reports</w:t>
      </w:r>
      <w:r>
        <w:rPr>
          <w:color w:val="000000"/>
        </w:rPr>
        <w:t xml:space="preserve"> — </w:t>
      </w:r>
      <w:r>
        <w:rPr>
          <w:rFonts w:ascii="Times New Roman;serif" w:hAnsi="Times New Roman;serif"/>
          <w:b w:val="false"/>
          <w:color w:val="000000"/>
          <w:sz w:val="24"/>
        </w:rPr>
        <w:t>except as otherwise provided in Section 7.1(a) and 7.1(b) above, promptly upon their becoming available and in any event not later than 15 days after the filing or sending thereof, one copy of (i) each financial statement, report, circular, notice, proxy statement or similar document sent by the Company or any Subsidiary (x) to its creditors under any Material Credit Facility (excluding information sent to such creditors in the ordinary course of administration of a credit facility, such as information relating to pricing and borrowing availability) or (y) to its public Securities holders generally concerning Material developments in the business of any Note Party, and (ii) each regular or periodic report, each registration statement (without exhibits except as expressly requested by such Purchaser or such holder), and each prospectus and all amendments thereto filed by the Company or any Note Party with the SEC;</w:t>
      </w:r>
    </w:p>
    <w:p>
      <w:pPr>
        <w:pStyle w:val="TextBody"/>
        <w:bidi w:val="0"/>
        <w:spacing w:lineRule="auto" w:line="278"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i/>
          <w:color w:val="000000"/>
          <w:sz w:val="24"/>
        </w:rPr>
        <w:t>Notice of Default or Event of Default</w:t>
      </w:r>
      <w:r>
        <w:rPr>
          <w:color w:val="000000"/>
        </w:rPr>
        <w:t xml:space="preserve"> — </w:t>
      </w:r>
      <w:r>
        <w:rPr>
          <w:rFonts w:ascii="Times New Roman;serif" w:hAnsi="Times New Roman;serif"/>
          <w:b w:val="false"/>
          <w:color w:val="000000"/>
          <w:sz w:val="24"/>
        </w:rPr>
        <w:t xml:space="preserve">promptly, and in any event within 5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7800"/>
                <wp:effectExtent l="0" t="0" r="0" b="0"/>
                <wp:wrapNone/>
                <wp:docPr id="26" name="Frame2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specifying the nature and period of existence thereof and what action the Company is taking or proposes to take with respect thereto;</w:t>
      </w:r>
    </w:p>
    <w:p>
      <w:pPr>
        <w:pStyle w:val="TextBody"/>
        <w:bidi w:val="0"/>
        <w:spacing w:lineRule="auto" w:line="278" w:before="280" w:after="283"/>
        <w:ind w:left="0" w:right="0" w:firstLine="825"/>
        <w:jc w:val="both"/>
        <w:rPr/>
      </w:pPr>
      <w:r>
        <w:rPr>
          <w:rFonts w:ascii="Times New Roman;serif" w:hAnsi="Times New Roman;serif"/>
          <w:b w:val="false"/>
          <w:color w:val="000000"/>
          <w:sz w:val="24"/>
        </w:rPr>
        <w:t>(e)</w:t>
      </w:r>
      <w:r>
        <w:rPr>
          <w:rFonts w:ascii="Times New Roman;serif" w:hAnsi="Times New Roman;serif"/>
          <w:b w:val="false"/>
          <w:i/>
          <w:color w:val="000000"/>
          <w:sz w:val="24"/>
        </w:rPr>
        <w:t>Employee Benefits Matters</w:t>
      </w:r>
      <w:r>
        <w:rPr>
          <w:color w:val="000000"/>
        </w:rPr>
        <w:t xml:space="preserve"> — </w:t>
      </w:r>
      <w:r>
        <w:rPr>
          <w:rFonts w:ascii="Times New Roman;serif" w:hAnsi="Times New Roman;serif"/>
          <w:b w:val="false"/>
          <w:color w:val="000000"/>
          <w:sz w:val="24"/>
        </w:rPr>
        <w:t>promptly, and in any event within 5 days after a Responsible Officer becoming aware of any of the following, a written notice setting forth the nature thereof and the action, if any, that the Company or any member of the Controlled Group proposes to take with respect thereto:</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Plan which could reasonably be expected to have a Material Adverse Effect, or any notice that any Multiemployer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(ii)any Note Party becomes an entity deemed to hold Plan Assets;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(iii)receipt of notice of the imposition of a Material financial penalty (which for this purpose shall mean any tax, penalty or other liability, whether by way of indemnity or otherwise) with respect to one or more Non-U.S. Plans;</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(f)any other event (including any violation of any Environmental Law or the assertion of any Environmental Claim) which could reasonably be expected to have a Material Adverse Effect; </w:t>
      </w:r>
    </w:p>
    <w:p>
      <w:pPr>
        <w:pStyle w:val="TextBody"/>
        <w:bidi w:val="0"/>
        <w:spacing w:lineRule="auto" w:line="278" w:before="280" w:after="283"/>
        <w:ind w:left="0" w:right="0" w:firstLine="825"/>
        <w:jc w:val="both"/>
        <w:rPr/>
      </w:pPr>
      <w:r>
        <w:rPr>
          <w:rFonts w:ascii="Times New Roman;serif" w:hAnsi="Times New Roman;serif"/>
          <w:b w:val="false"/>
          <w:color w:val="000000"/>
          <w:sz w:val="24"/>
        </w:rPr>
        <w:t>(g)</w:t>
      </w:r>
      <w:r>
        <w:rPr>
          <w:rFonts w:ascii="Times New Roman;serif" w:hAnsi="Times New Roman;serif"/>
          <w:b w:val="false"/>
          <w:i/>
          <w:color w:val="000000"/>
          <w:sz w:val="24"/>
        </w:rPr>
        <w:t>Notices from Governmental Authority</w:t>
      </w:r>
      <w:r>
        <w:rPr>
          <w:color w:val="000000"/>
        </w:rPr>
        <w:t xml:space="preserve"> — </w:t>
      </w:r>
      <w:r>
        <w:rPr>
          <w:rFonts w:ascii="Times New Roman;serif" w:hAnsi="Times New Roman;serif"/>
          <w:b w:val="false"/>
          <w:color w:val="000000"/>
          <w:sz w:val="24"/>
        </w:rPr>
        <w:t xml:space="preserve">promptly, and in any event within 30 days after receipt thereof, copies of any notice to the Company or any Subsidiary from any Governmental Authority relating to any order, ruling, statute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7800"/>
                <wp:effectExtent l="0" t="0" r="0" b="0"/>
                <wp:wrapNone/>
                <wp:docPr id="27" name="Frame2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other law or regulation that could reasonably be expected to have a Material Adverse Effect;    </w:t>
      </w:r>
    </w:p>
    <w:p>
      <w:pPr>
        <w:pStyle w:val="TextBody"/>
        <w:bidi w:val="0"/>
        <w:spacing w:lineRule="auto" w:line="278" w:before="280" w:after="283"/>
        <w:ind w:left="0" w:right="0" w:firstLine="825"/>
        <w:jc w:val="both"/>
        <w:rPr/>
      </w:pPr>
      <w:r>
        <w:rPr>
          <w:rFonts w:ascii="Times New Roman;serif" w:hAnsi="Times New Roman;serif"/>
          <w:b w:val="false"/>
          <w:color w:val="000000"/>
          <w:sz w:val="24"/>
        </w:rPr>
        <w:t>(h)</w:t>
      </w:r>
      <w:r>
        <w:rPr>
          <w:rFonts w:ascii="Times New Roman;serif" w:hAnsi="Times New Roman;serif"/>
          <w:b w:val="false"/>
          <w:i/>
          <w:color w:val="000000"/>
          <w:sz w:val="24"/>
        </w:rPr>
        <w:t>Outside Date</w:t>
      </w:r>
      <w:r>
        <w:rPr>
          <w:color w:val="000000"/>
        </w:rPr>
        <w:t xml:space="preserve"> – </w:t>
      </w:r>
      <w:r>
        <w:rPr>
          <w:rFonts w:ascii="Times New Roman;serif" w:hAnsi="Times New Roman;serif"/>
          <w:b w:val="false"/>
          <w:color w:val="000000"/>
          <w:sz w:val="24"/>
        </w:rPr>
        <w:t>the occurrence of any extension of the Outside Date;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(i)</w:t>
      </w:r>
      <w:r>
        <w:rPr>
          <w:rFonts w:ascii="Times New Roman;serif" w:hAnsi="Times New Roman;serif"/>
          <w:b w:val="false"/>
          <w:i/>
          <w:color w:val="000000"/>
          <w:sz w:val="24"/>
        </w:rPr>
        <w:t>Debt Rating</w:t>
      </w:r>
      <w:r>
        <w:rPr>
          <w:color w:val="000000"/>
        </w:rPr>
        <w:t xml:space="preserve"> — </w:t>
      </w:r>
      <w:r>
        <w:rPr>
          <w:rFonts w:ascii="Times New Roman;serif" w:hAnsi="Times New Roman;serif"/>
          <w:b w:val="false"/>
          <w:color w:val="000000"/>
          <w:sz w:val="24"/>
        </w:rPr>
        <w:t>promptly following the occurrence thereof, and in any event within 5 days after such occurrence, notice of any change in the Debt Rating for the Notes (to the extent such Debt Rating is not a public rating);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(j)</w:t>
      </w:r>
      <w:r>
        <w:rPr>
          <w:rFonts w:ascii="Times New Roman;serif" w:hAnsi="Times New Roman;serif"/>
          <w:b w:val="false"/>
          <w:i/>
          <w:color w:val="000000"/>
          <w:sz w:val="24"/>
        </w:rPr>
        <w:t>Requested Information</w:t>
      </w:r>
      <w:r>
        <w:rPr>
          <w:color w:val="000000"/>
        </w:rPr>
        <w:t xml:space="preserve"> — </w:t>
      </w:r>
      <w:r>
        <w:rPr>
          <w:rFonts w:ascii="Times New Roman;serif" w:hAnsi="Times New Roman;serif"/>
          <w:b w:val="false"/>
          <w:color w:val="000000"/>
          <w:sz w:val="24"/>
        </w:rPr>
        <w:t>with reasonable promptness, the Notes Register and such other data and information relating to the business, operations, affairs, financial condition, assets or properties of the Company or any of its Subsidiaries (including actual copies of the Company’s Quarterly Report on Form 10-Q and Annual Report on Form 10-K) or relating to the ability of the Company to perform its obligations hereunder and under the Notes or the ability of a Subsidiary Guarantor to perform its obligations under the Subsidiary Guaranty as from time to time may be reasonably requested by any such Purchaser or such holder of a Note, including (x) information readily available to the Company explaining the Company’s financial statements if such information has been requested by the SVO in order to assign or maintain a designation of the Notes and (y) any “know your customer” information in connection with periodic updates or confirmation of information, significant events or changes to the Company’s or obligor group’s organizational structure (including changes in equity ownership or any acquisition of any interest in any other entity) for the purpose of completing a due diligence review or verifying compliance with Anti-Money Laundering Laws.</w:t>
      </w:r>
    </w:p>
    <w:p>
      <w:pPr>
        <w:pStyle w:val="TextBody"/>
        <w:bidi w:val="0"/>
        <w:spacing w:lineRule="atLeast" w:line="280" w:before="280" w:after="283"/>
        <w:ind w:left="0" w:right="0" w:firstLine="360"/>
        <w:jc w:val="both"/>
        <w:rPr/>
      </w:pPr>
      <w:r>
        <w:rPr>
          <w:color w:val="000000"/>
        </w:rPr>
        <w:t>    </w:t>
      </w:r>
      <w:bookmarkStart w:id="48" w:name="iaddfbd2d27a7446caa7db1a876ad89b7"/>
      <w:bookmarkEnd w:id="48"/>
      <w:r>
        <w:rPr>
          <w:rFonts w:ascii="Times New Roman;serif" w:hAnsi="Times New Roman;serif"/>
          <w:b/>
          <w:color w:val="000000"/>
          <w:sz w:val="24"/>
        </w:rPr>
        <w:t>Section 7.2.    Officer’s Certificate</w:t>
      </w:r>
      <w:r>
        <w:rPr>
          <w:rFonts w:ascii="Times New Roman;serif" w:hAnsi="Times New Roman;serif"/>
          <w:b w:val="false"/>
          <w:color w:val="000000"/>
          <w:sz w:val="24"/>
        </w:rPr>
        <w:t>. Each set of financial statements delivered to a Purchaser or holder of a Note pursuant to Section 7.1(a) or Section 7.1(b) shall be accompanied by a certificate of a Senior Financial Officer:</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Covenant Compliance</w:t>
      </w:r>
      <w:r>
        <w:rPr>
          <w:color w:val="000000"/>
        </w:rPr>
        <w:t xml:space="preserve"> — </w:t>
      </w:r>
      <w:r>
        <w:rPr>
          <w:rFonts w:ascii="Times New Roman;serif" w:hAnsi="Times New Roman;serif"/>
          <w:b w:val="false"/>
          <w:color w:val="000000"/>
          <w:sz w:val="24"/>
        </w:rPr>
        <w:t>setting forth the information from such financial statements that is required in order to establish whether the Company was in compliance with the requirements of Section 10.6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Event of Default</w:t>
      </w:r>
      <w:r>
        <w:rPr>
          <w:color w:val="000000"/>
        </w:rPr>
        <w:t xml:space="preserve"> — </w:t>
      </w:r>
      <w:r>
        <w:rPr>
          <w:rFonts w:ascii="Times New Roman;serif" w:hAnsi="Times New Roman;serif"/>
          <w:b w:val="false"/>
          <w:color w:val="000000"/>
          <w:sz w:val="24"/>
        </w:rPr>
        <w:t xml:space="preserve">certifying that such Senior Financial Officer has not become aware of any Default or Event of Default that has occurred and is continuing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7800"/>
                <wp:effectExtent l="0" t="0" r="0" b="0"/>
                <wp:wrapNone/>
                <wp:docPr id="28" name="Frame2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if there is any such event, describing it and what action the Company shall have taken or proposes to take with respect thereto.</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i/>
          <w:color w:val="000000"/>
          <w:sz w:val="24"/>
        </w:rPr>
        <w:t>Subsidiary Guarantors</w:t>
      </w:r>
      <w:r>
        <w:rPr>
          <w:color w:val="000000"/>
        </w:rPr>
        <w:t xml:space="preserve"> – </w:t>
      </w:r>
      <w:r>
        <w:rPr>
          <w:rFonts w:ascii="Times New Roman;serif" w:hAnsi="Times New Roman;serif"/>
          <w:b w:val="false"/>
          <w:color w:val="000000"/>
          <w:sz w:val="24"/>
        </w:rPr>
        <w:t>setting forth a list of all Subsidiaries that are Subsidiary Guarantors and certifying that each Subsidiary that is required to be a Subsidiary Guarantor pursuant to Section 9.7 is a Subsidiary Guarantor, in each case, as of the date of such certificate of Senior Financial Officer.</w:t>
      </w:r>
    </w:p>
    <w:p>
      <w:pPr>
        <w:pStyle w:val="TextBody"/>
        <w:bidi w:val="0"/>
        <w:spacing w:lineRule="atLeast" w:line="280" w:before="280" w:after="283"/>
        <w:ind w:left="0" w:right="0" w:firstLine="360"/>
        <w:jc w:val="both"/>
        <w:rPr/>
      </w:pPr>
      <w:r>
        <w:rPr>
          <w:color w:val="000000"/>
        </w:rPr>
        <w:t>    </w:t>
      </w:r>
      <w:bookmarkStart w:id="49" w:name="if0e5d006e4334caca0409338def531e9"/>
      <w:bookmarkEnd w:id="49"/>
      <w:r>
        <w:rPr>
          <w:rFonts w:ascii="Times New Roman;serif" w:hAnsi="Times New Roman;serif"/>
          <w:b/>
          <w:color w:val="000000"/>
          <w:sz w:val="24"/>
        </w:rPr>
        <w:t>Section 7.3.    Visitation</w:t>
      </w:r>
      <w:r>
        <w:rPr>
          <w:rFonts w:ascii="Times New Roman;serif" w:hAnsi="Times New Roman;serif"/>
          <w:b w:val="false"/>
          <w:color w:val="000000"/>
          <w:sz w:val="24"/>
        </w:rPr>
        <w:t>. The Company shall permit the representatives of each Purchaser and holder of a Note that is an Institutional Investor:</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No Default</w:t>
      </w:r>
      <w:r>
        <w:rPr>
          <w:color w:val="000000"/>
        </w:rPr>
        <w:t xml:space="preserve"> — </w:t>
      </w:r>
      <w:r>
        <w:rPr>
          <w:rFonts w:ascii="Times New Roman;serif" w:hAnsi="Times New Roman;serif"/>
          <w:b w:val="false"/>
          <w:color w:val="000000"/>
          <w:sz w:val="24"/>
        </w:rPr>
        <w:t>if no Default or Event of Default then exists, at the expense of such Purchaser or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Default</w:t>
      </w:r>
      <w:r>
        <w:rPr>
          <w:color w:val="000000"/>
        </w:rPr>
        <w:t xml:space="preserve"> — </w:t>
      </w:r>
      <w:r>
        <w:rPr>
          <w:rFonts w:ascii="Times New Roman;serif" w:hAnsi="Times New Roman;serif"/>
          <w:b w:val="false"/>
          <w:color w:val="000000"/>
          <w:sz w:val="24"/>
        </w:rPr>
        <w:t>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pStyle w:val="TextBody"/>
        <w:bidi w:val="0"/>
        <w:spacing w:lineRule="atLeast" w:line="280" w:before="280" w:after="283"/>
        <w:jc w:val="both"/>
        <w:rPr/>
      </w:pPr>
      <w:r>
        <w:rPr>
          <w:color w:val="000000"/>
        </w:rPr>
        <w:t>    </w:t>
      </w:r>
      <w:bookmarkStart w:id="50" w:name="id06e0580b77247f8acbab2c5c22b582f"/>
      <w:bookmarkEnd w:id="50"/>
      <w:r>
        <w:rPr>
          <w:rFonts w:ascii="Times New Roman;serif" w:hAnsi="Times New Roman;serif"/>
          <w:b/>
          <w:color w:val="000000"/>
          <w:sz w:val="24"/>
        </w:rPr>
        <w:t>Section 7.4.    Electronic Delivery</w:t>
      </w:r>
      <w:r>
        <w:rPr>
          <w:rFonts w:ascii="Times New Roman;serif" w:hAnsi="Times New Roman;serif"/>
          <w:b w:val="false"/>
          <w:color w:val="000000"/>
          <w:sz w:val="24"/>
        </w:rPr>
        <w:t>. Documents required to be delivered pursuant to Sections 7.1(a), (b) or (c) and Section 7.2 may be delivered electronically and, if so delivered, shall be deemed to have been delivered on the date:</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(a)on which such documents are delivered to each Purchaser or holder of a Note by e-mail at the e-mail address set forth in such Purchaser’s or holder’s Purchaser Schedule or as communicated from time to time in a separate writing delivered to the Company;</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(b)on which the Company (i) posts such documents, or provides a link thereto, on the Company’s website on the internet at its website address on the internet, which is located at https://www.bradyid.com/corporate/investors/financials as of the date of this Agreement, or (ii) publicly files such documents with the SEC; or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7800"/>
                <wp:effectExtent l="0" t="0" r="0" b="0"/>
                <wp:wrapNone/>
                <wp:docPr id="29" name="Frame2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(c)on which such documents are (i) available on the website of the SEC at http://www.sec.gov or (ii) posted on the Company’s behalf on an internet or intranet website, if any, to which each Purchaser and each holder of Notes has free access;</w:t>
      </w:r>
    </w:p>
    <w:p>
      <w:pPr>
        <w:pStyle w:val="TextBody"/>
        <w:bidi w:val="0"/>
        <w:spacing w:lineRule="atLeast" w:line="280" w:before="280" w:after="283"/>
        <w:ind w:left="0" w:right="0" w:firstLine="720"/>
        <w:jc w:val="both"/>
        <w:rPr/>
      </w:pP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in no case shall access to such financial statements, other information and Officer’s Certificates be conditioned upon any waiver, clickwrap agreement or other agreement, or consent (other than confidentiality provisions consistent with Section 20 of this Agreement);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in the case of clauses (b) or (c), the Company shall have given each Purchaser and each holder of a Note prior written notice, which may be by e-mail or in accordance with Section 18, of such posting or filing in connection with each delivery,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upon request of any Purchaser or holder to receive paper copies of such documents or to receive them by e-mail, the Company will promptly e-mail them or deliver such paper copies, as the case may be, to such Purchaser or holder.</w:t>
      </w:r>
    </w:p>
    <w:p>
      <w:pPr>
        <w:pStyle w:val="TextBody"/>
        <w:bidi w:val="0"/>
        <w:spacing w:lineRule="auto" w:line="278" w:before="320" w:after="283"/>
        <w:ind w:left="0" w:right="0" w:hanging="1699"/>
        <w:jc w:val="left"/>
        <w:rPr>
          <w:rFonts w:ascii="Times New Roman;serif" w:hAnsi="Times New Roman;serif"/>
          <w:b/>
          <w:color w:val="000000"/>
          <w:sz w:val="24"/>
        </w:rPr>
      </w:pPr>
      <w:bookmarkStart w:id="51" w:name="iae3bb31ee2e24c9fb3fdaccf97d36c5f"/>
      <w:bookmarkEnd w:id="51"/>
      <w:r>
        <w:rPr>
          <w:rFonts w:ascii="Times New Roman;serif" w:hAnsi="Times New Roman;serif"/>
          <w:b/>
          <w:color w:val="000000"/>
          <w:sz w:val="24"/>
        </w:rPr>
        <w:t>Section 8.    Payment and Prepayment of the Notes.</w:t>
      </w:r>
    </w:p>
    <w:p>
      <w:pPr>
        <w:pStyle w:val="TextBody"/>
        <w:bidi w:val="0"/>
        <w:spacing w:lineRule="atLeast" w:line="280" w:before="280" w:after="283"/>
        <w:ind w:left="0" w:right="0" w:firstLine="360"/>
        <w:jc w:val="both"/>
        <w:rPr/>
      </w:pPr>
      <w:r>
        <w:rPr>
          <w:color w:val="000000"/>
        </w:rPr>
        <w:t>    </w:t>
      </w:r>
      <w:bookmarkStart w:id="52" w:name="ib2b81c32dbb34f5f843a073a9798589d"/>
      <w:bookmarkEnd w:id="52"/>
      <w:r>
        <w:rPr>
          <w:rFonts w:ascii="Times New Roman;serif" w:hAnsi="Times New Roman;serif"/>
          <w:b/>
          <w:color w:val="000000"/>
          <w:sz w:val="24"/>
        </w:rPr>
        <w:t>Section 8.1.    Maturity</w:t>
      </w:r>
      <w:r>
        <w:rPr>
          <w:rFonts w:ascii="Times New Roman;serif" w:hAnsi="Times New Roman;serif"/>
          <w:b w:val="false"/>
          <w:color w:val="000000"/>
          <w:sz w:val="24"/>
        </w:rPr>
        <w:t xml:space="preserve">. As provided therein, the entire unpaid principal balance of each Note, together with all interest accrued thereon to the Maturity Date shall be due and payable on the Maturity Date thereof. </w:t>
      </w:r>
    </w:p>
    <w:p>
      <w:pPr>
        <w:pStyle w:val="TextBody"/>
        <w:bidi w:val="0"/>
        <w:spacing w:lineRule="atLeast" w:line="280" w:before="280" w:after="283"/>
        <w:ind w:left="0" w:right="0" w:firstLine="360"/>
        <w:jc w:val="both"/>
        <w:rPr/>
      </w:pPr>
      <w:r>
        <w:rPr>
          <w:color w:val="000000"/>
        </w:rPr>
        <w:t>    </w:t>
      </w:r>
      <w:bookmarkStart w:id="53" w:name="ie0056ff8b9a64e56bc4b54e72ee3b705"/>
      <w:bookmarkEnd w:id="53"/>
      <w:r>
        <w:rPr>
          <w:rFonts w:ascii="Times New Roman;serif" w:hAnsi="Times New Roman;serif"/>
          <w:b/>
          <w:color w:val="000000"/>
          <w:sz w:val="24"/>
        </w:rPr>
        <w:t>Section 8.2.    Optional Prepayments with Make-Whole Amount</w:t>
      </w:r>
      <w:r>
        <w:rPr>
          <w:rFonts w:ascii="Times New Roman;serif" w:hAnsi="Times New Roman;serif"/>
          <w:b w:val="false"/>
          <w:color w:val="000000"/>
          <w:sz w:val="24"/>
        </w:rPr>
        <w:t>. The Company may, at its option, upon notice as provided below, prepay at any time all, or from time to time any part of, the Notes, in an amount not less than 5.0% of the aggregate principal amount of the Notes then outstanding in the case of a partial prepayment, at 100% of the principal amount so prepaid, together with interest accrued thereon to the date of such prepayment, and the Make-Whole Amount determined for the prepayment date with respect to such principal amount. The Company will give each holder of Notes written notice of each optional prepayment under this Section 8.2 not less than 10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for the proposed prepayment date, but using interest rates as of the date of such notice), setting forth the details of such computation. Two Business Days prior to such prepayment, the Company shall deliver to each holder of Notes a certificate of a Senior Financial Officer specifying the calculation of such Make-Whole Amount as of the specified prepayment date.</w:t>
      </w:r>
    </w:p>
    <w:p>
      <w:pPr>
        <w:pStyle w:val="TextBody"/>
        <w:bidi w:val="0"/>
        <w:spacing w:lineRule="atLeast" w:line="280" w:before="280" w:after="283"/>
        <w:ind w:left="0" w:right="0" w:firstLine="360"/>
        <w:jc w:val="both"/>
        <w:rPr/>
      </w:pPr>
      <w:r>
        <w:rPr>
          <w:color w:val="000000"/>
        </w:rPr>
        <w:t>    </w:t>
      </w:r>
      <w:bookmarkStart w:id="54" w:name="i03717966baa44621ae1fdadbd782c804"/>
      <w:bookmarkEnd w:id="54"/>
      <w:r>
        <w:rPr>
          <w:rFonts w:ascii="Times New Roman;serif" w:hAnsi="Times New Roman;serif"/>
          <w:b/>
          <w:color w:val="000000"/>
          <w:sz w:val="24"/>
        </w:rPr>
        <w:t>Section 8.3.    Allocation of Partial Prepayments</w:t>
      </w:r>
      <w:r>
        <w:rPr>
          <w:rFonts w:ascii="Times New Roman;serif" w:hAnsi="Times New Roman;serif"/>
          <w:b w:val="false"/>
          <w:color w:val="000000"/>
          <w:sz w:val="24"/>
        </w:rPr>
        <w:t xml:space="preserve">.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In the case of each partial prepayment of the Notes pursuant to Section 8.8, the principal amount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7800"/>
                <wp:effectExtent l="0" t="0" r="0" b="0"/>
                <wp:wrapNone/>
                <wp:docPr id="30" name="Frame3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Notes to be prepaid shall be allocated to those Notes with respect to which the offer of prepayment was accepted or deemed accepted.</w:t>
      </w:r>
    </w:p>
    <w:p>
      <w:pPr>
        <w:pStyle w:val="TextBody"/>
        <w:bidi w:val="0"/>
        <w:spacing w:lineRule="atLeast" w:line="280" w:before="280" w:after="283"/>
        <w:ind w:left="0" w:right="0" w:firstLine="360"/>
        <w:jc w:val="both"/>
        <w:rPr/>
      </w:pPr>
      <w:r>
        <w:rPr>
          <w:color w:val="000000"/>
        </w:rPr>
        <w:t>    </w:t>
      </w:r>
      <w:bookmarkStart w:id="55" w:name="ie4807e61dc5f492f95b0c43ccd9ebc41"/>
      <w:bookmarkEnd w:id="55"/>
      <w:r>
        <w:rPr>
          <w:rFonts w:ascii="Times New Roman;serif" w:hAnsi="Times New Roman;serif"/>
          <w:b/>
          <w:color w:val="000000"/>
          <w:sz w:val="24"/>
        </w:rPr>
        <w:t>Section 8.4.    Maturity; Surrender, Etc</w:t>
      </w:r>
      <w:r>
        <w:rPr>
          <w:rFonts w:ascii="Times New Roman;serif" w:hAnsi="Times New Roman;serif"/>
          <w:b w:val="false"/>
          <w:color w:val="000000"/>
          <w:sz w:val="24"/>
        </w:rPr>
        <w:t>. In the case of each prepayment of Notes pursuant to this Section 8, the principal amount of each Note to be prepaid shall mature and become due and payable on the date fixed for such prepayment, together with interest on such principal amount accrued to such date and (without duplication) the applicable Make-Whole Amount, if any. From and after such date, unless the Company shall fail to pay such principal amount when so due and payable, together with the interest and (without duplication)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pStyle w:val="TextBody"/>
        <w:bidi w:val="0"/>
        <w:spacing w:lineRule="atLeast" w:line="280" w:before="280" w:after="283"/>
        <w:ind w:left="0" w:right="0" w:firstLine="360"/>
        <w:jc w:val="both"/>
        <w:rPr/>
      </w:pPr>
      <w:r>
        <w:rPr>
          <w:color w:val="000000"/>
        </w:rPr>
        <w:t>    </w:t>
      </w:r>
      <w:bookmarkStart w:id="56" w:name="ida589051bb2f465e8f9c278819e015ce"/>
      <w:bookmarkEnd w:id="56"/>
      <w:r>
        <w:rPr>
          <w:rFonts w:ascii="Times New Roman;serif" w:hAnsi="Times New Roman;serif"/>
          <w:b/>
          <w:color w:val="000000"/>
          <w:sz w:val="24"/>
        </w:rPr>
        <w:t>Section 8.5.    Purchase of Notes</w:t>
      </w:r>
      <w:r>
        <w:rPr>
          <w:rFonts w:ascii="Times New Roman;serif" w:hAnsi="Times New Roman;serif"/>
          <w:b w:val="false"/>
          <w:color w:val="000000"/>
          <w:sz w:val="24"/>
        </w:rPr>
        <w:t>. The Company will not and will not permit any Affiliate to purchase, redeem, prepay or otherwise acquire, directly or indirectly, any of the outstanding Notes except (a) upon the payment or prepayment of the Notes in accordance with this Agreement and the Notes or (b) pursuant to an offer to purchase made by the Company or an Affiliate pro rata to the holders of all Notes at the time outstanding upon the same terms and conditions (taking into account the differences in the maturity and interest rate of the different Series of Notes). Any such offer shall provide each holder with sufficient information to enable it to make an informed decision with respect to such offer and shall remain open for at least ten (10)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ten (10) Business Days from its receipt of such notice to accept such offer. A failure by a holder of Notes to respond to an offer to purchase made pursuant to subpart (b) of this Section 8.5 shall be deemed to constitute a rejection of such offer by such holder. The Company will promptly cancel all Notes acquired by it or any Affiliate pursuant to any payment, prepayment or purchase of Notes pursuant to this Agreement and no Notes may be issued in substitution or exchange for any such Notes.</w:t>
      </w:r>
    </w:p>
    <w:p>
      <w:pPr>
        <w:pStyle w:val="TextBody"/>
        <w:bidi w:val="0"/>
        <w:spacing w:lineRule="atLeast" w:line="280" w:before="280" w:after="283"/>
        <w:ind w:left="0" w:right="0" w:firstLine="360"/>
        <w:jc w:val="both"/>
        <w:rPr>
          <w:color w:val="000000"/>
        </w:rPr>
      </w:pPr>
      <w:r>
        <w:rPr>
          <w:color w:val="000000"/>
        </w:rPr>
        <w:t>    </w:t>
      </w:r>
      <w:bookmarkStart w:id="57" w:name="ic40a9a560495465197a172203eb45716"/>
      <w:bookmarkEnd w:id="57"/>
      <w:r>
        <w:rPr>
          <w:rFonts w:ascii="Times New Roman;serif" w:hAnsi="Times New Roman;serif"/>
          <w:b/>
          <w:color w:val="000000"/>
          <w:sz w:val="24"/>
        </w:rPr>
        <w:t>Section 8.6.    Make-Whole Amount.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The term </w:t>
      </w:r>
      <w:r>
        <w:rPr>
          <w:color w:val="000000"/>
        </w:rPr>
        <w:t>“</w:t>
      </w:r>
      <w:r>
        <w:rPr>
          <w:rFonts w:ascii="Times New Roman;serif" w:hAnsi="Times New Roman;serif"/>
          <w:b/>
          <w:color w:val="000000"/>
          <w:sz w:val="24"/>
        </w:rPr>
        <w:t>Make-Whole Amount”</w:t>
      </w:r>
      <w:r>
        <w:rPr>
          <w:color w:val="000000"/>
        </w:rPr>
        <w:t xml:space="preserve"> </w:t>
      </w:r>
      <w:r>
        <w:rPr>
          <w:rFonts w:ascii="Times New Roman;serif" w:hAnsi="Times New Roman;serif"/>
          <w:b w:val="false"/>
          <w:color w:val="000000"/>
          <w:sz w:val="24"/>
        </w:rPr>
        <w:t xml:space="preserve">means, with respect to any Note, an amount equal to the excess, if any, of the Discounted Value of the Remaining Scheduled Payments with respect to the Called Principal of such Note over the amount of such Called Principal,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Make-Whole Amount may in no event be less than zero. For the purposes of determining the Make-Whole Amount, the following terms have the following meanings: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Called Principal”</w:t>
      </w:r>
      <w:r>
        <w:rPr>
          <w:color w:val="000000"/>
        </w:rPr>
        <w:t xml:space="preserve"> </w:t>
      </w:r>
      <w:r>
        <w:rPr>
          <w:rFonts w:ascii="Times New Roman;serif" w:hAnsi="Times New Roman;serif"/>
          <w:b w:val="false"/>
          <w:color w:val="000000"/>
          <w:sz w:val="24"/>
        </w:rPr>
        <w:t>means, with respect to any Note, the principal of such Note that is to be prepaid pursuant to Section 8.2 or has become or is declared to be immediately due and payable pursuant to Section 12.1, as the context requires.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Discounted Value”</w:t>
      </w:r>
      <w:r>
        <w:rPr>
          <w:color w:val="000000"/>
        </w:rPr>
        <w:t xml:space="preserve"> </w:t>
      </w:r>
      <w:r>
        <w:rPr>
          <w:rFonts w:ascii="Times New Roman;serif" w:hAnsi="Times New Roman;serif"/>
          <w:b w:val="false"/>
          <w:color w:val="000000"/>
          <w:sz w:val="24"/>
        </w:rPr>
        <w:t xml:space="preserve">means, with respect to the Called Principal of any Note, the amount obtained by discounting all Remaining Scheduled Payments with respect to such Called Principal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7800"/>
                <wp:effectExtent l="0" t="0" r="0" b="0"/>
                <wp:wrapNone/>
                <wp:docPr id="31" name="Frame3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color w:val="000000"/>
        </w:rPr>
        <w:t>“</w:t>
      </w:r>
      <w:r>
        <w:rPr>
          <w:rFonts w:ascii="Times New Roman;serif" w:hAnsi="Times New Roman;serif"/>
          <w:b/>
          <w:color w:val="000000"/>
          <w:sz w:val="24"/>
        </w:rPr>
        <w:t>Reported”</w:t>
      </w:r>
      <w:r>
        <w:rPr>
          <w:rFonts w:ascii="Times New Roman;serif" w:hAnsi="Times New Roman;serif"/>
          <w:b w:val="false"/>
          <w:color w:val="000000"/>
          <w:sz w:val="24"/>
        </w:rPr>
        <w:t>) having a maturity equal to the Remaining Average Life of such Called Principal as of such Settlement Date. If there are no such U.S. Treasury securities Reported having a maturity equal to such Remaining Average Life as of such Settlement Date,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If such yields are not Reported or the yields Reported as of such time are not ascertainable (including by way of interpolation), then </w:t>
      </w: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as of such Settlement Date,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Average Life”</w:t>
      </w:r>
      <w:r>
        <w:rPr>
          <w:color w:val="000000"/>
        </w:rPr>
        <w:t xml:space="preserve"> </w:t>
      </w:r>
      <w:r>
        <w:rPr>
          <w:rFonts w:ascii="Times New Roman;serif" w:hAnsi="Times New Roman;serif"/>
          <w:b w:val="false"/>
          <w:color w:val="000000"/>
          <w:sz w:val="24"/>
        </w:rPr>
        <w:t>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Scheduled Payments”</w:t>
      </w:r>
      <w:r>
        <w:rPr>
          <w:color w:val="000000"/>
        </w:rPr>
        <w:t xml:space="preserve"> </w:t>
      </w:r>
      <w:r>
        <w:rPr>
          <w:rFonts w:ascii="Times New Roman;serif" w:hAnsi="Times New Roman;serif"/>
          <w:b w:val="false"/>
          <w:color w:val="000000"/>
          <w:sz w:val="24"/>
        </w:rPr>
        <w:t xml:space="preserve">means, with respect to the Called Principal of any Note, all payments of such Called Principal and interest thereon that would be due after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7800"/>
                <wp:effectExtent l="0" t="0" r="0" b="0"/>
                <wp:wrapNone/>
                <wp:docPr id="32" name="Frame3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Settlement Date with respect to such Called Principal if no payment of such Called Principal were made prior to its scheduled due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Settlement Date”</w:t>
      </w:r>
      <w:r>
        <w:rPr>
          <w:color w:val="000000"/>
        </w:rPr>
        <w:t xml:space="preserve"> </w:t>
      </w:r>
      <w:r>
        <w:rPr>
          <w:rFonts w:ascii="Times New Roman;serif" w:hAnsi="Times New Roman;serif"/>
          <w:b w:val="false"/>
          <w:color w:val="000000"/>
          <w:sz w:val="24"/>
        </w:rPr>
        <w:t>means, with respect to the Called Principal of any Note, the date on which such Called Principal is to be prepaid pursuant to Section 8.2 or has become or is declared to be immediately due and payable pursuant to Section 12.1, as the context requires.</w:t>
      </w:r>
    </w:p>
    <w:p>
      <w:pPr>
        <w:pStyle w:val="TextBody"/>
        <w:bidi w:val="0"/>
        <w:spacing w:lineRule="atLeast" w:line="280" w:before="280" w:after="283"/>
        <w:ind w:left="0" w:right="0" w:firstLine="360"/>
        <w:jc w:val="both"/>
        <w:rPr/>
      </w:pPr>
      <w:r>
        <w:rPr>
          <w:color w:val="000000"/>
        </w:rPr>
        <w:t>    </w:t>
      </w:r>
      <w:bookmarkStart w:id="58" w:name="i3cb7b61b8be6441daebe717fbaa7a2d1"/>
      <w:bookmarkEnd w:id="58"/>
      <w:r>
        <w:rPr>
          <w:rFonts w:ascii="Times New Roman;serif" w:hAnsi="Times New Roman;serif"/>
          <w:b/>
          <w:color w:val="000000"/>
          <w:sz w:val="24"/>
        </w:rPr>
        <w:t xml:space="preserve">Section 8.7.    Payments Due on Non-Business Days. </w:t>
      </w:r>
      <w:r>
        <w:rPr>
          <w:rFonts w:ascii="Times New Roman;serif" w:hAnsi="Times New Roman;serif"/>
          <w:b w:val="false"/>
          <w:color w:val="000000"/>
          <w:sz w:val="24"/>
        </w:rPr>
        <w:t>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pStyle w:val="TextBody"/>
        <w:bidi w:val="0"/>
        <w:spacing w:lineRule="atLeast" w:line="280" w:before="280" w:after="283"/>
        <w:ind w:left="0" w:right="0" w:firstLine="360"/>
        <w:jc w:val="both"/>
        <w:rPr>
          <w:color w:val="000000"/>
        </w:rPr>
      </w:pPr>
      <w:r>
        <w:rPr>
          <w:color w:val="000000"/>
        </w:rPr>
        <w:t>    </w:t>
      </w:r>
      <w:bookmarkStart w:id="59" w:name="i53532bde5a12441a928779b4b4b1b995"/>
      <w:bookmarkEnd w:id="59"/>
      <w:r>
        <w:rPr>
          <w:rFonts w:ascii="Times New Roman;serif" w:hAnsi="Times New Roman;serif"/>
          <w:b/>
          <w:color w:val="000000"/>
          <w:sz w:val="24"/>
        </w:rPr>
        <w:t>Section 8.8.    Change of Control Prepayment Offer.</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Notice of Change of Control</w:t>
      </w:r>
      <w:r>
        <w:rPr>
          <w:rFonts w:ascii="Times New Roman;serif" w:hAnsi="Times New Roman;serif"/>
          <w:b w:val="false"/>
          <w:color w:val="000000"/>
          <w:sz w:val="24"/>
        </w:rPr>
        <w:t xml:space="preserve">. The Company will, promptly after the consummation of any Change of Control, and in any event within 15 Business Days after any Responsible Officer has knowledge of the consummation of any Change of Control, give written notice of such Change of Control to each holder of Notes (the </w:t>
      </w:r>
      <w:r>
        <w:rPr>
          <w:color w:val="000000"/>
        </w:rPr>
        <w:t>“</w:t>
      </w:r>
      <w:r>
        <w:rPr>
          <w:rFonts w:ascii="Times New Roman;serif" w:hAnsi="Times New Roman;serif"/>
          <w:b/>
          <w:color w:val="000000"/>
          <w:sz w:val="24"/>
        </w:rPr>
        <w:t>Notice of Change of Control”</w:t>
      </w:r>
      <w:r>
        <w:rPr>
          <w:rFonts w:ascii="Times New Roman;serif" w:hAnsi="Times New Roman;serif"/>
          <w:b w:val="false"/>
          <w:color w:val="000000"/>
          <w:sz w:val="24"/>
        </w:rPr>
        <w:t>). The Notice of Change of Control shall (i) describe the facts and circumstances of such Change of Control in reasonable detail, (ii) refer to this Section 8.8 and the rights of the holders hereunder and (iii) contain and constitute an offer by the Company to prepay the Notes as described in subparagraph (b) of this Section 8.8 and shall be accompanied by the certificate described in subparagraph (e) of this Section 8.8.</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Offer to Prepay Notes</w:t>
      </w:r>
      <w:r>
        <w:rPr>
          <w:rFonts w:ascii="Times New Roman;serif" w:hAnsi="Times New Roman;serif"/>
          <w:b w:val="false"/>
          <w:color w:val="000000"/>
          <w:sz w:val="24"/>
        </w:rPr>
        <w:t xml:space="preserve">. The offer to prepay the Notes contemplated by subparagraph (a) of this Section 8.8 shall be an offer to prepay, in accordance with and subject to this Section 8.8, all the Notes held by each holder, or any portion of Notes which such offer is accepted on a date specified in such offer (the </w:t>
      </w:r>
      <w:r>
        <w:rPr>
          <w:color w:val="000000"/>
        </w:rPr>
        <w:t>“</w:t>
      </w:r>
      <w:r>
        <w:rPr>
          <w:rFonts w:ascii="Times New Roman;serif" w:hAnsi="Times New Roman;serif"/>
          <w:b/>
          <w:color w:val="000000"/>
          <w:sz w:val="24"/>
        </w:rPr>
        <w:t>Change of Control Prepayment Date”</w:t>
      </w:r>
      <w:r>
        <w:rPr>
          <w:rFonts w:ascii="Times New Roman;serif" w:hAnsi="Times New Roman;serif"/>
          <w:b w:val="false"/>
          <w:color w:val="000000"/>
          <w:sz w:val="24"/>
        </w:rPr>
        <w:t>) which shall be a Business Day not less than 10 days and not more than 60 days after such notice is sent.</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i/>
          <w:color w:val="000000"/>
          <w:sz w:val="24"/>
        </w:rPr>
        <w:t>Acceptance/Rejection</w:t>
      </w:r>
      <w:r>
        <w:rPr>
          <w:rFonts w:ascii="Times New Roman;serif" w:hAnsi="Times New Roman;serif"/>
          <w:b w:val="false"/>
          <w:color w:val="000000"/>
          <w:sz w:val="24"/>
        </w:rPr>
        <w:t xml:space="preserve">. A holder of Notes (in this case only, “holder” in respect of any Note registered in the name of a nominee for a disclosed beneficial owner shall mean such beneficial owner) may accept the offer made pursuant to this Section 8.8 by causing a notice of such acceptance to be delivered to the Company not later than 10 Business Days after receipt by such holder of the Notice of Change of Control. Any holder of multiple Notes bearing the same registered holder name may, at its option, choose among its Notes as to which Notes, if any, and whether in full or for which portion thereof, it is accepting the offer of prepayment pursuant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7800"/>
                <wp:effectExtent l="0" t="0" r="0" b="0"/>
                <wp:wrapNone/>
                <wp:docPr id="33" name="Frame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this Section 8.8 and shall designate in its notice of acceptance as to the specific Notes, if any, or portions thereof, being accepted for prepayment. A failure by a holder of Notes to respond to an offer to prepay made pursuant to this Section 8.8 shall be deemed to constitute a rejection of such offer by such holder.</w:t>
      </w:r>
    </w:p>
    <w:p>
      <w:pPr>
        <w:pStyle w:val="TextBody"/>
        <w:bidi w:val="0"/>
        <w:spacing w:lineRule="auto" w:line="278"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i/>
          <w:color w:val="000000"/>
          <w:sz w:val="24"/>
        </w:rPr>
        <w:t>Prepayment</w:t>
      </w:r>
      <w:r>
        <w:rPr>
          <w:rFonts w:ascii="Times New Roman;serif" w:hAnsi="Times New Roman;serif"/>
          <w:b w:val="false"/>
          <w:color w:val="000000"/>
          <w:sz w:val="24"/>
        </w:rPr>
        <w:t>. On the Change of Control Prepayment Date, the Company shall pay to each holder the aggregate outstanding principal amount of any Note (or portion thereof) with regard to which such holder has accepted such prepayment offer together with interest accrued thereon to the date of such prepayment, but without any Make-Whole Amount or other premium. The prepayment shall be made on the Change of Control Prepayment Date.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(e)</w:t>
      </w:r>
      <w:r>
        <w:rPr>
          <w:rFonts w:ascii="Times New Roman;serif" w:hAnsi="Times New Roman;serif"/>
          <w:b w:val="false"/>
          <w:i/>
          <w:color w:val="000000"/>
          <w:sz w:val="24"/>
        </w:rPr>
        <w:t>Officer’s Certificate</w:t>
      </w:r>
      <w:r>
        <w:rPr>
          <w:rFonts w:ascii="Times New Roman;serif" w:hAnsi="Times New Roman;serif"/>
          <w:b w:val="false"/>
          <w:color w:val="000000"/>
          <w:sz w:val="24"/>
        </w:rPr>
        <w:t>. Each offer to prepay the Notes pursuant to this Section 8.8 shall be accompanied by a certificate, executed by a Senior Financial Officer of the Company and dated the date of such offer, specifying: (i) the Change of Control Prepayment Date; (ii) that such offer is made pursuant to this Section 8.8; (iii) the principal amount of each Note offered to be prepaid which shall be 100% of the principal amount thereof; (iv) the interest that would be due on each Note offered to be prepaid, accrued to the Change of Control Prepayment Date; (v) that the conditions of this Section 8.8 have been fulfilled; and (vi) in reasonable detail, the nature of and date or proposed date of the Change of Control.</w:t>
      </w:r>
    </w:p>
    <w:p>
      <w:pPr>
        <w:pStyle w:val="TextBody"/>
        <w:bidi w:val="0"/>
        <w:spacing w:lineRule="auto" w:line="278" w:before="280" w:after="283"/>
        <w:ind w:left="0" w:right="0" w:firstLine="825"/>
        <w:jc w:val="both"/>
        <w:rPr/>
      </w:pPr>
      <w:r>
        <w:rPr>
          <w:rFonts w:ascii="Times New Roman;serif" w:hAnsi="Times New Roman;serif"/>
          <w:b w:val="false"/>
          <w:color w:val="000000"/>
          <w:sz w:val="24"/>
        </w:rPr>
        <w:t>(f)</w:t>
      </w:r>
      <w:r>
        <w:rPr>
          <w:rFonts w:ascii="Times New Roman;serif" w:hAnsi="Times New Roman;serif"/>
          <w:b w:val="false"/>
          <w:i/>
          <w:color w:val="000000"/>
          <w:sz w:val="24"/>
        </w:rPr>
        <w:t>Certain Definitions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color w:val="000000"/>
        </w:rPr>
        <w:t>    “</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(i) any Person or group of Persons (within the meaning of Section 13 or 14 of the Securities Exchange Act of 1934) (excluding (x) any employee benefit plan of the Company or any of its Subsidiaries, (y) any person or entity acting in its capacity as trustee, agent or other fiduciary or administrator of any such plan and (z) Elizabeth Brady, William Brady and their descendants or any trusts established for them or their descendants, and the W. H. Brady Foundation, Inc.) shall acquire beneficial ownership (within the meaning of Rule 13d-3 promulgated under such Act) of one</w:t>
        <w:noBreakHyphen/>
        <w:t>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the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 other than as a result of any transaction where such Designated Borrower ceases to be a Designated Borrower.</w:t>
      </w:r>
    </w:p>
    <w:p>
      <w:pPr>
        <w:pStyle w:val="TextBody"/>
        <w:bidi w:val="0"/>
        <w:spacing w:lineRule="auto" w:line="278" w:before="280" w:after="283"/>
        <w:ind w:left="0" w:right="0" w:firstLine="825"/>
        <w:jc w:val="both"/>
        <w:rPr/>
      </w:pPr>
      <w:r>
        <w:rPr>
          <w:rFonts w:ascii="Times New Roman;serif" w:hAnsi="Times New Roman;serif"/>
          <w:b w:val="false"/>
          <w:color w:val="000000"/>
          <w:sz w:val="24"/>
        </w:rPr>
        <w:t>(g)</w:t>
      </w:r>
      <w:r>
        <w:rPr>
          <w:rFonts w:ascii="Times New Roman;serif" w:hAnsi="Times New Roman;serif"/>
          <w:b w:val="false"/>
          <w:color w:val="000000"/>
          <w:sz w:val="24"/>
        </w:rPr>
        <w:t>All calculations contemplated in this Section 8.8 involving the Capital Stock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of such Person were exercised at such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7800"/>
                <wp:effectExtent l="0" t="0" r="0" b="0"/>
                <wp:wrapNone/>
                <wp:docPr id="34" name="Frame3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320" w:after="283"/>
        <w:ind w:left="0" w:right="0" w:hanging="1699"/>
        <w:jc w:val="left"/>
        <w:rPr>
          <w:rFonts w:ascii="Times New Roman;serif" w:hAnsi="Times New Roman;serif"/>
          <w:b/>
          <w:color w:val="000000"/>
          <w:sz w:val="24"/>
        </w:rPr>
      </w:pPr>
      <w:bookmarkStart w:id="60" w:name="if86a0f80dcb940b49bfb024c41caf8b0"/>
      <w:bookmarkEnd w:id="60"/>
      <w:r>
        <w:rPr>
          <w:rFonts w:ascii="Times New Roman;serif" w:hAnsi="Times New Roman;serif"/>
          <w:b/>
          <w:color w:val="000000"/>
          <w:sz w:val="24"/>
        </w:rPr>
        <w:t>Section 9.    Affirmative Covenants.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that from and after the Execution Date and so long as any of the Notes are outstanding:</w:t>
      </w:r>
    </w:p>
    <w:p>
      <w:pPr>
        <w:pStyle w:val="TextBody"/>
        <w:bidi w:val="0"/>
        <w:spacing w:lineRule="atLeast" w:line="280" w:before="280" w:after="283"/>
        <w:ind w:left="0" w:right="0" w:firstLine="360"/>
        <w:jc w:val="both"/>
        <w:rPr/>
      </w:pPr>
      <w:r>
        <w:rPr>
          <w:color w:val="000000"/>
        </w:rPr>
        <w:t>    </w:t>
      </w:r>
      <w:bookmarkStart w:id="61" w:name="id0ef8171b0bd4e77bdaf5aaeb964a7ff"/>
      <w:bookmarkEnd w:id="61"/>
      <w:r>
        <w:rPr>
          <w:rFonts w:ascii="Times New Roman;serif" w:hAnsi="Times New Roman;serif"/>
          <w:b/>
          <w:color w:val="000000"/>
          <w:sz w:val="24"/>
        </w:rPr>
        <w:t>Section 9.1.    Compliance with Laws</w:t>
      </w:r>
      <w:r>
        <w:rPr>
          <w:rFonts w:ascii="Times New Roman;serif" w:hAnsi="Times New Roman;serif"/>
          <w:b w:val="false"/>
          <w:color w:val="000000"/>
          <w:sz w:val="24"/>
        </w:rPr>
        <w:t>. Without limiting Section 10.4, the Company will, and will cause each of its Significant 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pStyle w:val="TextBody"/>
        <w:bidi w:val="0"/>
        <w:spacing w:lineRule="atLeast" w:line="280" w:before="280" w:after="283"/>
        <w:ind w:left="0" w:right="0" w:firstLine="360"/>
        <w:jc w:val="both"/>
        <w:rPr/>
      </w:pPr>
      <w:r>
        <w:rPr>
          <w:color w:val="000000"/>
        </w:rPr>
        <w:t>    </w:t>
      </w:r>
      <w:bookmarkStart w:id="62" w:name="i1d268c50e3dc43859bda35c43b08e029"/>
      <w:bookmarkEnd w:id="62"/>
      <w:r>
        <w:rPr>
          <w:rFonts w:ascii="Times New Roman;serif" w:hAnsi="Times New Roman;serif"/>
          <w:b/>
          <w:color w:val="000000"/>
          <w:sz w:val="24"/>
        </w:rPr>
        <w:t>Section 9.2.    Insurance</w:t>
      </w:r>
      <w:r>
        <w:rPr>
          <w:rFonts w:ascii="Times New Roman;serif" w:hAnsi="Times New Roman;serif"/>
          <w:b w:val="false"/>
          <w:color w:val="000000"/>
          <w:sz w:val="24"/>
        </w:rPr>
        <w:t>. The Company will, and will cause each of its Significant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pStyle w:val="TextBody"/>
        <w:bidi w:val="0"/>
        <w:spacing w:lineRule="atLeast" w:line="280" w:before="280" w:after="283"/>
        <w:ind w:left="0" w:right="0" w:firstLine="360"/>
        <w:jc w:val="both"/>
        <w:rPr/>
      </w:pPr>
      <w:r>
        <w:rPr>
          <w:color w:val="000000"/>
        </w:rPr>
        <w:t>    </w:t>
      </w:r>
      <w:bookmarkStart w:id="63" w:name="i0d528fb7836849c78645ca7d3d3e0d6e"/>
      <w:bookmarkEnd w:id="63"/>
      <w:r>
        <w:rPr>
          <w:rFonts w:ascii="Times New Roman;serif" w:hAnsi="Times New Roman;serif"/>
          <w:b/>
          <w:color w:val="000000"/>
          <w:sz w:val="24"/>
        </w:rPr>
        <w:t>Section 9.3.    Maintenance of Properties</w:t>
      </w:r>
      <w:r>
        <w:rPr>
          <w:rFonts w:ascii="Times New Roman;serif" w:hAnsi="Times New Roman;serif"/>
          <w:b w:val="false"/>
          <w:color w:val="000000"/>
          <w:sz w:val="24"/>
        </w:rPr>
        <w:t xml:space="preserve">. The Company will, and will cause each of its Significant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this Section 9.3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pStyle w:val="TextBody"/>
        <w:bidi w:val="0"/>
        <w:spacing w:lineRule="atLeast" w:line="280" w:before="280" w:after="283"/>
        <w:ind w:left="0" w:right="0" w:firstLine="360"/>
        <w:jc w:val="both"/>
        <w:rPr/>
      </w:pPr>
      <w:r>
        <w:rPr>
          <w:color w:val="000000"/>
        </w:rPr>
        <w:t>    </w:t>
      </w:r>
      <w:bookmarkStart w:id="64" w:name="if439e9b5b68e4c309ce49d2334c2062e"/>
      <w:bookmarkEnd w:id="64"/>
      <w:r>
        <w:rPr>
          <w:rFonts w:ascii="Times New Roman;serif" w:hAnsi="Times New Roman;serif"/>
          <w:b/>
          <w:color w:val="000000"/>
          <w:sz w:val="24"/>
        </w:rPr>
        <w:t>Section 9.4.    Payment of Taxes and Claims</w:t>
      </w:r>
      <w:r>
        <w:rPr>
          <w:rFonts w:ascii="Times New Roman;serif" w:hAnsi="Times New Roman;serif"/>
          <w:b w:val="false"/>
          <w:color w:val="000000"/>
          <w:sz w:val="24"/>
        </w:rPr>
        <w:t xml:space="preserve">.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neither the Company nor any Subsidiary need pay any such tax, assessment, charge, levy or claim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7800"/>
                <wp:effectExtent l="0" t="0" r="0" b="0"/>
                <wp:wrapNone/>
                <wp:docPr id="35" name="Frame3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Company or such Subsidiary or (b) the nonpayment of all such taxes, assessments, charges, levies and claims could not, individually or in the aggregate, reasonably be expected to have a Material Adverse Effect.</w:t>
      </w:r>
    </w:p>
    <w:p>
      <w:pPr>
        <w:pStyle w:val="TextBody"/>
        <w:bidi w:val="0"/>
        <w:spacing w:lineRule="atLeast" w:line="280" w:before="280" w:after="283"/>
        <w:ind w:left="0" w:right="0" w:firstLine="360"/>
        <w:jc w:val="both"/>
        <w:rPr/>
      </w:pPr>
      <w:r>
        <w:rPr>
          <w:color w:val="000000"/>
        </w:rPr>
        <w:t>    </w:t>
      </w:r>
      <w:bookmarkStart w:id="65" w:name="i20880af23834405bb92e19e970ac99af"/>
      <w:bookmarkEnd w:id="65"/>
      <w:r>
        <w:rPr>
          <w:rFonts w:ascii="Times New Roman;serif" w:hAnsi="Times New Roman;serif"/>
          <w:b/>
          <w:color w:val="000000"/>
          <w:sz w:val="24"/>
        </w:rPr>
        <w:t>Section 9.5.    Corporate Existence, Etc</w:t>
      </w:r>
      <w:r>
        <w:rPr>
          <w:rFonts w:ascii="Times New Roman;serif" w:hAnsi="Times New Roman;serif"/>
          <w:b w:val="false"/>
          <w:color w:val="000000"/>
          <w:sz w:val="24"/>
        </w:rPr>
        <w:t>. Subject to Section 10.2, the Company will at all times preserve and keep its corporate existence in full force and effect. Subject to Sections 10.2 and 10.8, the Company will at all times preserve and keep in full force and effect the corporate existence of each of its Significant Subsidiaries (unless merged into the Company or a Wholly-Owned Subsidiary) and all rights and franchises of the Company and its Significant Subsidiaries unless, in the good faith judgment of the Company, the termination of or failure to preserve and keep in full force and effect such corporate existence, right or franchise could not, individually or in the aggregate, have a Material Adverse Effect.</w:t>
      </w:r>
    </w:p>
    <w:p>
      <w:pPr>
        <w:pStyle w:val="TextBody"/>
        <w:bidi w:val="0"/>
        <w:spacing w:lineRule="atLeast" w:line="280" w:before="280" w:after="283"/>
        <w:ind w:left="0" w:right="0" w:firstLine="360"/>
        <w:jc w:val="both"/>
        <w:rPr/>
      </w:pPr>
      <w:r>
        <w:rPr>
          <w:color w:val="000000"/>
        </w:rPr>
        <w:t>    </w:t>
      </w:r>
      <w:bookmarkStart w:id="66" w:name="iae0df840c6e94c1a9e55f4ec1bac7fd0"/>
      <w:bookmarkEnd w:id="66"/>
      <w:r>
        <w:rPr>
          <w:rFonts w:ascii="Times New Roman;serif" w:hAnsi="Times New Roman;serif"/>
          <w:b/>
          <w:color w:val="000000"/>
          <w:sz w:val="24"/>
        </w:rPr>
        <w:t>Section 9.6.    Books and Records</w:t>
      </w:r>
      <w:r>
        <w:rPr>
          <w:rFonts w:ascii="Times New Roman;serif" w:hAnsi="Times New Roman;serif"/>
          <w:b w:val="false"/>
          <w:color w:val="000000"/>
          <w:sz w:val="24"/>
        </w:rPr>
        <w:t>. The Company will, and will cause each of its Significant Subsidiaries to, maintain proper books of record and account, in all material respects sufficient to prepare financial statements in conformity with GAAP, and in accordance in all material respects with all applicable requirements of any Governmental Authority having legal or regulatory jurisdiction over the Company or such Subsidiary, as the case may be. The Company will, and will cause each of its Significant Subsidiaries to, keep books, records and accounts which, in reasonable detail, accurately reflect all transactions and dispositions of assets. The Company and its Significant Subsidiaries have devised a system of internal accounting controls sufficient to provide reasonable assurances that their respective books, records, and accounts accurately reflect all transactions and dispositions of assets and the Company will, and will cause each of its Significant Subsidiaries to, continue to maintain such a system.</w:t>
      </w:r>
    </w:p>
    <w:p>
      <w:pPr>
        <w:pStyle w:val="TextBody"/>
        <w:bidi w:val="0"/>
        <w:spacing w:lineRule="atLeast" w:line="280" w:before="280" w:after="283"/>
        <w:ind w:left="0" w:right="0" w:firstLine="360"/>
        <w:jc w:val="both"/>
        <w:rPr/>
      </w:pPr>
      <w:r>
        <w:rPr>
          <w:color w:val="000000"/>
        </w:rPr>
        <w:t>    </w:t>
      </w:r>
      <w:bookmarkStart w:id="67" w:name="i50e15d69ff79491d99b8269891c42fec"/>
      <w:bookmarkEnd w:id="67"/>
      <w:r>
        <w:rPr>
          <w:rFonts w:ascii="Times New Roman;serif" w:hAnsi="Times New Roman;serif"/>
          <w:b/>
          <w:color w:val="000000"/>
          <w:sz w:val="24"/>
        </w:rPr>
        <w:t>Section 9.7.    Subsidiary Guarantors</w:t>
      </w:r>
      <w:r>
        <w:rPr>
          <w:rFonts w:ascii="Times New Roman;serif" w:hAnsi="Times New Roman;serif"/>
          <w:b w:val="false"/>
          <w:color w:val="000000"/>
          <w:sz w:val="24"/>
        </w:rPr>
        <w:t>. (a) The Company will cause each of its Domestic Subsidiaries that guarantees or otherwise becomes liable at any time, whether as a borrower or an additional or co-borrower or otherwise, for or in respect of any Indebtedness under any Material Credit Facility to concurrently therewith:</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(i)join the Subsidiary Guaranty by execution of a joinder or supplement to the Subsidiary Guaranty (a </w:t>
      </w:r>
      <w:r>
        <w:rPr>
          <w:color w:val="000000"/>
        </w:rPr>
        <w:t>“</w:t>
      </w:r>
      <w:r>
        <w:rPr>
          <w:rFonts w:ascii="Times New Roman;serif" w:hAnsi="Times New Roman;serif"/>
          <w:b/>
          <w:color w:val="000000"/>
          <w:sz w:val="24"/>
        </w:rPr>
        <w:t>Joinder Agreement”</w:t>
      </w:r>
      <w:r>
        <w:rPr>
          <w:rFonts w:ascii="Times New Roman;serif" w:hAnsi="Times New Roman;serif"/>
          <w:b w:val="false"/>
          <w:color w:val="000000"/>
          <w:sz w:val="24"/>
        </w:rPr>
        <w:t>) in form and substance reasonably satisfactory to the Required Holders;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(ii)deliver the following to each holder of a Note:</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(A)an executed counterpart of such Joinder Agreement;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(B)a certificate signed by an authorized responsible officer of such Subsidiary containing representations and warranties on behalf of such Subsidiary to the same effect, mutatis mutandis, as those contained in Sections 5.1, 5.2, 5.6 and 5.7 of this Agreement (but with respect to such Subsidiary and such Joinder Agreement rather than the Company);</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(C)all documents as may be reasonably requested by the Required Holders to evidence the due organization, continuing existence and, where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7800"/>
                <wp:effectExtent l="0" t="0" r="0" b="0"/>
                <wp:wrapNone/>
                <wp:docPr id="36" name="Frame3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applicable, good standing of such Subsidiary and the due authorization by all requisite action on the part of such Subsidiary of the execution and delivery of such Joinder Agreement and the performance by such Subsidiary of its obligations thereunder;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(D)an opinion of counsel reasonably satisfactory to the Required Holders covering such matters relating to such Subsidiary and such Joinder Agreement as the Required Holders may reasonably request.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the election of the Company and by written notice to each holder of Notes, any Subsidiary Guarantor that is a party to a Subsidiary Guaranty 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upon giving effect to, such release and discharge, no Default or Event of Default shall be existing, (iii) no amount is then due and payable under such Subsidiary Guaranty, (iv) if in connection with such Subsidiary Guarantor being released and discharged under the Primary Credit Agreement, any fee or other form of consideration is given to any holder of Indebtedness under the Primary Credit Agreement for such release, the holders of the Notes shall receive equivalent consideration substantially concurrently therewith and (v) each holder shall have received a certificate of a Responsible Officer certifying as to the matters set forth in clauses (i) through (iv). In the event of any such release, for purposes of Section 10.7, all Indebtedness of such Subsidiary shall be deemed to have been incurred concurrently with such release.</w:t>
      </w:r>
    </w:p>
    <w:p>
      <w:pPr>
        <w:pStyle w:val="TextBody"/>
        <w:bidi w:val="0"/>
        <w:spacing w:lineRule="atLeast" w:line="280" w:before="280" w:after="283"/>
        <w:ind w:left="0" w:right="0" w:firstLine="360"/>
        <w:jc w:val="both"/>
        <w:rPr/>
      </w:pPr>
      <w:r>
        <w:rPr>
          <w:color w:val="000000"/>
        </w:rPr>
        <w:t>    </w:t>
      </w:r>
      <w:bookmarkStart w:id="68" w:name="ifcc7b8b4ed0049fc9320df3884c5f0ce"/>
      <w:bookmarkEnd w:id="68"/>
      <w:r>
        <w:rPr>
          <w:rFonts w:ascii="Times New Roman;serif" w:hAnsi="Times New Roman;serif"/>
          <w:b/>
          <w:color w:val="000000"/>
          <w:sz w:val="24"/>
        </w:rPr>
        <w:t>Section 9.8.    Priority of Obligations</w:t>
      </w:r>
      <w:r>
        <w:rPr>
          <w:rFonts w:ascii="Times New Roman;serif" w:hAnsi="Times New Roman;serif"/>
          <w:b w:val="false"/>
          <w:color w:val="000000"/>
          <w:sz w:val="24"/>
        </w:rPr>
        <w:t>. (a) The Company will ensure that its payment obligations under this Agreement and the Notes, and the payment obligations of any Subsidiary Guarantor under its Subsidiary Guaranty, will at all times rank at least pari passu, without preference or priority, with all other unsecured and unsubordinated Indebtedness of the Company and such Subsidiary Guarantor, as applicable.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Note Party agrees that all intercompany Indebtedness among Note Parties (the </w:t>
      </w:r>
      <w:r>
        <w:rPr>
          <w:color w:val="000000"/>
        </w:rPr>
        <w:t>“</w:t>
      </w:r>
      <w:r>
        <w:rPr>
          <w:rFonts w:ascii="Times New Roman;serif" w:hAnsi="Times New Roman;serif"/>
          <w:b/>
          <w:color w:val="000000"/>
          <w:sz w:val="24"/>
        </w:rPr>
        <w:t>Intercompany Debt”</w:t>
      </w:r>
      <w:r>
        <w:rPr>
          <w:rFonts w:ascii="Times New Roman;serif" w:hAnsi="Times New Roman;serif"/>
          <w:b w:val="false"/>
          <w:color w:val="000000"/>
          <w:sz w:val="24"/>
        </w:rPr>
        <w:t xml:space="preserve">) is subordinated in right of payment, to the prior payment in full of all obligations under this Agreement and the Notes. Notwithstanding any provision of this Agreement to the contrary, provided that no Default or Event of Default has occurred and is continuing, the Note Parties may make and receive payments with respect to the Intercompany Debt to the extent otherwise permitted by this Agreement; </w:t>
      </w:r>
      <w:r>
        <w:rPr>
          <w:rFonts w:ascii="Times New Roman;serif" w:hAnsi="Times New Roman;serif"/>
          <w:b w:val="false"/>
          <w:i/>
          <w:color w:val="000000"/>
          <w:sz w:val="24"/>
        </w:rPr>
        <w:t>provided</w:t>
      </w:r>
      <w:r>
        <w:rPr>
          <w:rFonts w:ascii="Times New Roman;serif" w:hAnsi="Times New Roman;serif"/>
          <w:b w:val="false"/>
          <w:color w:val="000000"/>
          <w:sz w:val="24"/>
        </w:rPr>
        <w:t>, that in the event of and during the continuation of any Default or Event of Default, no payment shall be made by or on behalf of any Note Party on account of any Intercompany Debt. In the event that any Note Party receives any payment of any Intercompany Debt at a time when such payment is prohibited by this Section 9.8(b), such payment shall be held by such Note Party, in trust for the benefit of, and shall be paid forthwith over and delivered, upon written request, to the holders of the Notes.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7800"/>
                <wp:effectExtent l="0" t="0" r="0" b="0"/>
                <wp:wrapNone/>
                <wp:docPr id="37" name="Frame3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69" w:name="i7d71004b18b24d96921ba148427f5993"/>
      <w:bookmarkEnd w:id="69"/>
      <w:r>
        <w:rPr>
          <w:rFonts w:ascii="Times New Roman;serif" w:hAnsi="Times New Roman;serif"/>
          <w:b/>
          <w:color w:val="000000"/>
          <w:sz w:val="24"/>
        </w:rPr>
        <w:t>Section 9.9.    Rating on the Notes</w:t>
      </w:r>
      <w:r>
        <w:rPr>
          <w:rFonts w:ascii="Times New Roman;serif" w:hAnsi="Times New Roman;serif"/>
          <w:b w:val="false"/>
          <w:color w:val="000000"/>
          <w:sz w:val="24"/>
        </w:rPr>
        <w:t>. (a) The Company shall at all times maintain a Debt Rating for the Notes from an Acceptable Rating Agency.</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At any time that the Debt Rating maintained pursuant to clause (a) above is not a public rating, the Company shall provide to each holder of a Note (x) at least annually (on or before each anniversary of the date of the Closing) and (y) promptly upon any change in such Debt Rating, an updated Private Rating Letter evidencing such Debt Rating and an updated Private Rating Rationale Report with respect to such Debt Rating. In addition to the foregoing information and any information specifically required to be included in any Private Rating Letter or Private Rating Rationale Report (as set forth in the respective definitions thereof), if the SVO or any other governmental authority having jurisdiction over any holder of any Notes from time to time requires any additional information with respect to the Debt Rating of the Notes, the Company shall use commercially reasonable efforts to procure such information from the Acceptable Rating Agency.</w:t>
      </w:r>
    </w:p>
    <w:p>
      <w:pPr>
        <w:pStyle w:val="TextBody"/>
        <w:bidi w:val="0"/>
        <w:spacing w:lineRule="atLeast" w:line="280" w:before="280" w:after="283"/>
        <w:ind w:left="0" w:right="0" w:firstLine="540"/>
        <w:jc w:val="both"/>
        <w:rPr/>
      </w:pPr>
      <w:r>
        <w:rPr>
          <w:color w:val="000000"/>
        </w:rPr>
        <w:t>    </w:t>
      </w:r>
      <w:bookmarkStart w:id="70" w:name="i22ac69bcc6c34725a6c55b58adc2f348"/>
      <w:bookmarkEnd w:id="70"/>
      <w:r>
        <w:rPr>
          <w:rFonts w:ascii="Times New Roman;serif" w:hAnsi="Times New Roman;serif"/>
          <w:b/>
          <w:color w:val="000000"/>
          <w:sz w:val="24"/>
        </w:rPr>
        <w:t>Section 9.10.    Anti-Corruption Laws</w:t>
      </w:r>
      <w:r>
        <w:rPr>
          <w:rFonts w:ascii="Times New Roman;serif" w:hAnsi="Times New Roman;serif"/>
          <w:b w:val="false"/>
          <w:color w:val="000000"/>
          <w:sz w:val="24"/>
        </w:rPr>
        <w:t>. The Company will, and will cause each other Note Party to, conduct its business in compliance in all material respects with Anti-Corruption Laws and maintain policies and procedures designed to promote and achieve compliance with such laws.</w:t>
      </w:r>
    </w:p>
    <w:p>
      <w:pPr>
        <w:pStyle w:val="TextBody"/>
        <w:bidi w:val="0"/>
        <w:spacing w:lineRule="auto" w:line="278" w:before="280" w:after="283"/>
        <w:ind w:left="0" w:right="0" w:firstLine="540"/>
        <w:jc w:val="both"/>
        <w:rPr/>
      </w:pPr>
      <w:bookmarkStart w:id="71" w:name="i35629fbba4a04974b8ea9e98c2cd77aa"/>
      <w:bookmarkEnd w:id="71"/>
      <w:r>
        <w:rPr>
          <w:rFonts w:ascii="Times New Roman;serif" w:hAnsi="Times New Roman;serif"/>
          <w:b/>
          <w:color w:val="000000"/>
          <w:sz w:val="24"/>
        </w:rPr>
        <w:t>Section 9.11.    Most Favored Lender</w:t>
      </w:r>
      <w:r>
        <w:rPr>
          <w:rFonts w:ascii="Times New Roman;serif" w:hAnsi="Times New Roman;serif"/>
          <w:b w:val="false"/>
          <w:color w:val="000000"/>
          <w:sz w:val="24"/>
        </w:rPr>
        <w:t>. (a) If at any time a Material Credit Facility contains a Financial Covenant, an affirmative covenant or a negative covenant that is more favorable to the lenders under such Material Credit Facility than the covenants, definitions and/or defaults contained in this Agreement (any such Financial Covenant, affirmative covenant or negative covenant (including any necessary definition), a “</w:t>
      </w:r>
      <w:r>
        <w:rPr>
          <w:rFonts w:ascii="Times New Roman;serif" w:hAnsi="Times New Roman;serif"/>
          <w:b/>
          <w:color w:val="000000"/>
          <w:sz w:val="24"/>
        </w:rPr>
        <w:t>More Favorable Covenant</w:t>
      </w:r>
      <w:r>
        <w:rPr>
          <w:color w:val="000000"/>
        </w:rPr>
        <w:t>”</w:t>
      </w:r>
      <w:r>
        <w:rPr>
          <w:rFonts w:ascii="Times New Roman;serif" w:hAnsi="Times New Roman;serif"/>
          <w:b w:val="false"/>
          <w:color w:val="000000"/>
          <w:sz w:val="24"/>
        </w:rPr>
        <w:t>), then the Company shall provide a Most Favored Lender Notice in respect of such More Favorable Covenant. Such More Favorable Covenant shall be deemed automatically incorporated by reference into Section 9 or Section 10, as applicable, of this Agreement, mutatis mutandis, as if set forth in full herein, effective as of the date (i) in the case of any More Favorable Covenant in effect on the date of this Agreement, on the date of this Agreement and (ii) in the case of any More Favorable Covenant that becomes effective after the date of this Agreement, when such More Favorable Covenant shall have become effective under such Material Credit Facility, unless waived in writing by the Required Holders within 15 days after each holder’s receipt of such notice of such More Favorable Covenant.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Any More Favorable Covenant incorporated into this Agreement (herein referred to as an “</w:t>
      </w:r>
      <w:r>
        <w:rPr>
          <w:rFonts w:ascii="Times New Roman;serif" w:hAnsi="Times New Roman;serif"/>
          <w:b/>
          <w:color w:val="000000"/>
          <w:sz w:val="24"/>
        </w:rPr>
        <w:t>Incorporated Covenant</w:t>
      </w:r>
      <w:r>
        <w:rPr>
          <w:color w:val="000000"/>
        </w:rPr>
        <w:t>”</w:t>
      </w:r>
      <w:r>
        <w:rPr>
          <w:rFonts w:ascii="Times New Roman;serif" w:hAnsi="Times New Roman;serif"/>
          <w:b w:val="false"/>
          <w:color w:val="000000"/>
          <w:sz w:val="24"/>
        </w:rPr>
        <w:t xml:space="preserve">) pursuant to this Section 9.11 (i) shall be deemed automatically amended herein to reflect any subsequent amendments made to such More Favorable Covenant under the applicable Material Credit Facility;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 Event of Default then exists and the amendment of such More Favorable Covenant would make such covenant less restrictive on the Company, such Incorporated Covenant shall only be deemed automatically amended at such time, if it should occur, when such Event of Default no longer exists and (ii) shall be deemed automatically deleted, waived or cured (as applicable) from this Agreement at such time as such More Favorable Covenant is deleted or otherwise removed, waived or cured (as applicable) from the applicable Material Credit Facility or such applicable Material Credit Facility ceases to be a Material Credit Facility or shall be repaid or terminated;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7800"/>
                <wp:effectExtent l="0" t="0" r="0" b="0"/>
                <wp:wrapNone/>
                <wp:docPr id="38" name="Frame3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 Event of Default then exists, such Incorporated Covenant shall only be deemed automatically deleted from this Agreement, waived or cured, as applicable, at such time, if it should occur, when such Event of Default no longer exists; </w:t>
      </w:r>
      <w:r>
        <w:rPr>
          <w:rFonts w:ascii="Times New Roman;serif" w:hAnsi="Times New Roman;serif"/>
          <w:b w:val="false"/>
          <w:i/>
          <w:color w:val="000000"/>
          <w:sz w:val="24"/>
        </w:rPr>
        <w:t>provided further, however,</w:t>
      </w:r>
      <w:r>
        <w:rPr>
          <w:color w:val="000000"/>
        </w:rPr>
        <w:t xml:space="preserve"> </w:t>
      </w:r>
      <w:r>
        <w:rPr>
          <w:rFonts w:ascii="Times New Roman;serif" w:hAnsi="Times New Roman;serif"/>
          <w:b w:val="false"/>
          <w:color w:val="000000"/>
          <w:sz w:val="24"/>
        </w:rPr>
        <w:t>that if any fee or other consideration shall be given to the lenders under such Material Credit Facility for such amendment or deletion, the equivalent of such fee or other consideration shall be given, pro rata, to the holders of the Notes. Upon the request of the Company, the holders of Notes shall (at the Company’s sole cost and expense) enter into any additional agreement or amendment to this Agreement requested by the Company evidencing the waiver, supplement, modification or amendment or deletion of any such Incorporated Covenant in accordance with the terms hereof. In determining whether a breach of any Incorporated Covenant shall constitute a Default or an Event of Default, the period of grace or cure, if any, applicable to such Incorporated Covenant in the applicable Material Credit Facility shall apply.</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Most Favored Lender Notice</w:t>
      </w:r>
      <w:r>
        <w:rPr>
          <w:color w:val="000000"/>
        </w:rPr>
        <w:t xml:space="preserve">” </w:t>
      </w:r>
      <w:r>
        <w:rPr>
          <w:rFonts w:ascii="Times New Roman;serif" w:hAnsi="Times New Roman;serif"/>
          <w:b w:val="false"/>
          <w:color w:val="000000"/>
          <w:sz w:val="24"/>
        </w:rPr>
        <w:t>means, in respect of any More Favorable Covenant, a written notice to each of the holders of the Notes delivered promptly, and in any event within ten Business Days after the inclusion of such More Favorable Covenant in any Material Credit Facility (including by way of amendment or other modification of any existing provision thereof) from a Responsible Officer of the Company referring to the provisions of this Section 9.11 and setting forth a reasonably detailed description of such More Favorable Covenant (including any defined terms used therein) and related explanatory calculations, as applicable.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color w:val="000000"/>
          <w:sz w:val="24"/>
        </w:rPr>
        <w:t>Additionally, notwithstanding the foregoing, no covenant, definition or default expressly set forth in this Agreement as of the date of this Agreement (or incorporated into this Agreement by an amendment or modification to this Agreement other than pursuant to this Section 9.11) shall be deemed to be amended to be less restrictive on the Company or deleted in any respect by virtue of the provisions of this Section 9.11.</w:t>
      </w:r>
    </w:p>
    <w:p>
      <w:pPr>
        <w:pStyle w:val="TextBody"/>
        <w:bidi w:val="0"/>
        <w:spacing w:lineRule="atLeast" w:line="280" w:before="320" w:after="283"/>
        <w:ind w:left="0" w:right="0" w:hanging="1699"/>
        <w:jc w:val="left"/>
        <w:rPr>
          <w:rFonts w:ascii="Times New Roman;serif" w:hAnsi="Times New Roman;serif"/>
          <w:b/>
          <w:color w:val="000000"/>
          <w:sz w:val="24"/>
        </w:rPr>
      </w:pPr>
      <w:bookmarkStart w:id="72" w:name="i35847dfefd324e19bcfd5bb29914c676"/>
      <w:bookmarkEnd w:id="72"/>
      <w:r>
        <w:rPr>
          <w:rFonts w:ascii="Times New Roman;serif" w:hAnsi="Times New Roman;serif"/>
          <w:b/>
          <w:color w:val="000000"/>
          <w:sz w:val="24"/>
        </w:rPr>
        <w:t>Section 10.    Negative Covenants.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that from and after the Execution Date and so long as any of the Notes are outstanding:</w:t>
      </w:r>
    </w:p>
    <w:p>
      <w:pPr>
        <w:pStyle w:val="TextBody"/>
        <w:bidi w:val="0"/>
        <w:spacing w:lineRule="atLeast" w:line="280" w:before="280" w:after="283"/>
        <w:ind w:left="0" w:right="0" w:firstLine="360"/>
        <w:jc w:val="both"/>
        <w:rPr/>
      </w:pPr>
      <w:r>
        <w:rPr>
          <w:color w:val="000000"/>
        </w:rPr>
        <w:t>    </w:t>
      </w:r>
      <w:bookmarkStart w:id="73" w:name="idb049691d0d0474e8bfeb2ab053015ba"/>
      <w:bookmarkEnd w:id="73"/>
      <w:r>
        <w:rPr>
          <w:rFonts w:ascii="Times New Roman;serif" w:hAnsi="Times New Roman;serif"/>
          <w:b/>
          <w:color w:val="000000"/>
          <w:sz w:val="24"/>
        </w:rPr>
        <w:t>Section 10.1.    Transactions with Affiliates</w:t>
      </w:r>
      <w:r>
        <w:rPr>
          <w:rFonts w:ascii="Times New Roman;serif" w:hAnsi="Times New Roman;serif"/>
          <w:b w:val="false"/>
          <w:color w:val="000000"/>
          <w:sz w:val="24"/>
        </w:rPr>
        <w:t xml:space="preserve">. The Company will not, and will not permit any Note Party or any Designated Borrower to, enter into directly or indirectly any transaction or group of related transactions (including the purchase, lease, sale or exchange of properties of any kind or the rendering of any service) with any Affiliate (other than the Company or another Subsidiary or a Person that becomes a Subsidiary as a result of such transaction(s)), except in the ordinary course and pursuant to the reasonable requirements of the Company’s or such Note Party’s or Designated Borrower’s business and upon terms, taken as a whole, no less favorable to the Company or such Note Party or Designated Borrower than would be obtainable in a comparable arm’s-length transaction with a Person not an Affiliate,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this Section 10.1 shall not prohibit:</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(a)capital contributions and dividends and other distributions with respect to the Capital Stock of the Company or such Note Party;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7800"/>
                <wp:effectExtent l="0" t="0" r="0" b="0"/>
                <wp:wrapNone/>
                <wp:docPr id="39" name="Frame3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(b)any employment or severance agreement and any amendment thereto entered into by the Company or any other Note Party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(c)the payment of reasonable directors’ fees and benefits;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(d)the provision of officers’ and directors’ indemnification and insurance in the ordinary course of business to the extent permitted by applicable law;</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(e)non-interest bearing (or below-market interest-bearing) intercompany loans or other advances in the ordinary course of business and consistent with past practice;</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(f)the payment of employee salaries, bonuses and employee benefits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(g)sales or leases of goods to Affiliates in the ordinary course of business for less than fair market value, but for not less than cost;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(h)[reserved];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(i)transactions effected as part of a Permitted Securitization;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(j)any transaction permitted under Section 10.2, 10.7 (provided that no Note Party may forgive Indebtedness owing to it by an Affiliate that is not a Note Party), 10.8 or 10.9;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(k)any other transaction or series of related transactions with Affiliates with consideration not in excess of $2,500,000.</w:t>
      </w:r>
    </w:p>
    <w:p>
      <w:pPr>
        <w:pStyle w:val="TextBody"/>
        <w:bidi w:val="0"/>
        <w:spacing w:lineRule="atLeast" w:line="280" w:before="280" w:after="283"/>
        <w:ind w:left="0" w:right="0" w:firstLine="360"/>
        <w:jc w:val="both"/>
        <w:rPr/>
      </w:pPr>
      <w:r>
        <w:rPr>
          <w:color w:val="000000"/>
        </w:rPr>
        <w:t>    </w:t>
      </w:r>
      <w:bookmarkStart w:id="74" w:name="i051938e9ff4a470a8cbf6540899e431a"/>
      <w:bookmarkEnd w:id="74"/>
      <w:r>
        <w:rPr>
          <w:rFonts w:ascii="Times New Roman;serif" w:hAnsi="Times New Roman;serif"/>
          <w:b/>
          <w:color w:val="000000"/>
          <w:sz w:val="24"/>
        </w:rPr>
        <w:t>Section 10.2.    Merger, Consolidation, Etc</w:t>
      </w:r>
      <w:r>
        <w:rPr>
          <w:rFonts w:ascii="Times New Roman;serif" w:hAnsi="Times New Roman;serif"/>
          <w:b w:val="false"/>
          <w:color w:val="000000"/>
          <w:sz w:val="24"/>
        </w:rPr>
        <w:t>. The Company will not, and will not permit any Significant Subsidiary to, be a party to any merger or consolidation, consummate any Delaware LLC Division, or sell, transfer, convey or lease all or substantially all of its assets, except for:</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(a)in the case of a Delaware LLC Division (i) of a Note Party, immediately upon the consummation of such Delaware LLC Division, the assets of such applicable dividing person are held by one or more Wholly-Owned Subsidiaries which are (or shall simultaneously become, pursuant to Section 9.7) Subsidiary Guarantors, (ii) of a Significant Subsidiary, immediately upon the consummation of such Delaware LLC Division, the assets of such applicable dividing person are held by one or more Significant Subsidiaries and (iii) a Subsidiary, immediately upon the consummation of such Delaware LLC Division, the assets of such applicable dividing person are held by one or more Subsidiaries; in each case, at such time, or, with respect to assets not so held in accordance with clauses (i)-(iii) above, such Delaware LLC Division, in the aggregate, would otherwise result in a disposition expressly permitted by Section 10.8;</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7800"/>
                <wp:effectExtent l="0" t="0" r="0" b="0"/>
                <wp:wrapNone/>
                <wp:docPr id="40" name="Frame4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(b)in the case of any such transaction involving the Company, the successor formed by such consolidation or the survivor of such merger or the Person that acquires by conveyance, division,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successor, survivor or acquirer, (i) such successor, survivor or acquirer shall have executed and delivered to each holder of any Notes its assumption of the due and punctual performance and observance of each covenant and condition of this Agreement and the Notes and (ii) such successor, survivor or acquirer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(c)in the case of any such transaction involving a Subsidiary Guarantor, the successor formed by such consolidation or the survivor of such merger or the Person that acquires by conveyance, division, transfer or lease all or substantially all of the assets of such Subsidiary Guarantor as an entirety, as the case may be, shall be (1) the Company, such Subsidiary Guarantor or another Subsidiary Guarantor; (2) a solvent corporation or limited liability company (other than the Company or another Subsidiary Guarantor) that is organized and existing under the laws of the United States or any state thereof (including the District of Columbia) and, if such Subsidiary Guarantor is not such successor, survivor or acquirer, (A) such successor, survivor or acquirer shall have executed and delivered to each holder of Notes its assumption of the due and punctual performance and observance of each covenant and condition of the Subsidiary Guaranty of such Subsidiary Guarantor and (B)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or (3) any other Person so long as the transaction is treated as a disposition of all of the assets of such Subsidiary Guarantor for purposes of Section 10.8 and, based on such characterization, would be permitted pursuant to Section 10.8;</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(d)in the case of any such transaction involving a Significant Subsidiary that is not a Subsidiary Guarantor, the successor formed by such consolidation or the survivor of such merger or the Person that acquires by conveyance, division, transfer or lease all or substantially all of the assets of such Subsidiary Guarantor as an entirety, as the case may be, shall be (1) a Note Party or another Subsidiary; or (2)  any other Person so long as the transaction is treated as a disposition of all of the assets of such Significant Subsidiary for purposes of Section 10.8 and, based on such characterization, would be permitted pursuant to Section 10.8;</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(e)each Subsidiary Guarantor under any Subsidiary Guaranty that is outstanding at the time such transaction or each transaction in such a series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7800"/>
                <wp:effectExtent l="0" t="0" r="0" b="0"/>
                <wp:wrapNone/>
                <wp:docPr id="41" name="Frame4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transactions occurs reaffirms its obligations under such Subsidiary Guaranty in writing at such time pursuant to documentation that is reasonably acceptable to the Required Holders;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(f)immediately before and immediately after giving effect to such transaction or each transaction in any such series of transactions, no Default or Event of Default shall have occurred and be continuing.</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such conveyance, division, transfer or lease of all or substantially all of the assets of the Company or any Subsidiary Guarantor shall have the effect of releasing the Company or such Subsidiary Guarantor, as the case may be, or any successor, survivor or acquirer that shall theretofore have become such in the manner prescribed in this Section 10.2, from its liability under (x) this Agreement or the Notes (in the case of the Company) or (y) the Subsidiary Guaranty (in the case of any Subsidiary Guarantor), unless, in the case of the conveyance, division, transfer or lease of all or substantially all of the assets of a Subsidiary Guarantor, such Subsidiary Guarantor is released from its Subsidiary Guaranty in accordance with Section 9.7(b) in connection with or immediately following such conveyance, division, transfer or lease.</w:t>
      </w:r>
    </w:p>
    <w:p>
      <w:pPr>
        <w:pStyle w:val="TextBody"/>
        <w:bidi w:val="0"/>
        <w:spacing w:lineRule="atLeast" w:line="280" w:before="280" w:after="283"/>
        <w:ind w:left="0" w:right="0" w:firstLine="360"/>
        <w:jc w:val="both"/>
        <w:rPr/>
      </w:pPr>
      <w:r>
        <w:rPr>
          <w:color w:val="000000"/>
        </w:rPr>
        <w:t>    </w:t>
      </w:r>
      <w:bookmarkStart w:id="75" w:name="i93e44828d0ca4d7cbe0357f26437a06e"/>
      <w:bookmarkEnd w:id="75"/>
      <w:r>
        <w:rPr>
          <w:rFonts w:ascii="Times New Roman;serif" w:hAnsi="Times New Roman;serif"/>
          <w:b/>
          <w:color w:val="000000"/>
          <w:sz w:val="24"/>
        </w:rPr>
        <w:t>Section 10.3.    Line of Business</w:t>
      </w:r>
      <w:r>
        <w:rPr>
          <w:rFonts w:ascii="Times New Roman;serif" w:hAnsi="Times New Roman;serif"/>
          <w:b w:val="false"/>
          <w:color w:val="000000"/>
          <w:sz w:val="24"/>
        </w:rPr>
        <w:t>. The Company will not, and will not permit any Significant Subsidiary to, engage in any business if, as a result, the general nature of the business in which the Company and its Significant Subsidiaries, taken as a whole, would then be engaged would be substantially changed from the general nature of the business (inclusive of businesses reasonably related, ancillary, similar, complementary or synergistic thereto or reasonable extensions, developments or expansions thereof) in which the Company and its Significant Subsidiaries, taken as a whole, are engaged (a) prior to the PSS Acquisition Date, as of the date of this Agreement as described in the Presentation, and (b) on and after the PSS Acquisition Date, as of the PSS Acquisition Date.</w:t>
      </w:r>
    </w:p>
    <w:p>
      <w:pPr>
        <w:pStyle w:val="TextBody"/>
        <w:bidi w:val="0"/>
        <w:spacing w:lineRule="atLeast" w:line="280" w:before="280" w:after="283"/>
        <w:ind w:left="0" w:right="0" w:firstLine="360"/>
        <w:jc w:val="both"/>
        <w:rPr/>
      </w:pPr>
      <w:r>
        <w:rPr>
          <w:color w:val="000000"/>
        </w:rPr>
        <w:t>    </w:t>
      </w:r>
      <w:bookmarkStart w:id="76" w:name="ic6ea7d4682ac42238e093f187f759efa"/>
      <w:bookmarkEnd w:id="76"/>
      <w:r>
        <w:rPr>
          <w:rFonts w:ascii="Times New Roman;serif" w:hAnsi="Times New Roman;serif"/>
          <w:b/>
          <w:color w:val="000000"/>
          <w:sz w:val="24"/>
        </w:rPr>
        <w:t>Section 10.4.    Economic Sanctions, Etc</w:t>
      </w:r>
      <w:r>
        <w:rPr>
          <w:rFonts w:ascii="Times New Roman;serif" w:hAnsi="Times New Roman;serif"/>
          <w:b w:val="false"/>
          <w:color w:val="000000"/>
          <w:sz w:val="24"/>
        </w:rPr>
        <w:t>.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affiliate, or (ii) is prohibited by or subject to sanctions under any Economic Sanctions Laws.</w:t>
      </w:r>
    </w:p>
    <w:p>
      <w:pPr>
        <w:pStyle w:val="TextBody"/>
        <w:bidi w:val="0"/>
        <w:spacing w:lineRule="atLeast" w:line="280" w:before="280" w:after="283"/>
        <w:ind w:left="0" w:right="0" w:firstLine="360"/>
        <w:jc w:val="both"/>
        <w:rPr/>
      </w:pPr>
      <w:r>
        <w:rPr>
          <w:color w:val="000000"/>
        </w:rPr>
        <w:t>    </w:t>
      </w:r>
      <w:bookmarkStart w:id="77" w:name="ib3db7904c3034a38b01defbfbd4d248e"/>
      <w:bookmarkEnd w:id="77"/>
      <w:r>
        <w:rPr>
          <w:rFonts w:ascii="Times New Roman;serif" w:hAnsi="Times New Roman;serif"/>
          <w:b/>
          <w:color w:val="000000"/>
          <w:sz w:val="24"/>
        </w:rPr>
        <w:t>Section 10.5.    Liens</w:t>
      </w:r>
      <w:r>
        <w:rPr>
          <w:rFonts w:ascii="Times New Roman;serif" w:hAnsi="Times New Roman;serif"/>
          <w:b w:val="false"/>
          <w:color w:val="000000"/>
          <w:sz w:val="24"/>
        </w:rPr>
        <w:t>. The Company will not and will not permit any Significant Subsidiary or Securitization Subsidiary to create or permit to exist any Lien on any of its real or personal properties, assets or rights of whatsoever nature (whether now owned or hereafter acquired), except:</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(a)Liens for taxes or other governmental charges not at the time delinquent for more than 90 days or thereafter payable without penalty or being contested in good faith by appropriate action and, in each case, for which it maintains adequate reserves;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7800"/>
                <wp:effectExtent l="0" t="0" r="0" b="0"/>
                <wp:wrapNone/>
                <wp:docPr id="42" name="Frame4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and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(c)Liens identified in Schedule 10.5 and any refinancing, renewal, extension or replacement of any such Lien (to the extent the aggregate principal amount of the Indebtedness or other obligation secured thereby is not increased and so long as the scope of the property subject to such Lien is not increased);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(d)(x) attachments, appeal bonds, judgments and other similar Liens arising in connection with court proceedings in the ordinary course of business and (y) Liens resulting from judgments arising in connection with court proceedings that do not result in any Default or Event of Default, for an aggregate amount (with all other Liens existing pursuant to this clause (d)(y)) at the time of incurrence not exceeding the greater of (i) (A) prior to the occurrence of the PSS Acquisition Date, $35,000,000, or (B) on and after the occurrence of the PSS Acquisition Date, $50,000,000, and (ii) 3.5% of the consolidated tangible assets of the Company and its Subsidiaries as of the last day of the Fiscal Quarter most recently ended for which financial statements have been delivered pursuant to Section 7.1(a) or 7.1(b),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execution or other enforcement of such Liens is effectively stayed and the claims secured thereby are being actively contested in good faith and by appropriate action;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(e)(i) zoning, building, entitlement and other land use regulations with which the normal operation of the business of the Company and its Subsidiaries complies; (ii) any zoning or 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(f)Liens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Liens do not extend to or cover additional types of assets, and, in each case, any refinancing, renewal, extension or replacement of any such Lien (to the extent the aggregate principal amount of the Indebtedness or other obligation secured thereby is not increased and so long as the scope of the property subject to such Lien is not increased);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7800"/>
                <wp:effectExtent l="0" t="0" r="0" b="0"/>
                <wp:wrapNone/>
                <wp:docPr id="43" name="Frame4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(g)Liens securing Indebtedness permitted by Section 10.7(b) (including, without limitation, Liens of sellers of goods arising under Article 2 of the Uniform Commercial Code or similar provisions of applicable law) or any refinancing, renewal, extension or replacement thereof (to the extent the aggregate principal amount of such Indebtedness is not increased);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Lien attaches solely to the property so acquired, constructed or improved in such transaction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individual financings under Section 10.7(b) provided by one Person (or an Affiliate thereof) may be cross-collateralized to other financings provided by such Person and its Affiliates that are permitted by Section 10.7(b));</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(h)Liens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such deposit account is not a dedicated cash collateral account and is not subject to restrictions against access by the Company or the applicable Subsidiary in excess of those set forth by regulations promulgated by the Board of Governors of the Federal Reserve System and (ii) such deposit account is not intended by the Company or the applicable Subsidiary to provide collateral to such depository institution;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(i)Liens securing Securitization Obligations;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(j)(i) Liens arising under any Note Document, (ii) Liens in favor of any Note Party, (iii) Liens on the assets of any non-Note Party in favor of the Company or any of its Subsidiaries, (iv) Liens on the assets of any Foreign Subsidiary in favor of any other Foreign Subsidiary; and (v) Liens on the assets of any Subsidiary that is not a Note Party in connection with an Investment permitted pursuant Section 10.9(d);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(k)any interest of title of a lessor under leases permitted by this Agreement;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(l)Liens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(m)Liens in favor of customs or revenue authorities arising as a matter of law to secure payment of customs duties in connection with the importation of goods;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(n)security given to a public utility or any Governmental Authority when required by such public utility or Governmental Authority in connection with operations of the Company or any Subsidiary in the ordinary course of business;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7800"/>
                <wp:effectExtent l="0" t="0" r="0" b="0"/>
                <wp:wrapNone/>
                <wp:docPr id="44" name="Frame4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(o)receipt of progress payments and advances from customers in the ordinary course of business to the extent the same create Liens on the related inventory and proceeds thereof;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(p)pledges and deposits in the ordinary course of business securing liability for reimbursement or indemnification obligations of insurance carriers providing property, casualty or liability insurance to the Company or any of its Subsidiaries;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(q)any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(r)Liens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(s)leases,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Indebtedness;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(t)other Liens so long as, at the time of incurrence of the obligations secured by such Lien, the aggregate amount of all obligations secured by Liens incurred pursuant to this clause (t) shall not exceed the greater of (i) (A) prior to the occurrence of the PSS Acquisition Date, $65,000,000, or (B) on and after the occurrence of the PSS Acquisition Date, $110,000,000, and (ii) 6.5% of the consolidated tangible assets of the Company and its Subsidiaries as of the last day of the Fiscal Quarter most recently ended for which financial statements have been delivered pursuant to Section 7.1(a) or 7.1(b);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the foregoing, the Company shall not, and shall not permit any of its Subsidiaries to, secure pursuant to this Section 10.5(t)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including an intercreditor agreement and opinions of counsel to the Company and/or any such Subsidiary, as the case may be, from counsel that is reasonably acceptable to the Required Holders.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Lien permitted above on any property may extend to the identifiable proceeds of such property.</w:t>
      </w:r>
    </w:p>
    <w:p>
      <w:pPr>
        <w:pStyle w:val="TextBody"/>
        <w:bidi w:val="0"/>
        <w:spacing w:lineRule="atLeast" w:line="280" w:before="280" w:after="283"/>
        <w:ind w:left="0" w:right="0" w:firstLine="360"/>
        <w:jc w:val="both"/>
        <w:rPr/>
      </w:pPr>
      <w:r>
        <w:rPr>
          <w:color w:val="000000"/>
        </w:rPr>
        <w:t>    </w:t>
      </w:r>
      <w:bookmarkStart w:id="78" w:name="id56fe539c6074abb83fa65059b7fef9c"/>
      <w:bookmarkEnd w:id="78"/>
      <w:r>
        <w:rPr>
          <w:rFonts w:ascii="Times New Roman;serif" w:hAnsi="Times New Roman;serif"/>
          <w:b/>
          <w:color w:val="000000"/>
          <w:sz w:val="24"/>
        </w:rPr>
        <w:t>Section 10.6.    Financial Covenants</w:t>
      </w:r>
      <w:r>
        <w:rPr>
          <w:rFonts w:ascii="Times New Roman;serif" w:hAnsi="Times New Roman;serif"/>
          <w:b w:val="false"/>
          <w:color w:val="000000"/>
          <w:sz w:val="24"/>
        </w:rPr>
        <w:t xml:space="preserve">. </w:t>
      </w: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7800"/>
                <wp:effectExtent l="0" t="0" r="0" b="0"/>
                <wp:wrapNone/>
                <wp:docPr id="45" name="Frame4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Consolidated Net Leverage Ratio</w:t>
      </w:r>
      <w:r>
        <w:rPr>
          <w:rFonts w:ascii="Times New Roman;serif" w:hAnsi="Times New Roman;serif"/>
          <w:b w:val="false"/>
          <w:color w:val="000000"/>
          <w:sz w:val="24"/>
        </w:rPr>
        <w:t xml:space="preserve">. The Company will not permit the Consolidated Net Leverage Ratio as of the last day of any Computation Period to exceed 3.50 to 1.0;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upon the consummation of the PSS Acquisition, the Consolidated Net Leverage Ratio as of the last day of any Computation Period shall not exceed, (i) for the four Computation Periods ending after the PSS Acquisition Date, 4.00 to 1.0, (ii) for the four Computation Periods ending after the first anniversary of the PSS Acquisition Date, 3.75 to 1.0 and (iii) thereafter, 3.50 to 1.0; provided, further, however, that in connection with any Qualified Acquisition, the maximum Consolidated Net Leverage Ratio shall increase to 4.00 to 1.0 for the four consecutive Fiscal Quarter period beginning with, if an individual Qualified Acquisition, the quarter in which such Qualified Acquisition occurs, or, if a series of Qualified Acquisitions, the quarter in which the last Qualified Acquisition occurs (a “</w:t>
      </w:r>
      <w:r>
        <w:rPr>
          <w:rFonts w:ascii="Times New Roman;serif" w:hAnsi="Times New Roman;serif"/>
          <w:b/>
          <w:color w:val="000000"/>
          <w:sz w:val="24"/>
        </w:rPr>
        <w:t>Permitted Acquisition Holiday</w:t>
      </w:r>
      <w:r>
        <w:rPr>
          <w:color w:val="000000"/>
        </w:rPr>
        <w:t>”</w:t>
      </w:r>
      <w:r>
        <w:rPr>
          <w:rFonts w:ascii="Times New Roman;serif" w:hAnsi="Times New Roman;serif"/>
          <w:b w:val="false"/>
          <w:color w:val="000000"/>
          <w:sz w:val="24"/>
        </w:rPr>
        <w:t xml:space="preserve">), so long as after any such Permitted Acquisition Holiday, the Consolidated Net Leverage Ratio reported by the Company under this Section 10.6(a) shall be no greater than the then applicable maximum Consolidated Net Leverage Ratio (without giving effect to any Permitted Acquisition Holiday) for at least one Fiscal Quarter, before becoming eligible to exercise another Permitted Acquisition Holiday.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determination of Consolidated Net Leverage Ratio for purposes of this Section 10.6;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Indebtedness shall constitute Acquisition Debt solely for the period commencing on the date of incurrence thereof to the earlier of the six-month anniversary of such date of incurrence, or, if earlier, the date such Indebtedness shall be repaid, redeemed and/or discharged pursuant to the proviso to the definition of “Acquisition Debt”. </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Consolidated Interest Coverage Ratio</w:t>
      </w:r>
      <w:r>
        <w:rPr>
          <w:rFonts w:ascii="Times New Roman;serif" w:hAnsi="Times New Roman;serif"/>
          <w:b w:val="false"/>
          <w:color w:val="000000"/>
          <w:sz w:val="24"/>
        </w:rPr>
        <w:t>. The Company will not permit the Consolidated Interest Coverage Ratio as of the last day of any Computation Period to be less than 3.00 to 1.0.</w:t>
      </w:r>
    </w:p>
    <w:p>
      <w:pPr>
        <w:pStyle w:val="TextBody"/>
        <w:bidi w:val="0"/>
        <w:spacing w:lineRule="atLeast" w:line="280" w:before="280" w:after="283"/>
        <w:ind w:left="0" w:right="0" w:firstLine="360"/>
        <w:jc w:val="both"/>
        <w:rPr/>
      </w:pPr>
      <w:r>
        <w:rPr>
          <w:color w:val="000000"/>
        </w:rPr>
        <w:t>    </w:t>
      </w:r>
      <w:bookmarkStart w:id="79" w:name="i864bb2d15f3e47f7b5088d1c53238f44"/>
      <w:bookmarkEnd w:id="79"/>
      <w:r>
        <w:rPr>
          <w:rFonts w:ascii="Times New Roman;serif" w:hAnsi="Times New Roman;serif"/>
          <w:b/>
          <w:color w:val="000000"/>
          <w:sz w:val="24"/>
        </w:rPr>
        <w:t>Section 10.7.    Limitations on Indebtedness</w:t>
      </w:r>
      <w:r>
        <w:rPr>
          <w:rFonts w:ascii="Times New Roman;serif" w:hAnsi="Times New Roman;serif"/>
          <w:b w:val="false"/>
          <w:color w:val="000000"/>
          <w:sz w:val="24"/>
        </w:rPr>
        <w:t>. The Company will not and not permit any Significant Subsidiary or any Securitization Subsidiary to, create, incur, assume or suffer to exist any Indebtedness, except:</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(a)Indebtedness arising under the Note Documents;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(b)Indebtedness incurred to finance the acquisition, construction or improvement of any fixed or capital asset (including (i) obligations under Capital Leases and (ii) Indebtedness assumed in connection with the acquisition of any such asset or secured by a Lien on such asset prior to the acquisition thereof (and not incurred in contemplation of such acquisition));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(x) such Indebtedness is incurred prior to or substantially concurrently with such acquisition or not later than 270 days following the completion of such construction or improvement, as the case may be, (y) such Indebtedness does not exceed the cost of such asset as of the date of such acquisition or completion of construction thereof or of such improvement on the date of completion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7800"/>
                <wp:effectExtent l="0" t="0" r="0" b="0"/>
                <wp:wrapNone/>
                <wp:docPr id="46" name="Frame4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thereof, as the case may be, and (z) the aggregate outstanding principal amount of all Indebtedness described in this clause (b) does not at the time of incurrence of any such Indebtedness exceed the greater of (A) (1) prior to the occurrence of the PSS Acquisition Date, $65,000,000, or (2) on and after the occurrence of the PSS Acquisition Date, $110,000,000, and (B) 6.5% of the consolidated tangible assets of the Company and its Subsidiaries as of the last day of the Fiscal Quarter most recently ended for which financial statements have been delivered pursuant to Section 7.1(a) or 7.1(b);</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(c)Indebtedness secured by Liens permitted by Section 10.5(c), 10.5(f) or 10.5(t);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(d)Indebtedness (or any undrawn commitment therefor) existing on the Execution Date and listed in Schedule 5.15;</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(e)refinancings, extensions or renewals of any of the foregoing Indebtedness to the extent the principal amount thereof is not increased (including extensions, renewals or replacements of guarantees in respect of such Indebtedness as so refinanced, extended or renewed);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(f)Subordinated Debt;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(g)Hedging Obligations incurred in the ordinary course of business for bona fide hedging purposes and not for speculation and Indebtedness in respect of overdraft facilities, employee credit card programs, netting services, automatic clearing house arrangements and other cash management and similar arrangements, in each case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(h)Indebtedness of a Person acquired in connection with a Permitted Acquisition that was not incurred in contemplation thereof;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(i)Indebtedness of the Company or a Significant Subsidiary as an account party in respect of trade and standby letters of credit;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(j)Indebtedness arising under surety, custom and similar bonds in the ordinary course of business consistent with past practice;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(k)Securitization Obligations in an aggregate outstanding amount not exceeding at the time of incurrence of any such Securitization Obligations the greater of (i) (A) prior to the occurrence of the PSS Acquisition Date, $125,000,000, or (B) on and after the occurrence of the PSS Acquisition Date, $210,000,000, and (ii) 12.5% of the consolidated tangible assets of the Company and its Subsidiaries as of the last day of the Fiscal Quarter most recently ended for which financial statements have been delivered pursuant to Section 7.1(a) or 7.1(b);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aggregate outstanding amount of all Securitization Obligations of the Company and the Domestic Subsidiaries of the Company shall not exceed the greater of (i) (A) prior to the occurrence of the PSS Acquisition Date, $50,000,000, or (B) on and after the occurrence of the PSS Acquisition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7800"/>
                <wp:effectExtent l="0" t="0" r="0" b="0"/>
                <wp:wrapNone/>
                <wp:docPr id="47" name="Frame4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Date, $100,000,000, and (ii) 5.0% of the consolidated tangible assets of the Company and its Subsidiaries as of the last day of the Fiscal Quarter most recently ended for which financial statements have been delivered pursuant to Section 7.1(a) or 7.1(b);</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(l)Indebtedness arising under the Primary Credit Agreement (including, for the avoidance of doubt, any renewals, extensions, amendments, supplements, restatements, replacements or refinancing thereof);</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(m)Indebtedness arising under any Additional Note Purchase Agreement or any Additional Senior Notes (and renewals, refinancings and extensions thereof) and any guarantee of the foregoing;</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(n)Suretyship Liabilities of the Company with respect to Indebtedness permitted hereunder (but subject to any limitations otherwise applicable to the Company to incur such Indebtedness directly);</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(o)Indebtedness of a Foreign Subsidiary;</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(p)Indebtedness arising from the honoring by a bank or other financial institution of a check, draft or similar instrument inadvertently (except in the case of daylight overdrafts) drawn against insufficient funds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(q)Suretyship Liabilities of the Company or any Subsidiary with respect to (i) recourse obligations resulting from endorsement of negotiable instruments for collection in the ordinary course of business and (ii) workers’ compensation and similar obligations of the Company and its Subsidiaries incurred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(r)other unsecured Indebtedness and, subject to Section 9.7, any guaranty thereof;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(s)to the extent constituting Indebtedness, Investments permitted under Section 10.9;</w:t>
      </w:r>
    </w:p>
    <w:p>
      <w:pPr>
        <w:pStyle w:val="TextBody"/>
        <w:bidi w:val="0"/>
        <w:spacing w:lineRule="atLeast" w:line="280" w:before="280" w:after="283"/>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at the time of incurrence of Indebtedness described in clause (m), clause (o) or clause (r) after the Execution Date, (i) the Company is in pro forma compliance with the covenants set forth in Section 10.6 and (ii) no Default or Event of Default shall exist or result from the incurrence of such Indebtedness.</w:t>
      </w:r>
    </w:p>
    <w:p>
      <w:pPr>
        <w:pStyle w:val="TextBody"/>
        <w:bidi w:val="0"/>
        <w:spacing w:lineRule="atLeast" w:line="280" w:before="280" w:after="283"/>
        <w:ind w:left="0" w:right="0" w:firstLine="360"/>
        <w:jc w:val="both"/>
        <w:rPr/>
      </w:pPr>
      <w:r>
        <w:rPr>
          <w:color w:val="000000"/>
        </w:rPr>
        <w:t>    </w:t>
      </w:r>
      <w:bookmarkStart w:id="80" w:name="ie25c5dd92db548118d79bfb12d46256d"/>
      <w:bookmarkEnd w:id="80"/>
      <w:r>
        <w:rPr>
          <w:rFonts w:ascii="Times New Roman;serif" w:hAnsi="Times New Roman;serif"/>
          <w:b/>
          <w:color w:val="000000"/>
          <w:sz w:val="24"/>
        </w:rPr>
        <w:t>Section 10.8.    Dispositions</w:t>
      </w:r>
      <w:r>
        <w:rPr>
          <w:rFonts w:ascii="Times New Roman;serif" w:hAnsi="Times New Roman;serif"/>
          <w:b w:val="false"/>
          <w:color w:val="000000"/>
          <w:sz w:val="24"/>
        </w:rPr>
        <w:t>. The Company will not and not permit any Significant Subsidiary to sell, transfer, convey or lease any of its assets, or sell or assign with or without recourse any receivables, except for:</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(a)transactions permitted by Section 10.2 and Section 10.9;</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7800"/>
                <wp:effectExtent l="0" t="0" r="0" b="0"/>
                <wp:wrapNone/>
                <wp:docPr id="48" name="Frame4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(b)dispositions of accounts receivable, lease receivables, other financial assets and other rights and related assets pursuant to a Permitted Securitization or any factoring transaction;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(e)sales and dispositions of assets (including Capital Stock of Subsidiaries) purchased in connection with (and as a direct result of) a Permitted Acquisition;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(g)dispositions of property to the Company or any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transferor of such property is a Note Party (i) the transferee thereof must be a Note Party or (ii) to the extent such transaction constitutes an Investment, such transaction is permitted under Section 10.9;</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(h)to the extent constituting a disposition, Investments permitted under Section 10.9(n);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(i)dispositions set forth on Schedule 10.8;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(j)other sales and dispositions of assets so long as no Default or Event of Default exists or would exist immediately after giving effect thereto;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aggregate fair market value of all tangible property (including, for the avoidance of doubt, real property) and intellectual property disposed of by the Note Parties pursuant to this clause (j) shall not exceed 20% of consolidated tangible assets of the Company and its Subsidiaries in any individual Fiscal Year and 30% of consolidated tangible assets of the Company and its Subsidiaries in the aggregate during the term of this Agreement, in each case, as of the last day of the Fiscal Quarter most recently ended for which financial statements have been delivered pursuant to Section 7.1(a) or 7.1(b).</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granting of a Lien to secure the repayment of Indebtedness or other obligations shall not, in and of itself, constitute a conveyance or transfer of assets pursuant to this Section 10.8.</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7800"/>
                <wp:effectExtent l="0" t="0" r="0" b="0"/>
                <wp:wrapNone/>
                <wp:docPr id="49" name="Frame4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81" w:name="i96a36fb70d0b46f8905ab378c6f889f9"/>
      <w:bookmarkEnd w:id="81"/>
      <w:r>
        <w:rPr>
          <w:rFonts w:ascii="Times New Roman;serif" w:hAnsi="Times New Roman;serif"/>
          <w:b/>
          <w:color w:val="000000"/>
          <w:sz w:val="24"/>
        </w:rPr>
        <w:t>Section 10.9.    Investments</w:t>
      </w:r>
      <w:r>
        <w:rPr>
          <w:rFonts w:ascii="Times New Roman;serif" w:hAnsi="Times New Roman;serif"/>
          <w:b w:val="false"/>
          <w:color w:val="000000"/>
          <w:sz w:val="24"/>
        </w:rPr>
        <w:t>. The Company will not and will not permit any Significant Subsidiary to make any Investments, except:</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(a)Investments held in the form of cash or Cash Equivalents;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(b)Investments existing or committed to as of the Execution Date and set forth in Schedule 10.9 (and any modification, replacement, renewal or extension thereof, to the extent that the amount of the original Investment is not increased except by the terms of such Investment or as otherwise permitted under this Section 10.9);</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(c)Investments in any Person that is a Note Party (or a Designated Borrower, so long as such Investment is permitted by the Primary Credit Agreement) prior to giving effect to such Investment;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(d)Investments by any Subsidiary that is not a Note Party in any other Subsidiary;</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(f)loans and advances to officers, directors and employees of the Company or any Subsidiary in connection with travel, entertainment, relocation and analogous ordinary business purposes and advances of payroll payments to employees in the ordinary course of business;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(g)Suretyship Liabilities permitted by Section 10.7;</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(h)Permitted Acquisitions;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(i)promissory notes and other noncash consideration received from credit-worthy obligors in connection with dispositions permitted under Section 10.8;</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(j)Investments in non-qualified employee benefit plans, including deferred compensation plans;</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(k)Investments in partnerships, joint ventures and any other non-Wholly-Owned Subsidiary where the aggregate amount of such Investments (excluding any such Investment existing or committed for on the Execution Date and listed on Schedule 10.9) outstanding at any one time does not exceed the greater of (i) (A) prior to the occurrence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7800"/>
                <wp:effectExtent l="0" t="0" r="0" b="0"/>
                <wp:wrapNone/>
                <wp:docPr id="50" name="Frame5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pPr>
      <w:r>
        <w:rPr>
          <w:rFonts w:ascii="Times New Roman;serif" w:hAnsi="Times New Roman;serif"/>
          <w:b w:val="false"/>
          <w:color w:val="000000"/>
          <w:sz w:val="24"/>
        </w:rPr>
        <w:t xml:space="preserve">of the PSS Acquisition Date, $65,000,000, and (B) on and after the occurrence of the PSS Acquisition Date, $110,000,000, and (ii) 6.5% of consolidated tangible assets of the Company and its Subsidiaries as of the last day of the Fiscal Quarter most recently ended for which financial statements have been delivered pursuant to Section 7.1(a) or 7.1(b);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Note Party may become a general partner in any partnership;</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(l)Investments by a Note Party in a Subsidiary that is not a Note Party for purposes of funding a Permitted Acquisition so long as the sum of (i) unrestricted cash of the Company and its Domestic Subsidiaries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(ii) unutilized availability under the Aggregate Revolving Commitments (as defined in the Primary Credit Agreement) is at least $50,000,000;</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(m)any Investment made by a Note Party in a Subsidiary that is not a Note Party with cash proceeds received from distributions from Subsidiaries that are not Note Parties to the extent such Investment is made within 30 days of the receipt of such cash proceeds;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(n)Investments consisting of the transfer of Capital Stock or Indebtedness (other than Obligations (as defined in the Primary Credit Agreement)) of a Foreign Subsidiary to the Company or any other Subsidiary of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Indebtedness of a Foreign Subsidiary shall not be transferred to a Note Party unless such Note Party would be permitted to incur such Indebtedness pursuant to Section 10.7;</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(o)any endorsement of a check or other medium of payment for deposit or collection through normal banking channels or any similar transaction in the normal course of business;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(p)Investments by a Note Party in a Subsidiary that is not a Note Party made after the Execution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at the time such Investment is made, the aggregate amount of all Investments outstanding at any one time pursuant to this clause (p) shall not exceed the greater of (x) (i) prior to the occurrence of the PSS Acquisition Date, $65,000,000, or (ii) on and after the occurrence of the PSS Acquisition Date, $110,000,000, and (y) 6.5% of consolidated tangible assets of the Company and its Subsidiaries as of the last day of the Fiscal Quarter most recently ended for which financial statements have been delivered pursuant to Section 7.1(a) or 7.1(b); and</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(q)in addition to Investments otherwise permitted under this Section 10.9, Investments of any nature,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at the time such Investment is made, the aggregate amount of all Investments outstanding at any one time pursuant to this clause (q) shall not exceed the greater of (x) (i) prior to the occurrence of the PSS Acquisition Date, $125,000,000, or (ii) on and after the occurrence of the PSS Acquisition Date, $210,000,000, and (y) 12.5% of consolidated tangible assets of the Company and its Subsidiaries as of the last day of the Fiscal Quarter most recently ended for which financial statements have been delivered pursuant to Section 7.1(a) or 7.1(b).</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7800"/>
                <wp:effectExtent l="0" t="0" r="0" b="0"/>
                <wp:wrapNone/>
                <wp:docPr id="51" name="Frame5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82" w:name="i02d2d7bb33b54537ad3c67e5927f940c"/>
      <w:bookmarkEnd w:id="82"/>
      <w:r>
        <w:rPr>
          <w:rFonts w:ascii="Times New Roman;serif" w:hAnsi="Times New Roman;serif"/>
          <w:b/>
          <w:color w:val="000000"/>
          <w:sz w:val="24"/>
        </w:rPr>
        <w:t>Section 10.10.    Priority Debt</w:t>
      </w:r>
      <w:r>
        <w:rPr>
          <w:rFonts w:ascii="Times New Roman;serif" w:hAnsi="Times New Roman;serif"/>
          <w:b w:val="false"/>
          <w:color w:val="000000"/>
          <w:sz w:val="24"/>
        </w:rPr>
        <w:t>. The Company will not at any time permit Priority Debt to exceed 8% of consolidated tangible assets of the Company and its Subsidiaries as of the last day of the Fiscal Quarter most recently ended for which financial statements have been delivered pursuant to Section 7.1(a) or 7.1(b).</w:t>
      </w:r>
    </w:p>
    <w:p>
      <w:pPr>
        <w:pStyle w:val="TextBody"/>
        <w:bidi w:val="0"/>
        <w:spacing w:lineRule="atLeast" w:line="280" w:before="280" w:after="283"/>
        <w:ind w:left="0" w:right="0" w:firstLine="360"/>
        <w:jc w:val="both"/>
        <w:rPr/>
      </w:pPr>
      <w:r>
        <w:rPr>
          <w:color w:val="000000"/>
        </w:rPr>
        <w:t>    </w:t>
      </w:r>
      <w:bookmarkStart w:id="83" w:name="i9d4b95c0ffbe4e4ba0f5048354462452"/>
      <w:bookmarkEnd w:id="83"/>
      <w:r>
        <w:rPr>
          <w:rFonts w:ascii="Times New Roman;serif" w:hAnsi="Times New Roman;serif"/>
          <w:b/>
          <w:color w:val="000000"/>
          <w:sz w:val="24"/>
        </w:rPr>
        <w:t>Section 10.11.    Restricted Payments</w:t>
      </w:r>
      <w:r>
        <w:rPr>
          <w:rFonts w:ascii="Times New Roman;serif" w:hAnsi="Times New Roman;serif"/>
          <w:b w:val="false"/>
          <w:color w:val="000000"/>
          <w:sz w:val="24"/>
        </w:rPr>
        <w:t xml:space="preserve">. The Company will not, nor will it permit any Subsidiary to, declare or make any Restricted Payment, except: </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(a)the Company may declare and pay dividends with respect to its Capital Stock payable solely in additional shares of its common stock or in rights or options to acquire such common stock;</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(b)Subsidiaries may declare and make Restricted Payments to the Company and to Subsidiaries of the Company (provided, that Restricted Payments made by a non-Wholly-Owned Subsidiary must be made on a pro rata basis (or more favorable basis from the perspective of the Company or the Subsidiary which is the parent of such Subsidiary) based on its ownership interests in such non-Wholly-Owned Subsidiary); </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(c)Restricted Payments may be made to purchase or redeem the Capital Stock of the Company (including related stock appreciation rights or similar securities) held by present or former directors, consultants, officers or employees of the Company or any Subsidiaries upon any such Person’s death, disability, retirement or termination of employment or under the terms of any benefit plan or any other agreement under which such shares of stock or related rights were issued;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purchases or redemptions under this clause (c) shall not exceed in any calendar year $2,500,000 (with unused amounts in any period permitted to be carried over to succeeding periods until used in full;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the total amount of such purchases or redemptions under this clause (c) in any calendar year shall not exceed $5,000,000) plus (i) the amount of net proceeds contributed to the Company that were received by the Company during such calendar year from sales of the Company’s Capital Stock to directors, consultants, officers or employees of the Company or any Subsidiaries in connection with permitted compensation and incentive arrangements and (ii) the amount of net proceeds of any key-man life insurance policies received during such calendar year, which, if not used in any year, may be carried forward to any subsequent calendar year;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cancellation of Indebtedness owing to the Company or any Subsidiaries from present or former directors, consultants, officers or employees in connection with a repurchase of Capital Stock of the Company will not be deemed to constitute a Restricted Payment for purposes of this Section 10.11; </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(d)non-cash repurchases of Capital Stock deemed to occur upon the exercise or settlement of stock options, stock appreciation rights, restricted stock units, warrants or other convertible or exchangeable securities or other Capital Stock if such Capital Stock represents a portion of the exercise price of, or withholding obligation with respect to, such options, stock appreciation rights, restricted stock units, warrants or other convertible or exchangeable securities or other Capital Stock;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7800"/>
                <wp:effectExtent l="0" t="0" r="0" b="0"/>
                <wp:wrapNone/>
                <wp:docPr id="52" name="Frame5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(e)Restricted Payments to make payments, in cash, in lieu of the issuance of fractional shares, upon the exercise of warrants or upon the conversion or exchange of Capital Stock of any such Person;</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(f)withholding tax payments made on behalf of present or former directors, consultants, officers or employees in connection with the exercise by such Persons of stock options or other rights to purchase Capital Stock or the vesting of restricted Capital Stock (including any repurchase of restricted Capital Stock representing the holder’s tax liability in connection with the vesting thereof); and </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(g)the Company and its Subsidiaries may make any other Restricted Payment so long as (i) no Event of Default has occurred and is continuing immediately prior to making such Restricted Payment or would arise upon giving effect (including pro forma effect) thereto and (ii) the Company is in pro forma compliance with the covenants set forth in Section 10.6. </w:t>
      </w:r>
    </w:p>
    <w:p>
      <w:pPr>
        <w:pStyle w:val="TextBody"/>
        <w:bidi w:val="0"/>
        <w:spacing w:before="0" w:after="0"/>
        <w:jc w:val="both"/>
        <w:rPr/>
      </w:pPr>
      <w:r>
        <w:rPr/>
      </w:r>
    </w:p>
    <w:p>
      <w:pPr>
        <w:pStyle w:val="TextBody"/>
        <w:bidi w:val="0"/>
        <w:spacing w:lineRule="atLeast" w:line="28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Agreement to the contrary, the foregoing provisions of this Section 10.11 will not prohibit any Restricted Payment within ninety (90) days after the date of declaration thereof or the giving of notice with respect thereto, as applicable, if at the date of declaration or the giving of such notice such Restricted Payment would have complied with the provisions of this Section 10.11 (it being understood that such Restricted Payment shall be deemed to have been made on the date of declaration or notice for purposes of such provision).</w:t>
      </w:r>
    </w:p>
    <w:p>
      <w:pPr>
        <w:pStyle w:val="TextBody"/>
        <w:bidi w:val="0"/>
        <w:spacing w:lineRule="atLeast" w:line="280" w:before="320" w:after="283"/>
        <w:jc w:val="left"/>
        <w:rPr/>
      </w:pPr>
      <w:bookmarkStart w:id="84" w:name="i143e5671f4704664a3191bb64887eb1e"/>
      <w:bookmarkEnd w:id="84"/>
      <w:r>
        <w:rPr>
          <w:rFonts w:ascii="Times New Roman;serif" w:hAnsi="Times New Roman;serif"/>
          <w:b/>
          <w:color w:val="000000"/>
          <w:sz w:val="24"/>
        </w:rPr>
        <w:t>Section 11.    Events of Default</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“Event of Default” shall exist if any of the following conditions or events shall occur and be continuing:</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(a)the Company defaults in the payment of any principal or Make-Whole Amount, if any, on any Note when the same becomes due and payable, whether at maturity or at a date fixed for prepayment or by declaration or otherwise;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(b)the Company defaults in the payment of any interest on any Note for more than five Business Days after the same becomes due and payable;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(c)the Company defaults in the performance of or compliance with any term contained in Section 7.1(d) or Section 10;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(d)the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7800"/>
                <wp:effectExtent l="0" t="0" r="0" b="0"/>
                <wp:wrapNone/>
                <wp:docPr id="53" name="Frame5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(e)(i) any representation or warranty made in writing by or on behalf of the Company or by any officer of the Company in this Agreement or any writing furnished in connection with the transactions contemplated hereby proves to have been false or incorrect in any material respect (or to the extent such representation or warranty is qualified by materiality, in any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(or to the extent such representation or warranty is qualified by materiality, in any respect) on the date as of which made;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(f)(i) the Company or any Significant Subsidiary is in default (as principal or as guarantor or other surety) in the payment of any principal of or premium or make-whole amount or interest on any Indebtedness that is outstanding in an aggregate principal amount of at least $50,000,000 (or its equivalent in the relevant currency of payment) beyond any period of grace provided with respect thereto, or (ii) the Company or any Significant Subsidiary is in default in the performance of or compliance with any term of any evidence of any Indebtedness in an aggregate outstanding principal amount of at least $50,000,000 (or its equivalent in the relevant currency of payment)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Significant Subsidiary has become obligated to purchase or repay Indebtedness before its regular maturity or before its regularly scheduled dates of payment in an aggregate outstanding principal amount of at least $50,000,000 (or its equivalent in the relevant currency of payment), or (y) one or more Persons have the right to require the Company or any Significant Subsidiary so to purchase or repay such Indebtedness;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(g)the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 xml:space="preserve">(h)a court or other Governmental Authority of competent jurisdiction enters an order appointing, without consent by the Company or any of its Significant Subsidiaries, a custodian, receiver, trustee or other officer with similar powers with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7800"/>
                <wp:effectExtent l="0" t="0" r="0" b="0"/>
                <wp:wrapNone/>
                <wp:docPr id="54" name="Frame5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pStyle w:val="TextBody"/>
        <w:bidi w:val="0"/>
        <w:spacing w:lineRule="auto" w:line="278" w:before="280" w:after="283"/>
        <w:ind w:left="0" w:right="0" w:firstLine="825"/>
        <w:jc w:val="both"/>
        <w:rPr/>
      </w:pPr>
      <w:r>
        <w:rPr>
          <w:rFonts w:ascii="Times New Roman;serif" w:hAnsi="Times New Roman;serif"/>
          <w:b w:val="false"/>
          <w:color w:val="000000"/>
          <w:sz w:val="24"/>
        </w:rPr>
        <w:t xml:space="preserve">(i)any event occurs with respect to the Company or any Significant Subsidiary which under the laws of any jurisdiction is analogous to any of the events described in Section 11(g) or Section 11(h),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applicable grace period, if any, which shall apply shall be the one applicable to the relevant proceeding which most closely corresponds to the proceeding described in Section 11(g) or Section 11(h);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(j)one or more final judgments or orders for the payment of money aggregating in excess of $50,000,000 (or its equivalent in the relevant currency of payment) (net of insurance proceeds in the event a solvent insurer has acknowledged in writing its obligation to satisfy such judgment), including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(k)(i) Institution of any steps by the Company or any member of its Controlled Group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$50,000,000; (ii) a contribution failure occurs with respect to any Pension Plan sufficient to give rise to a Lien securing a material amount under section 303(k) of ERISA; (iii) the present value of the aggregate benefit liabilities under each of the Pension Plans (other than Multiemployer Plans), determined as of the end of such Pension Plan’s most recently ended plan year on the basis of the actuarial assumptions specified for funding purposes in such Pension Plan’s most recent actuarial valuation report, exceed the aggregate current value of the assets of such Pension Plans, determined as of the end of such Pension Plan’s most recently ended plan year, by $50,000,000 or more; (iv) there shall occur any withdrawal or partial withdrawal from a Multiemployer Plan and the withdrawal liability (without unaccrued interest) to Multiemployer Plans as a result of such withdrawal (including any outstanding withdrawal liability that the Company and the Controlled Group have incurred on the date of such withdrawal) exceeds $50,000,000; or (v) the Company or any of their Subsidiaries becomes subject to the imposition of a Material financial penalty (which for this purpose shall mean any tax, penalty or other liability, whether by way of indemnity or otherwise) with respect to one or more Non-U.S. Plans; or (vi) any Note Party becomes an entity deemed to hold Plan Assets, and in each case, under this clause (k), such event or circumstance results in a Material Adverse Effect; or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7800"/>
                <wp:effectExtent l="0" t="0" r="0" b="0"/>
                <wp:wrapNone/>
                <wp:docPr id="55" name="Frame5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(l)any Subsidiary Guaranty shall cease to be in full force and effect (other than upon a release of any Subsidiary Guarantor from a Subsidiary Guaranty in accordance with the terms hereof),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pStyle w:val="TextBody"/>
        <w:bidi w:val="0"/>
        <w:spacing w:lineRule="atLeast" w:line="280" w:before="320" w:after="283"/>
        <w:ind w:left="0" w:right="0" w:hanging="1699"/>
        <w:jc w:val="left"/>
        <w:rPr/>
      </w:pPr>
      <w:bookmarkStart w:id="85" w:name="i009a676886bc459bb7b8d91c63ecce53"/>
      <w:bookmarkEnd w:id="85"/>
      <w:r>
        <w:rPr>
          <w:rFonts w:ascii="Times New Roman;serif" w:hAnsi="Times New Roman;serif"/>
          <w:b/>
          <w:color w:val="000000"/>
          <w:sz w:val="24"/>
        </w:rPr>
        <w:t>Section 12.    Remedies on Default, Etc</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86" w:name="ie3b9d13d252e4533a686d7e2e9d0a01f"/>
      <w:bookmarkEnd w:id="86"/>
      <w:r>
        <w:rPr>
          <w:rFonts w:ascii="Times New Roman;serif" w:hAnsi="Times New Roman;serif"/>
          <w:b/>
          <w:color w:val="000000"/>
          <w:sz w:val="24"/>
        </w:rPr>
        <w:t>Section 12.1.    Acceleration</w:t>
      </w:r>
      <w:r>
        <w:rPr>
          <w:rFonts w:ascii="Times New Roman;serif" w:hAnsi="Times New Roman;serif"/>
          <w:b w:val="false"/>
          <w:color w:val="000000"/>
          <w:sz w:val="24"/>
        </w:rPr>
        <w:t>. (a) If an Event of Default with respect to the Company described in Section 11(g), (h) or (i) (other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If any other Event of Default has occurred and is continuing, the Required Holders may at any time at its or their option, by notice or notices to the Company, declare all the Notes then outstanding to be immediately due and payable.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Notes becoming due and payable under this Section 12.1, whether automatically or by declaration, such Notes will forthwith mature and the entire unpaid principal amount of such Notes, plus (x) all accrued and unpaid interest thereon (including interest accrued thereon at the applicable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pStyle w:val="TextBody"/>
        <w:bidi w:val="0"/>
        <w:spacing w:lineRule="atLeast" w:line="280" w:before="280" w:after="283"/>
        <w:ind w:left="0" w:right="0" w:firstLine="360"/>
        <w:jc w:val="both"/>
        <w:rPr/>
      </w:pPr>
      <w:r>
        <w:rPr>
          <w:color w:val="000000"/>
        </w:rPr>
        <w:t>    </w:t>
      </w:r>
      <w:bookmarkStart w:id="87" w:name="ib9042f4631bb45508427ba4187989258"/>
      <w:bookmarkEnd w:id="87"/>
      <w:r>
        <w:rPr>
          <w:rFonts w:ascii="Times New Roman;serif" w:hAnsi="Times New Roman;serif"/>
          <w:b/>
          <w:color w:val="000000"/>
          <w:sz w:val="24"/>
        </w:rPr>
        <w:t>Section 12.2.    Other Remedies</w:t>
      </w:r>
      <w:r>
        <w:rPr>
          <w:rFonts w:ascii="Times New Roman;serif" w:hAnsi="Times New Roman;serif"/>
          <w:b w:val="false"/>
          <w:color w:val="000000"/>
          <w:sz w:val="24"/>
        </w:rPr>
        <w:t>.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7800"/>
                <wp:effectExtent l="0" t="0" r="0" b="0"/>
                <wp:wrapNone/>
                <wp:docPr id="56" name="Frame5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88" w:name="i054038ebfe1e47e4a92f92cce789dbed"/>
      <w:bookmarkEnd w:id="88"/>
      <w:r>
        <w:rPr>
          <w:rFonts w:ascii="Times New Roman;serif" w:hAnsi="Times New Roman;serif"/>
          <w:b/>
          <w:color w:val="000000"/>
          <w:sz w:val="24"/>
        </w:rPr>
        <w:t>Section 12.3.    Rescission</w:t>
      </w:r>
      <w:r>
        <w:rPr>
          <w:rFonts w:ascii="Times New Roman;serif" w:hAnsi="Times New Roman;serif"/>
          <w:b w:val="false"/>
          <w:color w:val="000000"/>
          <w:sz w:val="24"/>
        </w:rPr>
        <w:t>. 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applicable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pStyle w:val="TextBody"/>
        <w:bidi w:val="0"/>
        <w:spacing w:lineRule="atLeast" w:line="280" w:before="280" w:after="283"/>
        <w:ind w:left="0" w:right="0" w:firstLine="360"/>
        <w:jc w:val="both"/>
        <w:rPr/>
      </w:pPr>
      <w:r>
        <w:rPr>
          <w:color w:val="000000"/>
        </w:rPr>
        <w:t>    </w:t>
      </w:r>
      <w:bookmarkStart w:id="89" w:name="i7674fc22691f4bedaf9a4d0f94300173"/>
      <w:bookmarkEnd w:id="89"/>
      <w:r>
        <w:rPr>
          <w:rFonts w:ascii="Times New Roman;serif" w:hAnsi="Times New Roman;serif"/>
          <w:b/>
          <w:color w:val="000000"/>
          <w:sz w:val="24"/>
        </w:rPr>
        <w:t>Section 12.4.    No Waivers or Election of Remedies, Expenses, Etc</w:t>
      </w:r>
      <w:r>
        <w:rPr>
          <w:rFonts w:ascii="Times New Roman;serif" w:hAnsi="Times New Roman;serif"/>
          <w:b w:val="false"/>
          <w:color w:val="000000"/>
          <w:sz w:val="24"/>
        </w:rPr>
        <w:t>. No course of dealing and no delay on the part of 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reasonable attorneys’ fees, expenses and disbursements.</w:t>
      </w:r>
    </w:p>
    <w:p>
      <w:pPr>
        <w:pStyle w:val="TextBody"/>
        <w:bidi w:val="0"/>
        <w:spacing w:lineRule="atLeast" w:line="280" w:before="320" w:after="283"/>
        <w:ind w:left="0" w:right="0" w:hanging="1699"/>
        <w:jc w:val="left"/>
        <w:rPr/>
      </w:pPr>
      <w:bookmarkStart w:id="90" w:name="i140b4d50cce84201846ee700956c8b1d"/>
      <w:bookmarkEnd w:id="90"/>
      <w:r>
        <w:rPr>
          <w:rFonts w:ascii="Times New Roman;serif" w:hAnsi="Times New Roman;serif"/>
          <w:b/>
          <w:color w:val="000000"/>
          <w:sz w:val="24"/>
        </w:rPr>
        <w:t>Section 13.    Registration; Exchange; Substitution of Notes</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91" w:name="iee2b1536cae24911b191678814032538"/>
      <w:bookmarkEnd w:id="91"/>
      <w:r>
        <w:rPr>
          <w:rFonts w:ascii="Times New Roman;serif" w:hAnsi="Times New Roman;serif"/>
          <w:b/>
          <w:color w:val="000000"/>
          <w:sz w:val="24"/>
        </w:rPr>
        <w:t>Section 13.1.    Registration of Notes</w:t>
      </w:r>
      <w:r>
        <w:rPr>
          <w:rFonts w:ascii="Times New Roman;serif" w:hAnsi="Times New Roman;serif"/>
          <w:b w:val="false"/>
          <w:color w:val="000000"/>
          <w:sz w:val="24"/>
        </w:rPr>
        <w:t xml:space="preserve">. The Company shall keep at its principal executive office a register for the registration and registration of transfers of Notes (the </w:t>
      </w:r>
      <w:r>
        <w:rPr>
          <w:color w:val="000000"/>
        </w:rPr>
        <w:t>“</w:t>
      </w:r>
      <w:r>
        <w:rPr>
          <w:rFonts w:ascii="Times New Roman;serif" w:hAnsi="Times New Roman;serif"/>
          <w:b/>
          <w:color w:val="000000"/>
          <w:sz w:val="24"/>
        </w:rPr>
        <w:t>Notes Register”</w:t>
      </w:r>
      <w:r>
        <w:rPr>
          <w:rFonts w:ascii="Times New Roman;serif" w:hAnsi="Times New Roman;serif"/>
          <w:b w:val="false"/>
          <w:color w:val="000000"/>
          <w:sz w:val="24"/>
        </w:rPr>
        <w:t>). The name and address of each holder of one or more Notes, each transfer thereof and the name and address of each transferee of one or more Notes shall be registered in the Notes Register. If any holder of one or more Notes is a nominee, then (a) the name and address of the beneficial owner of such Note or Notes shall also be registered in such Notes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and beneficial owners of Notes, as recorded in the Notes Register.</w:t>
      </w:r>
    </w:p>
    <w:p>
      <w:pPr>
        <w:pStyle w:val="TextBody"/>
        <w:bidi w:val="0"/>
        <w:spacing w:lineRule="atLeast" w:line="280" w:before="280" w:after="283"/>
        <w:ind w:left="0" w:right="0" w:firstLine="360"/>
        <w:jc w:val="both"/>
        <w:rPr/>
      </w:pPr>
      <w:r>
        <w:rPr>
          <w:color w:val="000000"/>
        </w:rPr>
        <w:t>    </w:t>
      </w:r>
      <w:bookmarkStart w:id="92" w:name="i74642356f174482f9652f2e0d3306667"/>
      <w:bookmarkEnd w:id="92"/>
      <w:r>
        <w:rPr>
          <w:rFonts w:ascii="Times New Roman;serif" w:hAnsi="Times New Roman;serif"/>
          <w:b/>
          <w:color w:val="000000"/>
          <w:sz w:val="24"/>
        </w:rPr>
        <w:t>Section 13.2.    Transfer and Exchange of Notes</w:t>
      </w:r>
      <w:r>
        <w:rPr>
          <w:rFonts w:ascii="Times New Roman;serif" w:hAnsi="Times New Roman;serif"/>
          <w:b w:val="false"/>
          <w:color w:val="000000"/>
          <w:sz w:val="24"/>
        </w:rPr>
        <w:t xml:space="preserve">. Upon surrender of any Note to the Company at the address and to the attention of the designated officer (all as specified in Section 18(iii)), for registration of transfer or exchange (and in the case of a surrender for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7800"/>
                <wp:effectExtent l="0" t="0" r="0" b="0"/>
                <wp:wrapNone/>
                <wp:docPr id="57" name="Frame5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(as requested by the holder thereof) in exchange therefor, of the same Series and in an aggregate principal amount equal to the unpaid principal amount of the surrendered Note. Each such new Note shall be payable to such Person as such holder may request and shall be substantially in the form of Schedule 1-A, Schedule 1-B or Schedule 1-C, as applicable.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necessary to enable the registration of transfer by a holder of its entire holding of Notes of a Series, one Note of such Series may be in a denomination of less than $100,000. Any transferee, by its acceptance of a Note registered in its name (or the name of its nominee), shall be deemed to have made the representation set forth in Section 6.2.</w:t>
      </w:r>
    </w:p>
    <w:p>
      <w:pPr>
        <w:pStyle w:val="TextBody"/>
        <w:bidi w:val="0"/>
        <w:spacing w:lineRule="atLeast" w:line="280" w:before="280" w:after="283"/>
        <w:ind w:left="0" w:right="0" w:firstLine="360"/>
        <w:jc w:val="both"/>
        <w:rPr/>
      </w:pPr>
      <w:r>
        <w:rPr>
          <w:color w:val="000000"/>
        </w:rPr>
        <w:t>    </w:t>
      </w:r>
      <w:bookmarkStart w:id="93" w:name="i560f4df4617a4f6c90e771e01cc163a5"/>
      <w:bookmarkEnd w:id="93"/>
      <w:r>
        <w:rPr>
          <w:rFonts w:ascii="Times New Roman;serif" w:hAnsi="Times New Roman;serif"/>
          <w:b/>
          <w:color w:val="000000"/>
          <w:sz w:val="24"/>
        </w:rPr>
        <w:t>Section 13.3.    Replacement of Notes</w:t>
      </w:r>
      <w:r>
        <w:rPr>
          <w:rFonts w:ascii="Times New Roman;serif" w:hAnsi="Times New Roman;serif"/>
          <w:b w:val="false"/>
          <w:color w:val="000000"/>
          <w:sz w:val="24"/>
        </w:rPr>
        <w:t>. Upon receipt by the Company at the address and to the attention of the designated officer (all as specified in 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(a)in the case of loss, theft or destruction, of indemnity reasonably satisfactory to it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holder of such Note is, or is a nominee for, an original Purchaser or another holder of a Note with a minimum net worth of at least $50,000,000 or a Qualified Institutional Buyer, such Person’s own unsecured agreement of indemnity shall be deemed to be satisfactory),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(b)in the case of mutilation, upon surrender and cancellation thereof, within 10 Business Days thereafter, 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pStyle w:val="TextBody"/>
        <w:bidi w:val="0"/>
        <w:spacing w:lineRule="atLeast" w:line="280" w:before="320" w:after="283"/>
        <w:ind w:left="0" w:right="0" w:hanging="1699"/>
        <w:jc w:val="left"/>
        <w:rPr/>
      </w:pPr>
      <w:bookmarkStart w:id="94" w:name="i0a90963711bf4fbca69e796c73a055ec"/>
      <w:bookmarkEnd w:id="94"/>
      <w:r>
        <w:rPr>
          <w:rFonts w:ascii="Times New Roman;serif" w:hAnsi="Times New Roman;serif"/>
          <w:b/>
          <w:color w:val="000000"/>
          <w:sz w:val="24"/>
        </w:rPr>
        <w:t>Section 14.    Payments on Notes</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95" w:name="icd0cddc53f7247c6b923d9e44bd5b4a9"/>
      <w:bookmarkEnd w:id="95"/>
      <w:r>
        <w:rPr>
          <w:rFonts w:ascii="Times New Roman;serif" w:hAnsi="Times New Roman;serif"/>
          <w:b/>
          <w:color w:val="000000"/>
          <w:sz w:val="24"/>
        </w:rPr>
        <w:t>Section 14.1.    Place of Payment</w:t>
      </w:r>
      <w:r>
        <w:rPr>
          <w:rFonts w:ascii="Times New Roman;serif" w:hAnsi="Times New Roman;serif"/>
          <w:b w:val="false"/>
          <w:color w:val="000000"/>
          <w:sz w:val="24"/>
        </w:rPr>
        <w:t>. Subject to Section 14.2, payments of principal, Make-Whole Amount, if any, and interest becoming due and payable on the Notes shall be made in New York, NY at the principal office of BMO Bank N.A. in such jurisdiction. The Company may not at any time change the place of payment of the Notes without the prior written consent of the Required Holders.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7800"/>
                <wp:effectExtent l="0" t="0" r="0" b="0"/>
                <wp:wrapNone/>
                <wp:docPr id="58" name="Frame5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96" w:name="i54f1627348534d929dc810d233232798"/>
      <w:bookmarkEnd w:id="96"/>
      <w:r>
        <w:rPr>
          <w:rFonts w:ascii="Times New Roman;serif" w:hAnsi="Times New Roman;serif"/>
          <w:b/>
          <w:color w:val="000000"/>
          <w:sz w:val="24"/>
        </w:rPr>
        <w:t>Section 14.2.    Payment by Wire Transfer</w:t>
      </w:r>
      <w:r>
        <w:rPr>
          <w:rFonts w:ascii="Times New Roman;serif" w:hAnsi="Times New Roman;serif"/>
          <w:b w:val="false"/>
          <w:color w:val="000000"/>
          <w:sz w:val="24"/>
        </w:rPr>
        <w:t>. 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pStyle w:val="TextBody"/>
        <w:bidi w:val="0"/>
        <w:spacing w:lineRule="atLeast" w:line="280" w:before="280" w:after="283"/>
        <w:ind w:left="0" w:right="0" w:firstLine="360"/>
        <w:jc w:val="both"/>
        <w:rPr/>
      </w:pPr>
      <w:r>
        <w:rPr>
          <w:color w:val="000000"/>
        </w:rPr>
        <w:t>    </w:t>
      </w:r>
      <w:bookmarkStart w:id="97" w:name="i3aea3b361fa14bf68edbab43e4bf2a94"/>
      <w:bookmarkEnd w:id="97"/>
      <w:r>
        <w:rPr>
          <w:rFonts w:ascii="Times New Roman;serif" w:hAnsi="Times New Roman;serif"/>
          <w:b/>
          <w:color w:val="000000"/>
          <w:sz w:val="24"/>
        </w:rPr>
        <w:t>Section 14.3.    FATCA Information</w:t>
      </w:r>
      <w:r>
        <w:rPr>
          <w:rFonts w:ascii="Times New Roman;serif" w:hAnsi="Times New Roman;serif"/>
          <w:b w:val="false"/>
          <w:color w:val="000000"/>
          <w:sz w:val="24"/>
        </w:rPr>
        <w:t>. By acceptance of any Note, the holder of such Note agrees that such holder will with reasonable promptness, upon the reasonable request of the Company,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pStyle w:val="TextBody"/>
        <w:bidi w:val="0"/>
        <w:spacing w:lineRule="atLeast" w:line="280" w:before="320" w:after="283"/>
        <w:ind w:left="0" w:right="0" w:hanging="1699"/>
        <w:jc w:val="left"/>
        <w:rPr/>
      </w:pPr>
      <w:bookmarkStart w:id="98" w:name="i39e95a92b85d46e89cd8df093b9ab29c"/>
      <w:bookmarkEnd w:id="98"/>
      <w:r>
        <w:rPr>
          <w:rFonts w:ascii="Times New Roman;serif" w:hAnsi="Times New Roman;serif"/>
          <w:b/>
          <w:color w:val="000000"/>
          <w:sz w:val="24"/>
        </w:rPr>
        <w:t>Section 15.    Expenses, Etc</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99" w:name="i034fb05fff934d6aa91088acc8369cb5"/>
      <w:bookmarkEnd w:id="99"/>
      <w:r>
        <w:rPr>
          <w:rFonts w:ascii="Times New Roman;serif" w:hAnsi="Times New Roman;serif"/>
          <w:b/>
          <w:color w:val="000000"/>
          <w:sz w:val="24"/>
        </w:rPr>
        <w:t>Section 15.1.    Transaction Expenses</w:t>
      </w:r>
      <w:r>
        <w:rPr>
          <w:rFonts w:ascii="Times New Roman;serif" w:hAnsi="Times New Roman;serif"/>
          <w:b w:val="false"/>
          <w:color w:val="000000"/>
          <w:sz w:val="24"/>
        </w:rPr>
        <w:t xml:space="preserve">. Whether or not the transactions contemplated hereby are consummated, the Company will pay all reasonable and documented out-of-pocket costs and expenses (including reasonable and documented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7800"/>
                <wp:effectExtent l="0" t="0" r="0" b="0"/>
                <wp:wrapNone/>
                <wp:docPr id="59" name="Frame5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Subsidiary Guaranty and (c) the out-of-pocket costs and expenses incurred at any time in connection with any filing of this Agreement and all related documents and financial information with the SVO. If required by the NAIC, the Company shall obtain and maintain at its own cost and expense a Legal Entity Identifier (LEI).</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and documented attorneys’ fees and expenses) or obligation resulting from the consummation of the transactions contemplated hereby, including the use of the proceeds of the Notes by the Company.</w:t>
      </w:r>
    </w:p>
    <w:p>
      <w:pPr>
        <w:pStyle w:val="TextBody"/>
        <w:bidi w:val="0"/>
        <w:spacing w:lineRule="atLeast" w:line="280" w:before="280" w:after="283"/>
        <w:ind w:left="0" w:right="0" w:firstLine="360"/>
        <w:jc w:val="both"/>
        <w:rPr/>
      </w:pPr>
      <w:r>
        <w:rPr>
          <w:color w:val="000000"/>
        </w:rPr>
        <w:t>    </w:t>
      </w:r>
      <w:bookmarkStart w:id="100" w:name="id20d3cfb9b054dbba1f2d19a432a5ea6"/>
      <w:bookmarkEnd w:id="100"/>
      <w:r>
        <w:rPr>
          <w:rFonts w:ascii="Times New Roman;serif" w:hAnsi="Times New Roman;serif"/>
          <w:b/>
          <w:color w:val="000000"/>
          <w:sz w:val="24"/>
        </w:rPr>
        <w:t>Section 15.2.    Certain Taxes</w:t>
      </w:r>
      <w:r>
        <w:rPr>
          <w:rFonts w:ascii="Times New Roman;serif" w:hAnsi="Times New Roman;serif"/>
          <w:b w:val="false"/>
          <w:color w:val="000000"/>
          <w:sz w:val="24"/>
        </w:rPr>
        <w:t>. The Company agrees to pay all stamp, documentary or similar taxes or fees which may 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pStyle w:val="TextBody"/>
        <w:bidi w:val="0"/>
        <w:spacing w:lineRule="atLeast" w:line="280" w:before="280" w:after="283"/>
        <w:ind w:left="0" w:right="0" w:firstLine="360"/>
        <w:jc w:val="both"/>
        <w:rPr/>
      </w:pPr>
      <w:r>
        <w:rPr>
          <w:color w:val="000000"/>
        </w:rPr>
        <w:t>    </w:t>
      </w:r>
      <w:bookmarkStart w:id="101" w:name="i884b19f9742f47b48160aae85de10376"/>
      <w:bookmarkEnd w:id="101"/>
      <w:r>
        <w:rPr>
          <w:rFonts w:ascii="Times New Roman;serif" w:hAnsi="Times New Roman;serif"/>
          <w:b/>
          <w:color w:val="000000"/>
          <w:sz w:val="24"/>
        </w:rPr>
        <w:t>Section 15.3.    Survival</w:t>
      </w:r>
      <w:r>
        <w:rPr>
          <w:rFonts w:ascii="Times New Roman;serif" w:hAnsi="Times New Roman;serif"/>
          <w:b w:val="false"/>
          <w:color w:val="000000"/>
          <w:sz w:val="24"/>
        </w:rPr>
        <w:t>. The obligations of the Company under this Section 15 will survive the payment or transfer of any Note, the enforcement, amendment or waiver of any provision of this Agreement, any Subsidiary Guaranty or the Notes, and the termination of this Agreement.</w:t>
      </w:r>
    </w:p>
    <w:p>
      <w:pPr>
        <w:pStyle w:val="TextBody"/>
        <w:bidi w:val="0"/>
        <w:spacing w:lineRule="atLeast" w:line="280" w:before="320" w:after="283"/>
        <w:ind w:left="0" w:right="0" w:hanging="1699"/>
        <w:jc w:val="left"/>
        <w:rPr/>
      </w:pPr>
      <w:bookmarkStart w:id="102" w:name="i6645927747e548aea1bcde5ed1925995"/>
      <w:bookmarkEnd w:id="102"/>
      <w:r>
        <w:rPr>
          <w:rFonts w:ascii="Times New Roman;serif" w:hAnsi="Times New Roman;serif"/>
          <w:b/>
          <w:color w:val="000000"/>
          <w:sz w:val="24"/>
        </w:rPr>
        <w:t>Section 16.    Survival of Representations and Warranties; Entire Agreement</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7800"/>
                <wp:effectExtent l="0" t="0" r="0" b="0"/>
                <wp:wrapNone/>
                <wp:docPr id="60" name="Frame6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each Purchaser and the Company and supersede all prior agreements and understandings relating to the subject matter hereof.</w:t>
      </w:r>
    </w:p>
    <w:p>
      <w:pPr>
        <w:pStyle w:val="TextBody"/>
        <w:bidi w:val="0"/>
        <w:spacing w:lineRule="atLeast" w:line="280" w:before="320" w:after="283"/>
        <w:ind w:left="0" w:right="0" w:hanging="1699"/>
        <w:jc w:val="left"/>
        <w:rPr/>
      </w:pPr>
      <w:bookmarkStart w:id="103" w:name="i26a8959ec3b74d0cb763e5404f566cad"/>
      <w:bookmarkEnd w:id="103"/>
      <w:r>
        <w:rPr>
          <w:rFonts w:ascii="Times New Roman;serif" w:hAnsi="Times New Roman;serif"/>
          <w:b/>
          <w:color w:val="000000"/>
          <w:sz w:val="24"/>
        </w:rPr>
        <w:t>Section 17.    Amendment and Waiver</w:t>
      </w:r>
      <w:r>
        <w:rPr>
          <w:rFonts w:ascii="Times New Roman;serif" w:hAnsi="Times New Roman;serif"/>
          <w:b w:val="false"/>
          <w:color w:val="000000"/>
          <w:sz w:val="24"/>
        </w:rPr>
        <w:t>.</w:t>
      </w:r>
    </w:p>
    <w:p>
      <w:pPr>
        <w:pStyle w:val="TextBody"/>
        <w:bidi w:val="0"/>
        <w:spacing w:lineRule="atLeast" w:line="280" w:before="280" w:after="283"/>
        <w:ind w:left="0" w:right="0" w:firstLine="360"/>
        <w:jc w:val="both"/>
        <w:rPr/>
      </w:pPr>
      <w:r>
        <w:rPr>
          <w:color w:val="000000"/>
        </w:rPr>
        <w:t>    </w:t>
      </w:r>
      <w:bookmarkStart w:id="104" w:name="i23067ba1c8104e2681b9437ede313040"/>
      <w:bookmarkEnd w:id="104"/>
      <w:r>
        <w:rPr>
          <w:rFonts w:ascii="Times New Roman;serif" w:hAnsi="Times New Roman;serif"/>
          <w:b/>
          <w:color w:val="000000"/>
          <w:sz w:val="24"/>
        </w:rPr>
        <w:t>Section 17.1.    Requirements</w:t>
      </w:r>
      <w:r>
        <w:rPr>
          <w:rFonts w:ascii="Times New Roman;serif" w:hAnsi="Times New Roman;serif"/>
          <w:b w:val="false"/>
          <w:color w:val="000000"/>
          <w:sz w:val="24"/>
        </w:rPr>
        <w:t>. This Agreement and the Notes may be amended, and the observance of any term hereof or of the Notes may be waived (either retroactively or prospectively), only with the written consent of the Company and the Required Holders, except that:</w:t>
      </w:r>
    </w:p>
    <w:p>
      <w:pPr>
        <w:pStyle w:val="TextBody"/>
        <w:bidi w:val="0"/>
        <w:spacing w:lineRule="atLeast" w:line="280"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(a)no amendment or waiver of any of Sections 1, 2, 3, 4, 5, 6 or 21 hereof, or any defined term (as it is used therein), will be effective as to any Purchaser unless consented to by such Purchaser in writing; and</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(b)no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(iii) amend any of Sections 8 (except as set forth in the second sentence of Section 8.2), 11(a), 11(b), 12, 17 or 20 or any defined term (as it is used therein).</w:t>
      </w:r>
    </w:p>
    <w:p>
      <w:pPr>
        <w:pStyle w:val="TextBody"/>
        <w:bidi w:val="0"/>
        <w:spacing w:lineRule="atLeast" w:line="280" w:before="280" w:after="283"/>
        <w:ind w:left="0" w:right="0" w:firstLine="360"/>
        <w:jc w:val="both"/>
        <w:rPr/>
      </w:pPr>
      <w:r>
        <w:rPr>
          <w:color w:val="000000"/>
        </w:rPr>
        <w:t>    </w:t>
      </w:r>
      <w:bookmarkStart w:id="105" w:name="i3dff4016587c4de7b9c32098093a29dc"/>
      <w:bookmarkEnd w:id="105"/>
      <w:r>
        <w:rPr>
          <w:rFonts w:ascii="Times New Roman;serif" w:hAnsi="Times New Roman;serif"/>
          <w:b/>
          <w:color w:val="000000"/>
          <w:sz w:val="24"/>
        </w:rPr>
        <w:t>Section 17.2.    Solicitation of Holders of Notes</w:t>
      </w:r>
      <w:r>
        <w:rPr>
          <w:rFonts w:ascii="Times New Roman;serif" w:hAnsi="Times New Roman;serif"/>
          <w:b w:val="false"/>
          <w:color w:val="000000"/>
          <w:sz w:val="24"/>
        </w:rPr>
        <w:t>.</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(a)</w:t>
      </w:r>
      <w:r>
        <w:rPr>
          <w:rFonts w:ascii="Times New Roman;serif" w:hAnsi="Times New Roman;serif"/>
          <w:b w:val="false"/>
          <w:i/>
          <w:color w:val="000000"/>
          <w:sz w:val="24"/>
        </w:rPr>
        <w:t>Solicitation</w:t>
      </w:r>
      <w:r>
        <w:rPr>
          <w:rFonts w:ascii="Times New Roman;serif" w:hAnsi="Times New Roman;serif"/>
          <w:b w:val="false"/>
          <w:color w:val="000000"/>
          <w:sz w:val="24"/>
        </w:rPr>
        <w:t>. The Company will provide each Purchaser and each holder of a Note with sufficient information, sufficiently far in advance of the date a decision is required, to enable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Purchaser and each holder of a Note promptly following the date on which it is executed and delivered by, or receives the consent or approval of, the requisite Purchasers and holders of Notes.</w:t>
      </w:r>
    </w:p>
    <w:p>
      <w:pPr>
        <w:pStyle w:val="TextBody"/>
        <w:bidi w:val="0"/>
        <w:spacing w:lineRule="auto" w:line="278"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i/>
          <w:color w:val="000000"/>
          <w:sz w:val="24"/>
        </w:rPr>
        <w:t>Payment</w:t>
      </w:r>
      <w:r>
        <w:rPr>
          <w:rFonts w:ascii="Times New Roman;serif" w:hAnsi="Times New Roman;serif"/>
          <w:b w:val="false"/>
          <w:color w:val="000000"/>
          <w:sz w:val="24"/>
        </w:rPr>
        <w:t xml:space="preserve">. The Company will not directly or indirectly pay or cause to be paid any remuneration, whether by way of supplemental or additional interest, fee or otherwise, or grant any security or provide other credit support, to any Purchaser or any holder of a Note as consideration for or as an inducement to the entering into by such holder of any waiver or amendment of any of the terms and provisions hereof or of any Subsidiary Guaranty or any Note unless such remuneration is concurrently paid, or security is concurrently granted or other credit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7800"/>
                <wp:effectExtent l="0" t="0" r="0" b="0"/>
                <wp:wrapNone/>
                <wp:docPr id="61" name="Frame6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support concurrently provided, on the same terms, ratably to each Purchaser and each holder of a Note even if such holder did not consent to such waiver or amendment.</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i/>
          <w:color w:val="000000"/>
          <w:sz w:val="24"/>
        </w:rPr>
        <w:t>Consent in Contemplation of Transfer</w:t>
      </w:r>
      <w:r>
        <w:rPr>
          <w:rFonts w:ascii="Times New Roman;serif" w:hAnsi="Times New Roman;serif"/>
          <w:b w:val="false"/>
          <w:color w:val="000000"/>
          <w:sz w:val="24"/>
        </w:rPr>
        <w:t>. Any consent given pursuant to this Section 17 or any Subsidiary Guaranty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pStyle w:val="TextBody"/>
        <w:bidi w:val="0"/>
        <w:spacing w:lineRule="atLeast" w:line="280" w:before="280" w:after="283"/>
        <w:ind w:left="0" w:right="0" w:firstLine="360"/>
        <w:jc w:val="both"/>
        <w:rPr/>
      </w:pPr>
      <w:r>
        <w:rPr>
          <w:color w:val="000000"/>
        </w:rPr>
        <w:t>    </w:t>
      </w:r>
      <w:bookmarkStart w:id="106" w:name="i85f819da702842f1b57e43a2703dbce1"/>
      <w:bookmarkEnd w:id="106"/>
      <w:r>
        <w:rPr>
          <w:rFonts w:ascii="Times New Roman;serif" w:hAnsi="Times New Roman;serif"/>
          <w:b/>
          <w:color w:val="000000"/>
          <w:sz w:val="24"/>
        </w:rPr>
        <w:t>Section 17.3.    Binding Effect, Etc</w:t>
      </w:r>
      <w:r>
        <w:rPr>
          <w:rFonts w:ascii="Times New Roman;serif" w:hAnsi="Times New Roman;serif"/>
          <w:b w:val="false"/>
          <w:color w:val="000000"/>
          <w:sz w:val="24"/>
        </w:rPr>
        <w:t>. Any amendment or waiver consented to as provided in this Section 17 or any Subsidiary Guaranty applies equally to all Purchasers and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 Note and no delay in exercising any rights hereunder or under any Note or Subsidiary Guaranty shall operate as a waiver of any rights of any Purchaser or holder of such Note.</w:t>
      </w:r>
    </w:p>
    <w:p>
      <w:pPr>
        <w:pStyle w:val="TextBody"/>
        <w:bidi w:val="0"/>
        <w:spacing w:lineRule="atLeast" w:line="280" w:before="280" w:after="283"/>
        <w:ind w:left="0" w:right="0" w:firstLine="360"/>
        <w:jc w:val="both"/>
        <w:rPr/>
      </w:pPr>
      <w:r>
        <w:rPr>
          <w:color w:val="000000"/>
        </w:rPr>
        <w:t>    </w:t>
      </w:r>
      <w:bookmarkStart w:id="107" w:name="i67be242566a74776bde8df2a81969fc0"/>
      <w:bookmarkEnd w:id="107"/>
      <w:r>
        <w:rPr>
          <w:rFonts w:ascii="Times New Roman;serif" w:hAnsi="Times New Roman;serif"/>
          <w:b/>
          <w:color w:val="000000"/>
          <w:sz w:val="24"/>
        </w:rPr>
        <w:t>Section 17.4.    Notes Held by Company, Etc</w:t>
      </w:r>
      <w:r>
        <w:rPr>
          <w:rFonts w:ascii="Times New Roman;serif" w:hAnsi="Times New Roman;serif"/>
          <w:b w:val="false"/>
          <w:color w:val="000000"/>
          <w:sz w:val="24"/>
        </w:rPr>
        <w:t>. Solely for the purpose of determining whether the holders of all or the requisite 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the Notes to be taken upon the direction of the Purchasers or holders of all or a specified percentage of the aggregate principal amount of Notes then outstanding, Notes directly or indirectly owned by the Company or any of its Affiliates shall be deemed not to be outstanding.</w:t>
      </w:r>
    </w:p>
    <w:p>
      <w:pPr>
        <w:pStyle w:val="TextBody"/>
        <w:bidi w:val="0"/>
        <w:spacing w:lineRule="atLeast" w:line="280" w:before="320" w:after="283"/>
        <w:ind w:left="0" w:right="0" w:hanging="1699"/>
        <w:jc w:val="left"/>
        <w:rPr/>
      </w:pPr>
      <w:bookmarkStart w:id="108" w:name="i6c3d0448f546489ea3b1ce76d9eb241f"/>
      <w:bookmarkEnd w:id="108"/>
      <w:r>
        <w:rPr>
          <w:rFonts w:ascii="Times New Roman;serif" w:hAnsi="Times New Roman;serif"/>
          <w:b/>
          <w:color w:val="000000"/>
          <w:sz w:val="24"/>
        </w:rPr>
        <w:t>Section 18.    Notices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Except to the extent otherwise provided in Section 7.4, all notices and communications provided for under the Note Documents shall be in writing and sent (1) by registered or certified mail with return receipt requested or express or priority mail with online tracking service available (postage prepaid), (2) by fax if the recipient has provided a fax number in its notice details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copy of such sent fax is kept on file, whether electronically or otherwise, by the sending party and the sending party does not receive an automatically generated message that such fax could not be delivered to its recipient), (3) by a nationally recognized commercial delivery service (charges prepaid) or (4) by e-mail if the recipient has provided an e-mail address in its notice details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copy of such sent e-mail is kept on file, whether electronically or otherwise, by the sending party and the sending party does not receive 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7800"/>
                <wp:effectExtent l="0" t="0" r="0" b="0"/>
                <wp:wrapNone/>
                <wp:docPr id="62" name="Frame6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automatically generated message from the recipient’s e-mail server that such e-mail could not be delivered to its recipient). Any such notice must be sent:</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(i)if to any Purchaser or its nominee, to such Purchaser or nominee at the address specified for such communications in the Purchaser Schedule, or at such other address as such Purchaser or nominee shall have specified to the Company in writing,</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(ii)if to any other holder of any Note, to such holder at such address as such other holder shall have specified to the Company in writing, or</w:t>
      </w:r>
    </w:p>
    <w:p>
      <w:pPr>
        <w:pStyle w:val="TextBody"/>
        <w:bidi w:val="0"/>
        <w:spacing w:lineRule="auto" w:line="278" w:before="280" w:after="283"/>
        <w:ind w:left="0" w:right="0" w:firstLine="825"/>
        <w:jc w:val="both"/>
        <w:rPr>
          <w:rFonts w:ascii="Times New Roman;serif" w:hAnsi="Times New Roman;serif"/>
          <w:b w:val="false"/>
          <w:color w:val="000000"/>
          <w:sz w:val="24"/>
        </w:rPr>
      </w:pPr>
      <w:r>
        <w:rPr>
          <w:rFonts w:ascii="Times New Roman;serif" w:hAnsi="Times New Roman;serif"/>
          <w:b w:val="false"/>
          <w:color w:val="000000"/>
          <w:sz w:val="24"/>
        </w:rPr>
        <w:t>(iii)if to the Company or any Subsidiary Guarantor, to the Company at 6555 West Good Hope Road, Milwaukee, Wisconsin 53223 to the attention of Ann Thornton, Chief Financial Officer &amp; Treasurer, or at such other address as the Company shall have specified to the holder of each Note in writing.</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Notices under this Section 18 will be deemed given only when actually received.</w:t>
      </w:r>
    </w:p>
    <w:p>
      <w:pPr>
        <w:pStyle w:val="TextBody"/>
        <w:bidi w:val="0"/>
        <w:spacing w:lineRule="atLeast" w:line="280" w:before="320" w:after="283"/>
        <w:ind w:left="0" w:right="0" w:hanging="1699"/>
        <w:jc w:val="left"/>
        <w:rPr/>
      </w:pPr>
      <w:bookmarkStart w:id="109" w:name="i977a980c9c58448eaee06aefdcb9bcf4"/>
      <w:bookmarkEnd w:id="109"/>
      <w:r>
        <w:rPr>
          <w:rFonts w:ascii="Times New Roman;serif" w:hAnsi="Times New Roman;serif"/>
          <w:b/>
          <w:color w:val="000000"/>
          <w:sz w:val="24"/>
        </w:rPr>
        <w:t>Section 19.    Reproduction of Documents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electronic copy or further reproduction of such reproduction shall likewise be admissible in evidence. This Section 19 shall not prohibit the Company or any Purchaser or holder of Notes from contesting any such reproduction to the same extent that it could contest the original, or from introducing evidence to demonstrate the inaccuracy of any such reproduction.</w:t>
      </w:r>
    </w:p>
    <w:p>
      <w:pPr>
        <w:pStyle w:val="TextBody"/>
        <w:bidi w:val="0"/>
        <w:spacing w:lineRule="atLeast" w:line="280" w:before="320" w:after="283"/>
        <w:ind w:left="0" w:right="0" w:hanging="1699"/>
        <w:jc w:val="left"/>
        <w:rPr/>
      </w:pPr>
      <w:bookmarkStart w:id="110" w:name="i7ab2dacf8db14b4ab4811c6c065c2f6c"/>
      <w:bookmarkEnd w:id="110"/>
      <w:r>
        <w:rPr>
          <w:rFonts w:ascii="Times New Roman;serif" w:hAnsi="Times New Roman;serif"/>
          <w:b/>
          <w:color w:val="000000"/>
          <w:sz w:val="24"/>
        </w:rPr>
        <w:t>Section 20.    Confidential Information</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the purposes of this Section 20,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7800"/>
                <wp:effectExtent l="0" t="0" r="0" b="0"/>
                <wp:wrapNone/>
                <wp:docPr id="63" name="Frame6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Purchaser may deliver or disclose Confidential Information to (i) its affiliates and its and its affiliates’ respective directors, officers, employees (legal or contractual), agents, partners, attorneys, trustees, limited partners and investors (to the extent such disclosure reasonably relates to the administration of the investment represented by its Notes or portfolio management), (ii) its auditors, consultants, service providers, financial advisors, investment managers, investment advisors and other professional advisors who agree to hold confidential the Confidential Information substantially in accordance with this Section 20, (iii) any other holder of any Note, (iv) if the holder of a Note is a trust or fund, to the beneficiaries or beneficial owners of such trust or fund, (v) any Institutional Investor to which it transfers or pledges or offers to transfer or pledge such Note or any part thereof or any participation therein and any beneficiary, agent, custodian or trustee in connection therewith (if such Person has agreed prior to its receipt of such Confidential Information to hold the information confidential substantially in accordance with this Section 20) and, in each case, any such Person shall have the same rights and obligations with respect to such Confidential Information as the Purchasers have under this Section 20, (vi) any Person from which it offers to purchase any security of the Company (if such Person has agreed in writing prior to its receipt of such Confidential Information to be bound by this Section 20), (vii) any federal, state or other regulatory authority having jurisdiction over such Purchaser, any recipient of Confidential Information under this Section 20, or in each case, its portfolio or any transactions relating thereto, (viii) the NAIC or the SVO or, in each case, any similar organization, or any nationally recognized rating agency, or (ix) any other Person to which such delivery or disclosure may be necessary or appropriate (w) to effect compliance with any law, rule, regulation or order applicable to such Purchaser or its investment managers or investment advisors or to its investment portfolio or any transactions relating thereto (x) in response to any subpoena or other legal process, (y) in connection with any litigation, arbitration or dispute resolution process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7800"/>
                <wp:effectExtent l="0" t="0" r="0" b="0"/>
                <wp:wrapNone/>
                <wp:docPr id="64" name="Frame6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320" w:after="283"/>
        <w:ind w:left="0" w:right="0" w:hanging="1699"/>
        <w:jc w:val="left"/>
        <w:rPr/>
      </w:pPr>
      <w:bookmarkStart w:id="111" w:name="i371d2ea311b0460f913740ec7c6975d0"/>
      <w:bookmarkEnd w:id="111"/>
      <w:r>
        <w:rPr>
          <w:rFonts w:ascii="Times New Roman;serif" w:hAnsi="Times New Roman;serif"/>
          <w:b/>
          <w:color w:val="000000"/>
          <w:sz w:val="24"/>
        </w:rPr>
        <w:t>Section 21.    Substitution of Purchaser</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Each Purchaser shall have the right to substitute any one of its Affiliates or another Purchaser or any one of such other Purchaser’s Affiliates (a </w:t>
      </w:r>
      <w:r>
        <w:rPr>
          <w:color w:val="000000"/>
        </w:rPr>
        <w:t>“</w:t>
      </w:r>
      <w:r>
        <w:rPr>
          <w:rFonts w:ascii="Times New Roman;serif" w:hAnsi="Times New Roman;serif"/>
          <w:b/>
          <w:color w:val="000000"/>
          <w:sz w:val="24"/>
        </w:rPr>
        <w:t>Substitute Purchaser”</w:t>
      </w:r>
      <w:r>
        <w:rPr>
          <w:rFonts w:ascii="Times New Roman;serif" w:hAnsi="Times New Roman;serif"/>
          <w:b w:val="false"/>
          <w:color w:val="000000"/>
          <w:sz w:val="24"/>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pStyle w:val="TextBody"/>
        <w:bidi w:val="0"/>
        <w:spacing w:lineRule="atLeast" w:line="280" w:before="320" w:after="283"/>
        <w:ind w:left="0" w:right="0" w:hanging="1699"/>
        <w:jc w:val="left"/>
        <w:rPr>
          <w:rFonts w:ascii="Times New Roman;serif" w:hAnsi="Times New Roman;serif"/>
          <w:b/>
          <w:color w:val="000000"/>
          <w:sz w:val="24"/>
        </w:rPr>
      </w:pPr>
      <w:bookmarkStart w:id="112" w:name="ifdf8e51e0c8c4f2c95f167337148559e"/>
      <w:bookmarkEnd w:id="112"/>
      <w:r>
        <w:rPr>
          <w:rFonts w:ascii="Times New Roman;serif" w:hAnsi="Times New Roman;serif"/>
          <w:b/>
          <w:color w:val="000000"/>
          <w:sz w:val="24"/>
        </w:rPr>
        <w:t>Section 22.    Miscellaneous.</w:t>
      </w:r>
    </w:p>
    <w:p>
      <w:pPr>
        <w:pStyle w:val="TextBody"/>
        <w:bidi w:val="0"/>
        <w:spacing w:lineRule="atLeast" w:line="280" w:before="280" w:after="283"/>
        <w:ind w:left="0" w:right="0" w:firstLine="360"/>
        <w:jc w:val="both"/>
        <w:rPr/>
      </w:pPr>
      <w:r>
        <w:rPr>
          <w:color w:val="000000"/>
        </w:rPr>
        <w:t>    </w:t>
      </w:r>
      <w:bookmarkStart w:id="113" w:name="i7d9bce6e5a074bf7b95e5c5b519b2726"/>
      <w:bookmarkEnd w:id="113"/>
      <w:r>
        <w:rPr>
          <w:rFonts w:ascii="Times New Roman;serif" w:hAnsi="Times New Roman;serif"/>
          <w:b/>
          <w:color w:val="000000"/>
          <w:sz w:val="24"/>
        </w:rPr>
        <w:t>Section 22.1.    Successors and Assigns</w:t>
      </w:r>
      <w:r>
        <w:rPr>
          <w:rFonts w:ascii="Times New Roman;serif" w:hAnsi="Times New Roman;serif"/>
          <w:b w:val="false"/>
          <w:color w:val="000000"/>
          <w:sz w:val="24"/>
        </w:rPr>
        <w:t>. All covenants and other agreements contained in this Agreement by or on behalf of any of the parties 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lineRule="atLeast" w:line="280" w:before="280" w:after="283"/>
        <w:ind w:left="0" w:right="0" w:firstLine="360"/>
        <w:jc w:val="both"/>
        <w:rPr/>
      </w:pPr>
      <w:r>
        <w:rPr>
          <w:color w:val="000000"/>
        </w:rPr>
        <w:t>    </w:t>
      </w:r>
      <w:bookmarkStart w:id="114" w:name="i512095e91afc496689f14c4412bb7dee"/>
      <w:bookmarkEnd w:id="114"/>
      <w:r>
        <w:rPr>
          <w:rFonts w:ascii="Times New Roman;serif" w:hAnsi="Times New Roman;serif"/>
          <w:b/>
          <w:color w:val="000000"/>
          <w:sz w:val="24"/>
        </w:rPr>
        <w:t>Section 22.2.    Accounting Terms</w:t>
      </w:r>
      <w:r>
        <w:rPr>
          <w:rFonts w:ascii="Times New Roman;serif" w:hAnsi="Times New Roman;serif"/>
          <w:b w:val="false"/>
          <w:color w:val="000000"/>
          <w:sz w:val="24"/>
        </w:rPr>
        <w:t xml:space="preserve">. (a)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serif" w:hAnsi="Times New Roman;serif"/>
          <w:b w:val="false"/>
          <w:i/>
          <w:color w:val="000000"/>
          <w:sz w:val="24"/>
        </w:rPr>
        <w:t>Fair Value Option,</w:t>
      </w:r>
      <w:r>
        <w:rPr>
          <w:color w:val="000000"/>
        </w:rPr>
        <w:t xml:space="preserve"> </w:t>
      </w:r>
      <w:r>
        <w:rPr>
          <w:rFonts w:ascii="Times New Roman;serif" w:hAnsi="Times New Roman;serif"/>
          <w:b w:val="false"/>
          <w:color w:val="000000"/>
          <w:sz w:val="24"/>
        </w:rPr>
        <w:t xml:space="preserve">International Financial Reporting Standards 9 – </w:t>
      </w:r>
      <w:r>
        <w:rPr>
          <w:rFonts w:ascii="Times New Roman;serif" w:hAnsi="Times New Roman;serif"/>
          <w:b w:val="false"/>
          <w:i/>
          <w:color w:val="000000"/>
          <w:sz w:val="24"/>
        </w:rPr>
        <w:t>Financial Instruments</w:t>
      </w:r>
      <w:r>
        <w:rPr>
          <w:color w:val="000000"/>
        </w:rPr>
        <w:t xml:space="preserve"> </w:t>
      </w:r>
      <w:r>
        <w:rPr>
          <w:rFonts w:ascii="Times New Roman;serif" w:hAnsi="Times New Roman;serif"/>
          <w:b w:val="false"/>
          <w:color w:val="000000"/>
          <w:sz w:val="24"/>
        </w:rPr>
        <w:t>or any similar accounting standard) shall be disregarded and such determination shall be made as if such election had not been made.</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at any time any change in GAAP would affect the computation of any financial ratio set forth in this Agreement or the determination of compliance with any requirement set forth in this Agreement, and either the Company or the Required Holders shall so request, the Company and the holders of Notes shall negotiate in good faith to amend such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7800"/>
                <wp:effectExtent l="0" t="0" r="0" b="0"/>
                <wp:wrapNone/>
                <wp:docPr id="65" name="Frame6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pPr>
      <w:r>
        <w:rPr>
          <w:rFonts w:ascii="Times New Roman;serif" w:hAnsi="Times New Roman;serif"/>
          <w:b w:val="false"/>
          <w:color w:val="000000"/>
          <w:sz w:val="24"/>
        </w:rPr>
        <w:t xml:space="preserve">ratio or requirement to preserve the original intent thereof in light of such change in GAAP (subject to the approval of the Required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until so amended, (i) such ratio or requirement shall continue to be computed in accordance with GAAP prior to such change therein and (ii) the Company shall provide to the holders of Notes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foregoing shall not apply for purposes of the financial statements delivered pursuant to Section 7.1(a) and 7.1(b) so long as the Compliance Certificate delivered by the Company in connection with such financial statements includes an explanation of the differences resulting from such treatment of leases in a manner reasonably satisfactory to the Required Holders.</w:t>
      </w:r>
    </w:p>
    <w:p>
      <w:pPr>
        <w:pStyle w:val="TextBody"/>
        <w:bidi w:val="0"/>
        <w:spacing w:lineRule="atLeast" w:line="280" w:before="280" w:after="283"/>
        <w:ind w:left="0" w:right="0" w:firstLine="360"/>
        <w:jc w:val="both"/>
        <w:rPr/>
      </w:pPr>
      <w:r>
        <w:rPr>
          <w:color w:val="000000"/>
        </w:rPr>
        <w:t>    </w:t>
      </w:r>
      <w:bookmarkStart w:id="115" w:name="i77b9714f17ec458592dd8f07b752a511"/>
      <w:bookmarkEnd w:id="115"/>
      <w:r>
        <w:rPr>
          <w:rFonts w:ascii="Times New Roman;serif" w:hAnsi="Times New Roman;serif"/>
          <w:b/>
          <w:color w:val="000000"/>
          <w:sz w:val="24"/>
        </w:rPr>
        <w:t>Section 22.3.    Severability</w:t>
      </w:r>
      <w:r>
        <w:rPr>
          <w:rFonts w:ascii="Times New Roman;serif" w:hAnsi="Times New Roman;serif"/>
          <w:b w:val="false"/>
          <w:color w:val="000000"/>
          <w:sz w:val="24"/>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lineRule="atLeast" w:line="280" w:before="280" w:after="283"/>
        <w:ind w:left="0" w:right="0" w:firstLine="360"/>
        <w:jc w:val="both"/>
        <w:rPr/>
      </w:pPr>
      <w:r>
        <w:rPr>
          <w:color w:val="000000"/>
        </w:rPr>
        <w:t>    </w:t>
      </w:r>
      <w:bookmarkStart w:id="116" w:name="ic74f0feea504403e9944939e6aaaafbc"/>
      <w:bookmarkEnd w:id="116"/>
      <w:r>
        <w:rPr>
          <w:rFonts w:ascii="Times New Roman;serif" w:hAnsi="Times New Roman;serif"/>
          <w:b/>
          <w:color w:val="000000"/>
          <w:sz w:val="24"/>
        </w:rPr>
        <w:t>Section 22.4.    Construction, Etc</w:t>
      </w:r>
      <w:r>
        <w:rPr>
          <w:rFonts w:ascii="Times New Roman;serif" w:hAnsi="Times New Roman;serif"/>
          <w:b w:val="false"/>
          <w:color w:val="000000"/>
          <w:sz w:val="24"/>
        </w:rPr>
        <w:t>.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7800"/>
                <wp:effectExtent l="0" t="0" r="0" b="0"/>
                <wp:wrapNone/>
                <wp:docPr id="66" name="Frame6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360"/>
        <w:jc w:val="both"/>
        <w:rPr/>
      </w:pPr>
      <w:r>
        <w:rPr>
          <w:color w:val="000000"/>
        </w:rPr>
        <w:t>    </w:t>
      </w:r>
      <w:bookmarkStart w:id="117" w:name="ia3e813043ad940d7891556050063a3ec"/>
      <w:bookmarkEnd w:id="117"/>
      <w:r>
        <w:rPr>
          <w:rFonts w:ascii="Times New Roman;serif" w:hAnsi="Times New Roman;serif"/>
          <w:b/>
          <w:color w:val="000000"/>
          <w:sz w:val="24"/>
        </w:rPr>
        <w:t>Section 22.5.    Counterparts</w:t>
      </w:r>
      <w:r>
        <w:rPr>
          <w:rFonts w:ascii="Times New Roman;serif" w:hAnsi="Times New Roman;serif"/>
          <w:b w:val="false"/>
          <w:color w:val="000000"/>
          <w:sz w:val="24"/>
        </w:rPr>
        <w:t>.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electronic signatures with respect to this Agreement and all documents relating thereto (other than the Notes). Delivery of an electronic signature to, or a signed copy of, this Agreement and all documents relating thereto (other than the Notes)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and all documents relating thereto (other than the Notes)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the foregoing, if any Purchaser shall request manually signed counterpart signatures to this Agreement or any documents relating to this Agreement, the Company hereby agrees to use its reasonable endeavors to provide such manually signed signature pages as soon as reasonably practicable.</w:t>
      </w:r>
    </w:p>
    <w:p>
      <w:pPr>
        <w:pStyle w:val="TextBody"/>
        <w:bidi w:val="0"/>
        <w:spacing w:lineRule="atLeast" w:line="280" w:before="280" w:after="283"/>
        <w:ind w:left="0" w:right="0" w:firstLine="360"/>
        <w:jc w:val="both"/>
        <w:rPr/>
      </w:pPr>
      <w:r>
        <w:rPr>
          <w:color w:val="000000"/>
        </w:rPr>
        <w:t>    </w:t>
      </w:r>
      <w:bookmarkStart w:id="118" w:name="icf2bc0459aed47e6a160d8ed5cc3b76d"/>
      <w:bookmarkEnd w:id="118"/>
      <w:r>
        <w:rPr>
          <w:rFonts w:ascii="Times New Roman;serif" w:hAnsi="Times New Roman;serif"/>
          <w:b/>
          <w:color w:val="000000"/>
          <w:sz w:val="24"/>
        </w:rPr>
        <w:t>Section 22.6.    Governing Law</w:t>
      </w:r>
      <w:r>
        <w:rPr>
          <w:rFonts w:ascii="Times New Roman;serif" w:hAnsi="Times New Roman;serif"/>
          <w:b w:val="false"/>
          <w:color w:val="000000"/>
          <w:sz w:val="24"/>
        </w:rPr>
        <w:t>.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lineRule="atLeast" w:line="280" w:before="280" w:after="283"/>
        <w:ind w:left="0" w:right="0" w:firstLine="360"/>
        <w:jc w:val="both"/>
        <w:rPr/>
      </w:pPr>
      <w:r>
        <w:rPr>
          <w:color w:val="000000"/>
        </w:rPr>
        <w:t>    </w:t>
      </w:r>
      <w:bookmarkStart w:id="119" w:name="if4f7b4efaf87436b89708093a6055c38"/>
      <w:bookmarkEnd w:id="119"/>
      <w:r>
        <w:rPr>
          <w:rFonts w:ascii="Times New Roman;serif" w:hAnsi="Times New Roman;serif"/>
          <w:b/>
          <w:color w:val="000000"/>
          <w:sz w:val="24"/>
        </w:rPr>
        <w:t>Section 22.7.    Jurisdiction and Process; Waiver of Jury Trial</w:t>
      </w:r>
      <w:r>
        <w:rPr>
          <w:rFonts w:ascii="Times New Roman;serif" w:hAnsi="Times New Roman;serif"/>
          <w:b w:val="false"/>
          <w:color w:val="000000"/>
          <w:sz w:val="24"/>
        </w:rPr>
        <w:t>. (a)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lineRule="atLeast" w:line="280" w:before="280" w:after="283"/>
        <w:ind w:left="0" w:right="0" w:firstLine="825"/>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pStyle w:val="TextBody"/>
        <w:bidi w:val="0"/>
        <w:spacing w:lineRule="auto" w:line="278" w:before="280" w:after="283"/>
        <w:ind w:left="0" w:right="0" w:firstLine="825"/>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consents to process being served by or on behalf of any holder of Notes in any suit, action or proceeding of the nature referred to in Section 22.7(a) by mailing 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7800"/>
                <wp:effectExtent l="0" t="0" r="0" b="0"/>
                <wp:wrapNone/>
                <wp:docPr id="67" name="Frame6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uto" w:line="278" w:before="280" w:after="283"/>
        <w:jc w:val="both"/>
        <w:rPr>
          <w:rFonts w:ascii="Times New Roman;serif" w:hAnsi="Times New Roman;serif"/>
          <w:b w:val="false"/>
          <w:color w:val="000000"/>
          <w:sz w:val="24"/>
        </w:rPr>
      </w:pPr>
      <w:r>
        <w:rPr>
          <w:rFonts w:ascii="Times New Roman;serif" w:hAnsi="Times New Roman;serif"/>
          <w:b w:val="false"/>
          <w:color w:val="000000"/>
          <w:sz w:val="24"/>
        </w:rPr>
        <w:t>copy thereof by registered, certified, priority or express mail (or any substantially similar form of mail) with on-line tracking service available, postage prepaid, return receipt or delivery confirmation requested, or delivering a copy thereof in the manner for delivery of notices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or on-line confirmation of delivery furnished by the United States Postal Service or any reputable commercial delivery service.</w:t>
      </w:r>
    </w:p>
    <w:p>
      <w:pPr>
        <w:pStyle w:val="TextBody"/>
        <w:bidi w:val="0"/>
        <w:spacing w:lineRule="auto" w:line="278" w:before="280" w:after="283"/>
        <w:ind w:left="0" w:right="0" w:firstLine="825"/>
        <w:jc w:val="both"/>
        <w:rPr/>
      </w:pPr>
      <w:r>
        <w:rPr>
          <w:rFonts w:ascii="Times New Roman;serif" w:hAnsi="Times New Roman;serif"/>
          <w:b w:val="false"/>
          <w:color w:val="000000"/>
          <w:sz w:val="24"/>
        </w:rPr>
        <w:t>(d)</w:t>
      </w:r>
      <w:r>
        <w:rPr>
          <w:rFonts w:ascii="Times New Roman;serif" w:hAnsi="Times New Roman;serif"/>
          <w:b w:val="false"/>
          <w:color w:val="000000"/>
          <w:sz w:val="24"/>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lineRule="auto" w:line="278" w:before="280" w:after="283"/>
        <w:ind w:left="0" w:right="0" w:firstLine="825"/>
        <w:jc w:val="both"/>
        <w:rPr/>
      </w:pPr>
      <w:r>
        <w:rPr>
          <w:rFonts w:ascii="Times New Roman;serif" w:hAnsi="Times New Roman;serif"/>
          <w:b w:val="false"/>
          <w:color w:val="000000"/>
          <w:sz w:val="24"/>
        </w:rPr>
        <w:t>(e)</w:t>
      </w:r>
      <w:r>
        <w:rPr>
          <w:rFonts w:ascii="Times New Roman;serif" w:hAnsi="Times New Roman;serif"/>
          <w:b w:val="false"/>
          <w:color w:val="000000"/>
          <w:sz w:val="24"/>
        </w:rPr>
        <w:t>The parties hereto hereby waive trial by jury in any action brought on or with respect to this Agreement, the Notes or any other document executed in connection herewith or therewith.</w:t>
      </w:r>
    </w:p>
    <w:p>
      <w:pPr>
        <w:pStyle w:val="TextBody"/>
        <w:bidi w:val="0"/>
        <w:spacing w:lineRule="atLeast" w:line="280" w:before="280" w:after="283"/>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7800"/>
                <wp:effectExtent l="0" t="0" r="0" b="0"/>
                <wp:wrapNone/>
                <wp:docPr id="68" name="Frame6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tbl>
      <w:tblPr>
        <w:tblW w:w="4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8"/>
        <w:gridCol w:w="308"/>
        <w:gridCol w:w="308"/>
        <w:gridCol w:w="472"/>
        <w:gridCol w:w="472"/>
        <w:gridCol w:w="472"/>
        <w:gridCol w:w="472"/>
        <w:gridCol w:w="472"/>
        <w:gridCol w:w="48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Ann E. Thornton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7800"/>
                <wp:effectExtent l="0" t="0" r="0" b="0"/>
                <wp:wrapNone/>
                <wp:docPr id="69" name="Frame6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6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5"/>
        <w:gridCol w:w="735"/>
        <w:gridCol w:w="735"/>
        <w:gridCol w:w="735"/>
        <w:gridCol w:w="735"/>
        <w:gridCol w:w="735"/>
        <w:gridCol w:w="735"/>
        <w:gridCol w:w="735"/>
        <w:gridCol w:w="7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MASSACHUSETTS MUTUAL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Barings LLC as Investment Adviser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BRIGHTHOUSE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Barings LLC as Investment Adviser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MASSMUTUAL ASCEND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Barings LLC as Investment Adviser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Benjamin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7800"/>
                <wp:effectExtent l="0" t="0" r="0" b="0"/>
                <wp:wrapNone/>
                <wp:docPr id="70" name="Frame7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before="280" w:after="283"/>
        <w:ind w:left="0" w:right="0" w:hanging="360"/>
        <w:jc w:val="left"/>
        <w:rPr/>
      </w:pPr>
      <w:r>
        <w:rPr/>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98"/>
        <w:gridCol w:w="798"/>
        <w:gridCol w:w="798"/>
        <w:gridCol w:w="1210"/>
        <w:gridCol w:w="1107"/>
        <w:gridCol w:w="1107"/>
        <w:gridCol w:w="1107"/>
        <w:gridCol w:w="1107"/>
        <w:gridCol w:w="1128"/>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BRIGHTHOUSE LIFE INSURANCE COMPANY</w:t>
              <w:br/>
              <w:t>METLIFE REINSURANCE COMPANY OF HAMILTON, LTD.</w:t>
              <w:br/>
              <w:t>METROPOLITAN TOWER LIFE INSURANCE COMPANY</w:t>
              <w:br/>
              <w:t>METROPOLITAN LIFE INSURANCE COMPANY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MetLife Investment Management, LLC, Its Investment Manager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Ho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Thomas Ho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SWISS REINSURANCE COMPANY LTD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MetLife Investment Management Limited, as Investment Manager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Aurelie Hariton-Fardad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Aurelie Hariton-Fardad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Authorised Signatory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PENSION AND SAVINGS COMMITTEE, ON BEHALF OF THE ZURICH AMERICAN INSURANCE COMPANY MASTER RETIREMENT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MetLife Investment Management Limited, Its Investment Manager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7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Ho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Thomas Ho</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3060"/>
                <wp:effectExtent l="0" t="0" r="0" b="0"/>
                <wp:wrapNone/>
                <wp:docPr id="71" name="Frame7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99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5"/>
        <w:gridCol w:w="565"/>
        <w:gridCol w:w="565"/>
        <w:gridCol w:w="1197"/>
        <w:gridCol w:w="1197"/>
        <w:gridCol w:w="1197"/>
        <w:gridCol w:w="1197"/>
        <w:gridCol w:w="1197"/>
        <w:gridCol w:w="122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BANKERS LIFE AND CASUALTY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GOLDMAN SACHS COLLECTIVE TRUST – </w:t>
              <w:br/>
              <w:t>PRIVATE PLACEMENT CORE FUND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INVESTORS LIFE INSURANCE COMPANY OF NORTH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its Agent and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BANKERS LIFE AND CASUALTY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TextBody"/>
        <w:bidi w:val="0"/>
        <w:spacing w:lineRule="auto" w:line="324"/>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3060"/>
                <wp:effectExtent l="0" t="0" r="0" b="0"/>
                <wp:wrapNone/>
                <wp:docPr id="72" name="Frame7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94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2"/>
        <w:gridCol w:w="372"/>
        <w:gridCol w:w="372"/>
        <w:gridCol w:w="1207"/>
        <w:gridCol w:w="1207"/>
        <w:gridCol w:w="1207"/>
        <w:gridCol w:w="1207"/>
        <w:gridCol w:w="1207"/>
        <w:gridCol w:w="12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MERIT LIFE INSURANCE 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its Agent and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PACIFIC GUARDIAN LIFE INSURANCE COMPANY,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its Agent and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REVOL ONE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its Agent and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TRANS-OCEANIC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Asset Management, L.P., as its Agent and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Marisol Gonzalez de Cosio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TextBody"/>
        <w:bidi w:val="0"/>
        <w:spacing w:lineRule="auto" w:line="324"/>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3060"/>
                <wp:effectExtent l="0" t="0" r="0" b="0"/>
                <wp:wrapNone/>
                <wp:docPr id="73" name="Frame7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5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1"/>
        <w:gridCol w:w="721"/>
        <w:gridCol w:w="721"/>
        <w:gridCol w:w="721"/>
        <w:gridCol w:w="721"/>
        <w:gridCol w:w="721"/>
        <w:gridCol w:w="721"/>
        <w:gridCol w:w="721"/>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PRUDENTIAL INSURANCE COMPANY OF AMERICA</w:t>
              <w:br/>
              <w:t>PRUCO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PGIM, Inc., as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34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Molzahn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3060"/>
                <wp:effectExtent l="0" t="0" r="0" b="0"/>
                <wp:wrapNone/>
                <wp:docPr id="74" name="Frame7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8"/>
        <w:gridCol w:w="688"/>
        <w:gridCol w:w="688"/>
        <w:gridCol w:w="1198"/>
        <w:gridCol w:w="1175"/>
        <w:gridCol w:w="1175"/>
        <w:gridCol w:w="1175"/>
        <w:gridCol w:w="1175"/>
        <w:gridCol w:w="119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TEACHERS INSURANCE AND ANNUITY ASSOCIATION OF AMERICA,</w:t>
              <w:br/>
              <w:t>a New York domiciled life insurance company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Nuveen Alternatives Advisors LLC, a Delaware limited liability company, its investment manager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0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Greg Miller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Greg Miller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3060"/>
                <wp:effectExtent l="0" t="0" r="0" b="0"/>
                <wp:wrapNone/>
                <wp:docPr id="75" name="Frame7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7"/>
        <w:gridCol w:w="888"/>
        <w:gridCol w:w="792"/>
        <w:gridCol w:w="1126"/>
        <w:gridCol w:w="1063"/>
        <w:gridCol w:w="1063"/>
        <w:gridCol w:w="1063"/>
        <w:gridCol w:w="1063"/>
        <w:gridCol w:w="108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 LIFE INSURANCE COMPANY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NYL Investors LLC, its Investment Manager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 LIFE INSURANCE AND ANNUITY CORPORATION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NYL Investors LLC, its Investment Manager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 LIFE INSURANCE AND ANNUITY CORPORATION INSTITUTIONALLY OWNED LIFE INSURANCE SEPARATE ACCOUNT (BOLI 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NYL Investors LLC, its Investment Manager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LIFE INSURANCE COMPANY OF NORTH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NYL Investors LLC, its Investment Manager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4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Gina A. Oddo Senior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3060"/>
                <wp:effectExtent l="0" t="0" r="0" b="0"/>
                <wp:wrapNone/>
                <wp:docPr id="76" name="Frame7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826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3"/>
        <w:gridCol w:w="773"/>
        <w:gridCol w:w="773"/>
        <w:gridCol w:w="814"/>
        <w:gridCol w:w="814"/>
        <w:gridCol w:w="814"/>
        <w:gridCol w:w="814"/>
        <w:gridCol w:w="814"/>
        <w:gridCol w:w="8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VOYA RETIREMENT INSURANCE AND ANNUITY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9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Voya Investment Management LLC, as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Scott Browm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Scott Browm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AUTO-OWNERS INSURANCE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HOME-OWNERS INSURANCE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OWNERS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PROPERTY-OWNERS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SOUTHERN-OWNERS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BRIGHTHOUSE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STARR INDEMNITY &amp; LIABILITY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STARR SURPLUS LINES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NGL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AMICA MUTUAL INSURANCE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AMICA MUTUAL INSURANCE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AMICA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STANDARD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STATE COMPENSATION INSURANCE FUND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BLUE CROSS AND BLUE SHIELD OF NORTH CAROLINA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9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Voya Investment Management Co. LLC, as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Scott Browm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Scott Browm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3060"/>
                <wp:effectExtent l="0" t="0" r="0" b="0"/>
                <wp:wrapNone/>
                <wp:docPr id="77" name="Frame7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5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31"/>
        <w:gridCol w:w="531"/>
        <w:gridCol w:w="531"/>
        <w:gridCol w:w="531"/>
        <w:gridCol w:w="531"/>
        <w:gridCol w:w="531"/>
        <w:gridCol w:w="531"/>
        <w:gridCol w:w="531"/>
        <w:gridCol w:w="53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THRIVENT FINANCIAL FOR LUTHERANS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Allen Stoltman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Allen Stoltman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3060"/>
                <wp:effectExtent l="0" t="0" r="0" b="0"/>
                <wp:wrapNone/>
                <wp:docPr id="78" name="Frame7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1"/>
        <w:gridCol w:w="1011"/>
        <w:gridCol w:w="1011"/>
        <w:gridCol w:w="1047"/>
        <w:gridCol w:w="1011"/>
        <w:gridCol w:w="1011"/>
        <w:gridCol w:w="1011"/>
        <w:gridCol w:w="1011"/>
        <w:gridCol w:w="1035"/>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LIFE INSURANCE COMPANY – FUNDS WITHHELD ACCOUNT FOR PRINCIPAL FINANCIAL SERVICES (BERMUDA) LTD.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Principal Global Investors, LLC </w:t>
              <w:br/>
              <w:t>a Delaware limited liability Company, its authorized signatory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Assistant General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PRINCIPAL LIFE INSURANCE COMPANY </w:t>
              <w:br/>
              <w:t>– PRINCIPAL PRT SEPARATE ACCOUNT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Principal Global Investors, LLC </w:t>
              <w:br/>
              <w:t>a Delaware limited liability Company, its authorized signatory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Assistant General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PRINCIPAL LIFE INSURANCE COMPANY </w:t>
              <w:br/>
              <w:t>– PRINCIPAL PFG SEPARATE ACCOUNT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Principal Global Investors, LLC </w:t>
              <w:br/>
              <w:t>a Delaware limited liability Company, its authorized signatory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Charles Schneider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Assistant General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Angela Harrison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Counsel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3060"/>
                <wp:effectExtent l="0" t="0" r="0" b="0"/>
                <wp:wrapNone/>
                <wp:docPr id="79" name="Frame7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1"/>
        <w:gridCol w:w="621"/>
        <w:gridCol w:w="621"/>
        <w:gridCol w:w="1218"/>
        <w:gridCol w:w="1210"/>
        <w:gridCol w:w="1210"/>
        <w:gridCol w:w="1210"/>
        <w:gridCol w:w="1210"/>
        <w:gridCol w:w="123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JACKSON NATIONAL LIFE INSURANCE COMPANY OF NEW YORK</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PPM America, Inc., as attorney in fact, on behalf of Jackson National Life Insurance Company of New York</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Jacqueline Baum</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Jacqueline Baum</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JACKSON NATIONAL LIFE INSURANCE COMPANY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PPM America, Inc., as attorney in fact, on behalf of Jackson National Life Insurance Company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2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Jacqueline Baum</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Jacqueline Baum</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3060"/>
                <wp:effectExtent l="0" t="0" r="0" b="0"/>
                <wp:wrapNone/>
                <wp:docPr id="80" name="Frame8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96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52"/>
        <w:gridCol w:w="1152"/>
        <w:gridCol w:w="1152"/>
        <w:gridCol w:w="1152"/>
        <w:gridCol w:w="1152"/>
        <w:gridCol w:w="1152"/>
        <w:gridCol w:w="548"/>
        <w:gridCol w:w="548"/>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STATE FARM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1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Michelle K. Marsh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Michelle K. Marsh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Professional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1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Rebekah L. Holt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Rebekah L. Holt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Professional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STATE FARM LIFE AND ACCIDENT ASSURANCE COMPANY</w:t>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1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Michelle K. Marsh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Michelle K. Marsh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Professional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1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Rebekah L. Holt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Rebekah L. Holt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Professional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3060"/>
                <wp:effectExtent l="0" t="0" r="0" b="0"/>
                <wp:wrapNone/>
                <wp:docPr id="81" name="Frame8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4"/>
        <w:gridCol w:w="704"/>
        <w:gridCol w:w="704"/>
        <w:gridCol w:w="786"/>
        <w:gridCol w:w="786"/>
        <w:gridCol w:w="786"/>
        <w:gridCol w:w="786"/>
        <w:gridCol w:w="786"/>
        <w:gridCol w:w="8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BERKSHIRE LIFE INSURANCE COMPANY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HPS Investment Partners, LLC, its Sub-Manager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Trinh Nguyen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Trinh Nguyen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GUARDIAN LIFE INSURANCE COMPANY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HPS Investment Partners, LLC, its Sub-Manager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Trinh Nguyen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Trinh Nguyen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3060"/>
                <wp:effectExtent l="0" t="0" r="0" b="0"/>
                <wp:wrapNone/>
                <wp:docPr id="82" name="Frame8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98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5"/>
        <w:gridCol w:w="1105"/>
        <w:gridCol w:w="1105"/>
        <w:gridCol w:w="1105"/>
        <w:gridCol w:w="1105"/>
        <w:gridCol w:w="1105"/>
        <w:gridCol w:w="731"/>
        <w:gridCol w:w="731"/>
        <w:gridCol w:w="7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GENWORTH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GENWORTH LIFE INSURANCE COMPANY OF NEW YORK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GENWORTH LIFE AND ANNUITY INSURANCE COMPANY</w:t>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ENACT MORTGAGE INSURANCE CORPORATION</w:t>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Elizabeth Coley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Investment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3060"/>
                <wp:effectExtent l="0" t="0" r="0" b="0"/>
                <wp:wrapNone/>
                <wp:docPr id="83" name="Frame8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9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54"/>
        <w:gridCol w:w="754"/>
        <w:gridCol w:w="754"/>
        <w:gridCol w:w="769"/>
        <w:gridCol w:w="769"/>
        <w:gridCol w:w="769"/>
        <w:gridCol w:w="769"/>
        <w:gridCol w:w="769"/>
        <w:gridCol w:w="7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PROVIDENT LIFE AND CASUALTY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Provident Investment Management, LLC</w:t>
              <w:br/>
              <w:t>Its: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 Vance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 Vance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 Senior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COLONIAL LIFE &amp; ACCIDENT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Provident Investment Management, LLC</w:t>
              <w:br/>
              <w:t>Its: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 Vance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 Vance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 Senior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3060"/>
                <wp:effectExtent l="0" t="0" r="0" b="0"/>
                <wp:wrapNone/>
                <wp:docPr id="84" name="Frame8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64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10"/>
        <w:gridCol w:w="510"/>
        <w:gridCol w:w="510"/>
        <w:gridCol w:w="638"/>
        <w:gridCol w:w="638"/>
        <w:gridCol w:w="638"/>
        <w:gridCol w:w="638"/>
        <w:gridCol w:w="638"/>
        <w:gridCol w:w="64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ENSIGN PEAK ADVISORS,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D.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Matthew D.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Head of Credit Research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CLIFTON PARK CAPITAL MANAGEMENT,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Matthew D.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Matthew D.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Head of Credit Research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3060"/>
                <wp:effectExtent l="0" t="0" r="0" b="0"/>
                <wp:wrapNone/>
                <wp:docPr id="85" name="Frame8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7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71"/>
        <w:gridCol w:w="671"/>
        <w:gridCol w:w="671"/>
        <w:gridCol w:w="782"/>
        <w:gridCol w:w="782"/>
        <w:gridCol w:w="782"/>
        <w:gridCol w:w="782"/>
        <w:gridCol w:w="782"/>
        <w:gridCol w:w="78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WESTERN-SOUTHERN LIFE ASSURANCE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Sarah Sparks Herron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Sarah Sparks Herron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 &amp; Deputy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Jay V.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Jay V. Johnson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 &amp;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3060"/>
                <wp:effectExtent l="0" t="0" r="0" b="0"/>
                <wp:wrapNone/>
                <wp:docPr id="86" name="Frame8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45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9"/>
        <w:gridCol w:w="249"/>
        <w:gridCol w:w="249"/>
        <w:gridCol w:w="452"/>
        <w:gridCol w:w="452"/>
        <w:gridCol w:w="452"/>
        <w:gridCol w:w="452"/>
        <w:gridCol w:w="452"/>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PACIFIC LIFECORP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7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James Burritt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James Burritt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3060"/>
                <wp:effectExtent l="0" t="0" r="0" b="0"/>
                <wp:wrapNone/>
                <wp:docPr id="87" name="Frame8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2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78"/>
        <w:gridCol w:w="578"/>
        <w:gridCol w:w="578"/>
        <w:gridCol w:w="744"/>
        <w:gridCol w:w="744"/>
        <w:gridCol w:w="744"/>
        <w:gridCol w:w="744"/>
        <w:gridCol w:w="744"/>
        <w:gridCol w:w="7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STATE OF WISCONSIN INVESTMENT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4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P Prestigiacomo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Christopher P Prestigiacomo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Head of Private Debt &amp; Venture Capital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3060"/>
                <wp:effectExtent l="0" t="0" r="0" b="0"/>
                <wp:wrapNone/>
                <wp:docPr id="88" name="Frame8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81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5"/>
        <w:gridCol w:w="785"/>
        <w:gridCol w:w="785"/>
        <w:gridCol w:w="785"/>
        <w:gridCol w:w="785"/>
        <w:gridCol w:w="785"/>
        <w:gridCol w:w="785"/>
        <w:gridCol w:w="785"/>
        <w:gridCol w:w="79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FCCI INSURANCE COMPANY </w:t>
              <w:br/>
              <w:t>GUIDEONE INSURANCE COMPANY</w:t>
              <w:br/>
              <w:t>HCC INTERNATIONAL INSURANCE COMPANY PLC</w:t>
              <w:br/>
              <w:t>HCC LIFE INSURANCE COMPANY</w:t>
              <w:br/>
              <w:t xml:space="preserve">NEW YORK MARINE AND GENERAL INSURANCE COMPANY </w:t>
              <w:br/>
              <w:t>UNITED FIRE &amp; CASUALTY COMPANY</w:t>
              <w:br/>
              <w:t xml:space="preserve">UNITED OHIO INSURANCE COMPANY </w:t>
              <w:br/>
              <w:t>UPLAND SPECIALTY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England Asset Management Inc.</w:t>
              <w:br/>
              <w:t>Its: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Tanner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Name:Robert Tanner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Private Placement Analyst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3060"/>
                <wp:effectExtent l="0" t="0" r="0" b="0"/>
                <wp:wrapNone/>
                <wp:docPr id="89" name="Frame8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0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2"/>
        <w:gridCol w:w="452"/>
        <w:gridCol w:w="452"/>
        <w:gridCol w:w="764"/>
        <w:gridCol w:w="764"/>
        <w:gridCol w:w="764"/>
        <w:gridCol w:w="764"/>
        <w:gridCol w:w="764"/>
        <w:gridCol w:w="79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MODERN WOODMEN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M. Cramer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Christopher M. Cramer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 of Investments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6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Aaron R. Birkland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Aaron R. Birkland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Sr. Portfolio Manager, Private Placements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3060"/>
                <wp:effectExtent l="0" t="0" r="0" b="0"/>
                <wp:wrapNone/>
                <wp:docPr id="90" name="Frame9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81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8"/>
        <w:gridCol w:w="788"/>
        <w:gridCol w:w="788"/>
        <w:gridCol w:w="788"/>
        <w:gridCol w:w="788"/>
        <w:gridCol w:w="788"/>
        <w:gridCol w:w="788"/>
        <w:gridCol w:w="788"/>
        <w:gridCol w:w="80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AMERICAN REPUBLIC INSURANCE COMPANY </w:t>
              <w:br/>
              <w:t>PINNACOL ASSURANCE</w:t>
              <w:br/>
              <w:t xml:space="preserve">SUTTON SPECIALTY INSURANCE COMPANY </w:t>
              <w:br/>
              <w:t>KENTUCKY EMPLOYERS' MUTUAL INSURANCE AUTHORITY</w:t>
              <w:br/>
              <w:t xml:space="preserve">PEKIN LIFE INSURANCE COMPANY </w:t>
              <w:br/>
              <w:t xml:space="preserve">PRIMERICA LIFE INSURANCE COMPANY </w:t>
              <w:br/>
              <w:t>RLI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Conning, Inc., as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Samuel Otchere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Name:Samuel Otchere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0" w:after="0"/>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3060"/>
                <wp:effectExtent l="0" t="0" r="0" b="0"/>
                <wp:wrapNone/>
                <wp:docPr id="91" name="Frame9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6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3"/>
        <w:gridCol w:w="633"/>
        <w:gridCol w:w="633"/>
        <w:gridCol w:w="633"/>
        <w:gridCol w:w="633"/>
        <w:gridCol w:w="633"/>
        <w:gridCol w:w="633"/>
        <w:gridCol w:w="633"/>
        <w:gridCol w:w="6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AMERICAN UNITED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8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Craig Lehman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Craig Lehman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VP, Fixed Income Securities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3060"/>
                <wp:effectExtent l="0" t="0" r="0" b="0"/>
                <wp:wrapNone/>
                <wp:docPr id="92" name="Frame9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897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44"/>
        <w:gridCol w:w="744"/>
        <w:gridCol w:w="744"/>
        <w:gridCol w:w="946"/>
        <w:gridCol w:w="946"/>
        <w:gridCol w:w="946"/>
        <w:gridCol w:w="946"/>
        <w:gridCol w:w="946"/>
        <w:gridCol w:w="9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AMERICAN FAMILY MUTUAL INSURANCE COMPANY, S.I.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American Family Investments, Inc., its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L. Voge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L. Voge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 Private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AMERICAN FAMILY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American Family Investments, Inc., its investment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L. Voge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L. Voge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 Private Markets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TextBody"/>
        <w:bidi w:val="0"/>
        <w:spacing w:before="0" w:after="0"/>
        <w:ind w:left="0" w:right="0" w:hanging="36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3060"/>
                <wp:effectExtent l="0" t="0" r="0" b="0"/>
                <wp:wrapNone/>
                <wp:docPr id="93" name="Frame9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4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9"/>
        <w:gridCol w:w="709"/>
        <w:gridCol w:w="709"/>
        <w:gridCol w:w="709"/>
        <w:gridCol w:w="709"/>
        <w:gridCol w:w="709"/>
        <w:gridCol w:w="709"/>
        <w:gridCol w:w="709"/>
        <w:gridCol w:w="71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CONNECTICUT GENERAL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Cigna Investments, Inc. (authorized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Jason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Jason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CIGNA HEALTH AND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Cigna Investments, Inc. (authorized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Jason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Jason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3060"/>
                <wp:effectExtent l="0" t="0" r="0" b="0"/>
                <wp:wrapNone/>
                <wp:docPr id="94" name="Frame9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6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0"/>
        <w:gridCol w:w="330"/>
        <w:gridCol w:w="330"/>
        <w:gridCol w:w="694"/>
        <w:gridCol w:w="694"/>
        <w:gridCol w:w="694"/>
        <w:gridCol w:w="694"/>
        <w:gridCol w:w="694"/>
        <w:gridCol w:w="7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KNIGHTS OF COLUMBUS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1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Deepak Devaraj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Deepak Devaraj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President &amp; Chief Investment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3060"/>
                <wp:effectExtent l="0" t="0" r="0" b="0"/>
                <wp:wrapNone/>
                <wp:docPr id="95" name="Frame9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6"/>
        <w:gridCol w:w="376"/>
        <w:gridCol w:w="376"/>
        <w:gridCol w:w="1387"/>
        <w:gridCol w:w="1347"/>
        <w:gridCol w:w="1317"/>
        <w:gridCol w:w="1317"/>
        <w:gridCol w:w="1317"/>
        <w:gridCol w:w="1346"/>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CUMIS INSURANCE SOCIETY, INC.</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80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MEMBERS Capital Advisors, Inc., (d/b/a TruStage Investment Management) acting as Investment Advisor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80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Stan J. Van Aartsen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Stan J. Van Aartsen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 Investments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3060"/>
                <wp:effectExtent l="0" t="0" r="0" b="0"/>
                <wp:wrapNone/>
                <wp:docPr id="96" name="Frame9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6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9"/>
        <w:gridCol w:w="729"/>
        <w:gridCol w:w="729"/>
        <w:gridCol w:w="729"/>
        <w:gridCol w:w="729"/>
        <w:gridCol w:w="729"/>
        <w:gridCol w:w="729"/>
        <w:gridCol w:w="729"/>
        <w:gridCol w:w="7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SOUTHERN FARM BUREAU LIFE INSURANCE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3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Bradley Blakney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Bradley Blakney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3060"/>
                <wp:effectExtent l="0" t="0" r="0" b="0"/>
                <wp:wrapNone/>
                <wp:docPr id="97" name="Frame9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4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1"/>
        <w:gridCol w:w="711"/>
        <w:gridCol w:w="711"/>
        <w:gridCol w:w="711"/>
        <w:gridCol w:w="711"/>
        <w:gridCol w:w="711"/>
        <w:gridCol w:w="711"/>
        <w:gridCol w:w="711"/>
        <w:gridCol w:w="7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AMERITAS LIFE INSURANCE CORP. a Nebraska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2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R. Gatliff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Michael R. Gatliff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Representative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3060"/>
                <wp:effectExtent l="0" t="0" r="0" b="0"/>
                <wp:wrapNone/>
                <wp:docPr id="98" name="Frame9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85"/>
        <w:gridCol w:w="485"/>
        <w:gridCol w:w="485"/>
        <w:gridCol w:w="2082"/>
        <w:gridCol w:w="2082"/>
        <w:gridCol w:w="2073"/>
        <w:gridCol w:w="485"/>
        <w:gridCol w:w="485"/>
        <w:gridCol w:w="49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MAG MUTUAL INSURANCE COMPANY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Metropolitan West Asset Management LLC, its Investment Advisor</w:t>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Keith Luna</w:t>
            </w:r>
          </w:p>
        </w:tc>
        <w:tc>
          <w:tcPr>
            <w:tcW w:w="14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Keith Luna</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3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3060"/>
                <wp:effectExtent l="0" t="0" r="0" b="0"/>
                <wp:wrapNone/>
                <wp:docPr id="99" name="Frame9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tbl>
      <w:tblPr>
        <w:tblW w:w="74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1"/>
        <w:gridCol w:w="711"/>
        <w:gridCol w:w="711"/>
        <w:gridCol w:w="711"/>
        <w:gridCol w:w="711"/>
        <w:gridCol w:w="711"/>
        <w:gridCol w:w="711"/>
        <w:gridCol w:w="711"/>
        <w:gridCol w:w="7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WOODMEN OF THE WORLD LIFE INSURANCE SOCIETY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Jacob Day</w:t>
            </w:r>
          </w:p>
        </w:tc>
        <w:tc>
          <w:tcPr>
            <w:tcW w:w="2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Jacob Day, CFA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VP &amp; CIO</w:t>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280" w:after="283"/>
        <w:ind w:left="0" w:right="0" w:hanging="36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3060"/>
                <wp:effectExtent l="0" t="0" r="0" b="0"/>
                <wp:wrapNone/>
                <wp:docPr id="100" name="Frame10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tbl>
      <w:tblPr>
        <w:tblW w:w="6866" w:type="dxa"/>
        <w:jc w:val="left"/>
        <w:tblInd w:w="0" w:type="dxa"/>
        <w:tblLayout w:type="fixed"/>
        <w:tblCellMar>
          <w:top w:w="28" w:type="dxa"/>
          <w:left w:w="28" w:type="dxa"/>
          <w:bottom w:w="28" w:type="dxa"/>
          <w:right w:w="28" w:type="dxa"/>
        </w:tblCellMar>
      </w:tblPr>
      <w:tblGrid>
        <w:gridCol w:w="1017"/>
        <w:gridCol w:w="892"/>
        <w:gridCol w:w="895"/>
        <w:gridCol w:w="109"/>
        <w:gridCol w:w="109"/>
        <w:gridCol w:w="109"/>
        <w:gridCol w:w="1094"/>
        <w:gridCol w:w="1094"/>
        <w:gridCol w:w="1547"/>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NOTE PURCHASE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3060"/>
                <wp:effectExtent l="0" t="0" r="0" b="0"/>
                <wp:wrapNone/>
                <wp:docPr id="101" name="Frame10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Note Purchase Agreement]</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DEFINED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the following terms have the respective meanings set forth below or set forth in the Section hereof following such term:</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Acceptable Rating Agency”</w:t>
      </w:r>
      <w:r>
        <w:rPr>
          <w:color w:val="000000"/>
        </w:rPr>
        <w:t xml:space="preserve"> </w:t>
      </w:r>
      <w:r>
        <w:rPr>
          <w:rFonts w:ascii="Times New Roman;serif" w:hAnsi="Times New Roman;serif"/>
          <w:b w:val="false"/>
          <w:color w:val="000000"/>
          <w:sz w:val="24"/>
        </w:rPr>
        <w:t>means (a) DBRS, Fitch, KBRA, Moody’s or S&amp;P, or (b) any other credit rating agency, other than Egan-Jones Rating Company and its successors, that is recognized as a nationally recognized statistical rating organization by the SEC and approved by the Required Holders, so long as, in each case, any such credit rating agency described in clause (a) or (b) above continues to be a nationally recognized statistical rating organization recognized by the SEC and is approved as a “Credit Rating Provider” (or other similar designation) by the NAIC.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Acquisition</w:t>
      </w:r>
      <w:r>
        <w:rPr>
          <w:color w:val="000000"/>
        </w:rPr>
        <w:t xml:space="preserve">” </w:t>
      </w:r>
      <w:r>
        <w:rPr>
          <w:rFonts w:ascii="Times New Roman;serif" w:hAnsi="Times New Roman;serif"/>
          <w:b w:val="false"/>
          <w:color w:val="000000"/>
          <w:sz w:val="24"/>
        </w:rPr>
        <w:t xml:space="preserve">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Note Party or a Subsidiary is the surviving entity (in accordance with Section 10.2, as applicable).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Acquisition Debt</w:t>
      </w:r>
      <w:r>
        <w:rPr>
          <w:color w:val="000000"/>
        </w:rPr>
        <w:t xml:space="preserve">” </w:t>
      </w:r>
      <w:r>
        <w:rPr>
          <w:rFonts w:ascii="Times New Roman;serif" w:hAnsi="Times New Roman;serif"/>
          <w:b w:val="false"/>
          <w:color w:val="000000"/>
          <w:sz w:val="24"/>
        </w:rPr>
        <w:t xml:space="preserve">means any Indebtedness of the Company or any of its Subsidiaries that has been issued or incurred for the purpose of financing, in whole or in part, a Permitted Acquisition and any related transactions or series of related transactions; </w:t>
      </w:r>
      <w:r>
        <w:rPr>
          <w:rFonts w:ascii="Times New Roman;serif" w:hAnsi="Times New Roman;serif"/>
          <w:b w:val="false"/>
          <w:i/>
          <w:color w:val="000000"/>
          <w:sz w:val="24"/>
        </w:rPr>
        <w:t>provided that</w:t>
      </w:r>
      <w:r>
        <w:rPr>
          <w:rFonts w:ascii="Times New Roman;serif" w:hAnsi="Times New Roman;serif"/>
          <w:b w:val="false"/>
          <w:color w:val="000000"/>
          <w:sz w:val="24"/>
        </w:rPr>
        <w:t>, (x) the release of the proceeds thereof to the Company and its Subsidiaries is contingent upon the consummation of such Permitted Acquisition and, pending such release, such proceeds are held in escrow (and, if the definitive agreement (or, in the case of a tender offer or similar transaction, the definitive offer document) for such acquisition is terminated prior to the consummation of such Permitted Acquisition or if such Permitted Acquisition is otherwise not consummated by the date specified in the definitive documentation relating to such Indebtedness, such proceeds shall be promptly applied to satisfy and discharge all obligations of the Company and its Subsidiaries in respect of such Indebtedness) or (y) such Indebtedness is subject to special mandatory redemption or prepayment in the event such Permitted Acquisition is not consummated.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Additional Note Purchase Agreement</w:t>
      </w:r>
      <w:r>
        <w:rPr>
          <w:color w:val="000000"/>
        </w:rPr>
        <w:t xml:space="preserve">” </w:t>
      </w:r>
      <w:r>
        <w:rPr>
          <w:rFonts w:ascii="Times New Roman;serif" w:hAnsi="Times New Roman;serif"/>
          <w:b w:val="false"/>
          <w:color w:val="000000"/>
          <w:sz w:val="24"/>
        </w:rPr>
        <w:t>means any note purchase agreement entered into on or after the Execution Date pursuant to which one or more investors purchase unsecured notes issued by the Company and/or one or more of its Subsidiaries in respect of which the Notes rank at least pari passu.</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Additional Senior Notes</w:t>
      </w:r>
      <w:r>
        <w:rPr>
          <w:color w:val="000000"/>
        </w:rPr>
        <w:t xml:space="preserve">” </w:t>
      </w:r>
      <w:r>
        <w:rPr>
          <w:rFonts w:ascii="Times New Roman;serif" w:hAnsi="Times New Roman;serif"/>
          <w:b w:val="false"/>
          <w:color w:val="000000"/>
          <w:sz w:val="24"/>
        </w:rPr>
        <w:t>means any note issued pursuant to an Additional Note Purchase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 xml:space="preserve">means, at any time, and with respect to any Person, any other Person that at such time directly or indirectly through one or more intermediaries Controls, or is Controlled by,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5600"/>
                <wp:effectExtent l="0" t="0" r="0" b="0"/>
                <wp:wrapNone/>
                <wp:docPr id="102" name="Frame102"/>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r>
                            <w:r>
                              <w:br w:type="page"/>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means this Note Purchase Agreement, including all Schedules attached to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Anti-Corruption Laws” </w:t>
      </w:r>
      <w:r>
        <w:rPr>
          <w:rFonts w:ascii="Times New Roman;serif" w:hAnsi="Times New Roman;serif"/>
          <w:b w:val="false"/>
          <w:color w:val="000000"/>
          <w:sz w:val="24"/>
        </w:rPr>
        <w:t>means any law or regulation in a U.S. or any non-U.S. jurisdiction regarding bribery or any other corrupt activity, including the U.S. Foreign Corrupt Practices Act of 1977 and the U.K. Bribery Act 2010.</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Anti-Money Laundering Laws”</w:t>
      </w:r>
      <w:r>
        <w:rPr>
          <w:color w:val="000000"/>
        </w:rPr>
        <w:t xml:space="preserve"> </w:t>
      </w:r>
      <w:r>
        <w:rPr>
          <w:rFonts w:ascii="Times New Roman;serif" w:hAnsi="Times New Roman;serif"/>
          <w:b w:val="false"/>
          <w:color w:val="000000"/>
          <w:sz w:val="24"/>
        </w:rPr>
        <w:t>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Applicable Interest Rate”</w:t>
      </w:r>
      <w:r>
        <w:rPr>
          <w:color w:val="000000"/>
        </w:rPr>
        <w:t xml:space="preserve"> </w:t>
      </w:r>
      <w:r>
        <w:rPr>
          <w:rFonts w:ascii="Times New Roman;serif" w:hAnsi="Times New Roman;serif"/>
          <w:b w:val="false"/>
          <w:color w:val="000000"/>
          <w:sz w:val="24"/>
        </w:rPr>
        <w:t>is defined in Section 1.2.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Blocked Person”</w:t>
      </w:r>
      <w:r>
        <w:rPr>
          <w:color w:val="000000"/>
        </w:rPr>
        <w:t xml:space="preserve"> </w:t>
      </w:r>
      <w:r>
        <w:rPr>
          <w:rFonts w:ascii="Times New Roman;serif" w:hAnsi="Times New Roman;serif"/>
          <w:b w:val="false"/>
          <w:color w:val="000000"/>
          <w:sz w:val="24"/>
        </w:rPr>
        <w:t>means (a) a Person whose name appears on the list of Specially Designated Nationals and Blocked Persons published by OFAC, (b) a Person, entity, organization, country or regime that is blocked or a target of comprehensive sanctions that have been imposed under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Milwaukee, Wisconsin are required or authorized to be closed.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Capital Lease”</w:t>
      </w:r>
      <w:r>
        <w:rPr>
          <w:color w:val="000000"/>
        </w:rPr>
        <w:t xml:space="preserve"> </w:t>
      </w:r>
      <w:r>
        <w:rPr>
          <w:rFonts w:ascii="Times New Roman;serif" w:hAnsi="Times New Roman;serif"/>
          <w:b w:val="false"/>
          <w:color w:val="000000"/>
          <w:sz w:val="24"/>
        </w:rPr>
        <w:t>means, at any time, a lease with respect to which the lessee is required concurrently to recognize the acquisition of an asset and the incurrence of a liability in accordance with GAAP.</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Capital Stock</w:t>
      </w:r>
      <w:r>
        <w:rPr>
          <w:color w:val="000000"/>
        </w:rPr>
        <w:t xml:space="preserve">” </w:t>
      </w:r>
      <w:r>
        <w:rPr>
          <w:rFonts w:ascii="Times New Roman;serif" w:hAnsi="Times New Roman;serif"/>
          <w:b w:val="false"/>
          <w:color w:val="000000"/>
          <w:sz w:val="24"/>
        </w:rPr>
        <w:t>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7800"/>
                <wp:effectExtent l="0" t="0" r="0" b="0"/>
                <wp:wrapNone/>
                <wp:docPr id="103" name="Frame10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Cash Equivalents”</w:t>
      </w:r>
      <w:r>
        <w:rPr>
          <w:color w:val="000000"/>
        </w:rPr>
        <w:t xml:space="preserve"> </w:t>
      </w:r>
      <w:r>
        <w:rPr>
          <w:rFonts w:ascii="Times New Roman;serif" w:hAnsi="Times New Roman;serif"/>
          <w:b w:val="false"/>
          <w:color w:val="000000"/>
          <w:sz w:val="24"/>
        </w:rPr>
        <w:t>means, as at any date, (a) treasury bills, treasury cash management bills and other securities issued or directly and fully guaranteed or insured by the United States or any agency or instrumentality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full faith and credit of the United States is pledged in support thereof) having maturities of not more than twelve months from the date of acquisition, (b) bank deposits, time deposits, certificates of deposit and bankers acceptances, in each case of any commercial bank of recognized standing having capital and surplus in excess of $100,000,000 (each, an </w:t>
      </w:r>
      <w:r>
        <w:rPr>
          <w:color w:val="000000"/>
        </w:rPr>
        <w:t>“</w:t>
      </w:r>
      <w:r>
        <w:rPr>
          <w:rFonts w:ascii="Times New Roman;serif" w:hAnsi="Times New Roman;serif"/>
          <w:b/>
          <w:color w:val="000000"/>
          <w:sz w:val="24"/>
        </w:rPr>
        <w:t>Approved Lender”</w:t>
      </w:r>
      <w:r>
        <w:rPr>
          <w:rFonts w:ascii="Times New Roman;serif" w:hAnsi="Times New Roman;serif"/>
          <w:b w:val="false"/>
          <w:color w:val="000000"/>
          <w:sz w:val="24"/>
        </w:rPr>
        <w:t xml:space="preserve">),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is defined in Section 8.8(f).</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Change of Control Prepayment Date”</w:t>
      </w:r>
      <w:r>
        <w:rPr>
          <w:color w:val="000000"/>
        </w:rPr>
        <w:t xml:space="preserve"> </w:t>
      </w:r>
      <w:r>
        <w:rPr>
          <w:rFonts w:ascii="Times New Roman;serif" w:hAnsi="Times New Roman;serif"/>
          <w:b w:val="false"/>
          <w:color w:val="000000"/>
          <w:sz w:val="24"/>
        </w:rPr>
        <w:t>is defined in Section 8.8(b).</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Closing”</w:t>
      </w:r>
      <w:r>
        <w:rPr>
          <w:color w:val="000000"/>
        </w:rPr>
        <w:t xml:space="preserve"> </w:t>
      </w:r>
      <w:r>
        <w:rPr>
          <w:rFonts w:ascii="Times New Roman;serif" w:hAnsi="Times New Roman;serif"/>
          <w:b w:val="false"/>
          <w:color w:val="000000"/>
          <w:sz w:val="24"/>
        </w:rPr>
        <w:t>is defined in Section 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and the rules and regulations promulgated thereunder from time to time.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is defined in the first paragraph of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Computation Period”</w:t>
      </w:r>
      <w:r>
        <w:rPr>
          <w:color w:val="000000"/>
        </w:rPr>
        <w:t xml:space="preserve"> </w:t>
      </w:r>
      <w:r>
        <w:rPr>
          <w:rFonts w:ascii="Times New Roman;serif" w:hAnsi="Times New Roman;serif"/>
          <w:b w:val="false"/>
          <w:color w:val="000000"/>
          <w:sz w:val="24"/>
        </w:rPr>
        <w:t>means each period of four consecutive Fiscal Quarters ending on the last day of a Fiscal Quarter.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is defined in Section 20.</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EBITDA”</w:t>
      </w:r>
      <w:r>
        <w:rPr>
          <w:color w:val="000000"/>
        </w:rPr>
        <w:t xml:space="preserve"> </w:t>
      </w:r>
      <w:r>
        <w:rPr>
          <w:rFonts w:ascii="Times New Roman;serif" w:hAnsi="Times New Roman;serif"/>
          <w:b w:val="false"/>
          <w:color w:val="000000"/>
          <w:sz w:val="24"/>
        </w:rPr>
        <w:t xml:space="preserve">means, for any period, Consolidated Net Income for such period </w:t>
      </w:r>
      <w:r>
        <w:rPr>
          <w:rFonts w:ascii="Times New Roman;serif" w:hAnsi="Times New Roman;serif"/>
          <w:b w:val="false"/>
          <w:i/>
          <w:color w:val="000000"/>
          <w:sz w:val="24"/>
        </w:rPr>
        <w:t>plus</w:t>
      </w:r>
      <w:r>
        <w:rPr>
          <w:rFonts w:ascii="Times New Roman;serif" w:hAnsi="Times New Roman;serif"/>
          <w:b w:val="false"/>
          <w:color w:val="000000"/>
          <w:sz w:val="24"/>
        </w:rPr>
        <w:t xml:space="preserve">, (a) to the extent deducted in computing such Consolidated Net Income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7800"/>
                <wp:effectExtent l="0" t="0" r="0" b="0"/>
                <wp:wrapNone/>
                <wp:docPr id="104" name="Frame10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duplication, (i) depreciation and amortization expense for such period, (ii) Consolidated Interest Expense for such period, (iii) income tax expense for such period, (iv) (A) any unusual or non-recurring expenses or losses and (B) whether or not otherwise includable as a separate item in the statement of Consolidated Net Income for such period, losses on the sales or other dispositions of assets outside the ordinary course of business and after-tax losses (less all fees and expenses or charges related thereto) attributable to the early extinguishment of debt, swaps or other derivative instruments, (v) any other non-cash items for such period (excluding any write-down of current assets and any such non-cash charges to the extent that such charge represents an accrual of or reserve for a future cash payment), (vi) (A) the amount of business optimization expenses and other restructuring charges (which, for the avoidance of doubt, shall include the effect of inventory optimization programs, plant closure, retention, severance, systems establishment costs and excess pension charges), (B) integration costs in connection with the PSS Acquisition not exceeding the midpoint of the range of such costs identified in the report of PwC US Business Advisory, LLP dated as of March 25, 2026, and (C) additional one-time integration costs not exceeding $10,000,000 in the aggregate for all periods, (vii) the amount of cost savings, operating expense reductions and cost synergies (in each case, net of continued associated expenses) relating to the Transactions and any other acquisitions, investments, dispositions, divestitures, restructurings, cost savings initiatives, discontinued operations, operational changes, business expansions or other transactions or initiatives, in each case, that are reasonably identifiable and projected by the Company in good faith to result from actions taken or initiated or are expected to be taken (in the good faith determination of the Company) no later than 24 months after the consummation of such transaction or initiative in the case of the Transactions or 12 months after the consummation of such other transaction or initiative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provided, that such cost savings, operating expense reductions and cost synergies have been reasonably detailed in the applicable certificate pursuant to Section 7.2, (viii) any net unrealized losses resulting from currency translation losses related to currency re-measurements of Indebtedness (including any net loss resulting from Hedging Agreements for currency exchange risk) and any unrealized foreign currency translation losses, (ix) any unrealized mark-to-market losses on Hedging Agreements, (x) the (A) Transaction Costs and (B) other costs, fees, expenses, premiums, make-whole amounts, penalty payments and other similar items in connection with (including, for the avoidance of doubt, any such transaction that is proposed but not consummated) (1) any issuance of Indebtedness permitted hereunder, the amendment, amendment and restatement, refinancing, retirement or repayment of any Indebtedness or any issuance or redemption of equity, (2) any Permitted Acquisitions, (3) any dispositions permitted hereunder and (4) any Investments permitted hereunder, provided, that the aggregate amount of add-backs made pursuant to this clause (a)(x)(B) in connection with any such transactions that are not consummated shall not exceed $7,500,000 for any period, (xi) the costs, fees, expenses, premiums, make-whole amounts, penalty payments, awards, settlement payments and similar amounts arising out of or in connection with any litigation, arbitration and/or other resolutions of legal disputes, (xii) effects of purchase accounting adjustments in amounts required or permitted under GAAP, resulting from the application of purchase accounting or amortization or write-off of any amounts thereof (including any increased expense or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7800"/>
                <wp:effectExtent l="0" t="0" r="0" b="0"/>
                <wp:wrapNone/>
                <wp:docPr id="105" name="Frame10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depreciation or amortization charges resulting from purchase accounting adjustments or inventory write-ups with respect to acquisitions and amortization charges or write-offs of deferred financing costs and debt issuance costs), net of taxes, (xiii) costs, expenses, charges and losses with respect to liability or casualty and condemnation events, takings under power of eminent domain and similar events or business interruption, in each case to the extent covered by insurance and actually reimbursed or with respect to which the Company has made a determination that there exists reasonable evidence that such amount will in fact be reimbursed by the insurer, and only to the extent that such amount is (A) not denied by the applicable carrier in writing within 180 days (with a deduction for any amount so added back and then denied within such 180-day period) and (B) in fact reimbursed within 365 days of the date of such evidence (with a deduction for any amount so added back to the extent not so reimbursed within 365 days), minus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Indebtedness (including any net gain resulting from Hedging Agreements for currency exchange risk) and any unrealized foreign currency translation gains, (iv) any unrealized mark-to-market gains on Hedging Agreements, all as determined in accordance with GAAP, (v) any amounts added back pursuant to clause (a)(xiii) in a prior period for which insurance claims were denied by the applicable carrier within 180 days or for which such amounts were not actually reimbursed within 365 days, and (vi) any cash payments made during such period in respect of the non-cash items described in any of clauses (a)(i) through (a)(xiii) above subsequent to the fiscal quarter in which the relevant non-cash charges, expenses or losses were incurred.</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aggregate amount of add-backs made pursuant to clauses (a)(iv)(A), (a)(vi)(A), (a)(vii) and (a)(xi) for any period shall not exceed 20% of Consolidated EBITDA for such period (determined prior to giving effect to such add-backs).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Funded Debt”</w:t>
      </w:r>
      <w:r>
        <w:rPr>
          <w:color w:val="000000"/>
        </w:rPr>
        <w:t xml:space="preserve"> </w:t>
      </w:r>
      <w:r>
        <w:rPr>
          <w:rFonts w:ascii="Times New Roman;serif" w:hAnsi="Times New Roman;serif"/>
          <w:b w:val="false"/>
          <w:color w:val="000000"/>
          <w:sz w:val="24"/>
        </w:rPr>
        <w:t xml:space="preserve">means, without duplication and on a consolidated basis, all Indebtedness of the Company and its Subsidiaries, excluding (i) contingent obligations in respect of undrawn letters of credit, bank guarantees and banker’s acceptances and Suretyship Liabilities in respect of obligations not constituting Indebtedness, (ii) net obligations under Hedging Agreements, (iii) Securitization Obligations to the extent such obligations would not be required to be included on the consolidated balance sheet of the Company in accordance with GAAP, (iv) obligations to pay the deferred purchase price of services, and (v) obligations in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7800"/>
                <wp:effectExtent l="0" t="0" r="0" b="0"/>
                <wp:wrapNone/>
                <wp:docPr id="106" name="Frame10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respect of letters of credit that are Cash Collateralized (as defined in the Primary Credit Agreement as of the Execution Date).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Interest Coverage Ratio”</w:t>
      </w:r>
      <w:r>
        <w:rPr>
          <w:color w:val="000000"/>
        </w:rPr>
        <w:t xml:space="preserve"> </w:t>
      </w:r>
      <w:r>
        <w:rPr>
          <w:rFonts w:ascii="Times New Roman;serif" w:hAnsi="Times New Roman;serif"/>
          <w:b w:val="false"/>
          <w:color w:val="000000"/>
          <w:sz w:val="24"/>
        </w:rPr>
        <w:t>means, for any Computation Period, the ratio of (a) Consolidated EBITDA for such Computation Period to (b) Consolidated Interest Expense for such Computation Period.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Interest Expense”</w:t>
      </w:r>
      <w:r>
        <w:rPr>
          <w:color w:val="000000"/>
        </w:rPr>
        <w:t xml:space="preserve"> </w:t>
      </w:r>
      <w:r>
        <w:rPr>
          <w:rFonts w:ascii="Times New Roman;serif" w:hAnsi="Times New Roman;serif"/>
          <w:b w:val="false"/>
          <w:color w:val="000000"/>
          <w:sz w:val="24"/>
        </w:rPr>
        <w:t>means, for any Computation Period, the consolidated interest expense of the Company and its Subsidiaries for such Computation Period, as determined in accordance with GAAP.</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Net Income”</w:t>
      </w:r>
      <w:r>
        <w:rPr>
          <w:color w:val="000000"/>
        </w:rPr>
        <w:t xml:space="preserve"> </w:t>
      </w:r>
      <w:r>
        <w:rPr>
          <w:rFonts w:ascii="Times New Roman;serif" w:hAnsi="Times New Roman;serif"/>
          <w:b w:val="false"/>
          <w:color w:val="000000"/>
          <w:sz w:val="24"/>
        </w:rPr>
        <w:t>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Consolidated Net Leverage Ratio”</w:t>
      </w:r>
      <w:r>
        <w:rPr>
          <w:color w:val="000000"/>
        </w:rPr>
        <w:t xml:space="preserve"> </w:t>
      </w:r>
      <w:r>
        <w:rPr>
          <w:rFonts w:ascii="Times New Roman;serif" w:hAnsi="Times New Roman;serif"/>
          <w:b w:val="false"/>
          <w:color w:val="000000"/>
          <w:sz w:val="24"/>
        </w:rPr>
        <w:t xml:space="preserve">means, for any Computation Period, the ratio of (a) the difference of (i) Consolidated Funded Debt as of the last day of such Computation Period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(ii) Specified Cash as of the last day of such Computation Period to (b) Consolidated EBITDA for such Computation Period.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 xml:space="preserve">means the possession, directly or indirectly, of the power to direct or cause the direction of the management and policies of a Person, whether through the ownership of voting securities, by contract or otherwise; and the terms </w:t>
      </w:r>
      <w:r>
        <w:rPr>
          <w:color w:val="000000"/>
        </w:rPr>
        <w:t>“</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shall have meanings correlative to the foregoing.</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Controlled Entity”</w:t>
      </w:r>
      <w:r>
        <w:rPr>
          <w:color w:val="000000"/>
        </w:rPr>
        <w:t xml:space="preserve"> </w:t>
      </w:r>
      <w:r>
        <w:rPr>
          <w:rFonts w:ascii="Times New Roman;serif" w:hAnsi="Times New Roman;serif"/>
          <w:b w:val="false"/>
          <w:color w:val="000000"/>
          <w:sz w:val="24"/>
        </w:rPr>
        <w:t>means (a) any of the Subsidiaries of the Company and any of their or the Company’s respective Controlled Affiliates and (b) if the Company has a parent company, such parent company and its Controlled Affiliates.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Controlled Group</w:t>
      </w:r>
      <w:r>
        <w:rPr>
          <w:color w:val="000000"/>
        </w:rPr>
        <w:t xml:space="preserve">” </w:t>
      </w:r>
      <w:r>
        <w:rPr>
          <w:rFonts w:ascii="Times New Roman;serif" w:hAnsi="Times New Roman;serif"/>
          <w:b w:val="false"/>
          <w:color w:val="000000"/>
          <w:sz w:val="24"/>
        </w:rPr>
        <w:t>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DBRS”</w:t>
      </w:r>
      <w:r>
        <w:rPr>
          <w:color w:val="000000"/>
        </w:rPr>
        <w:t xml:space="preserve"> </w:t>
      </w:r>
      <w:r>
        <w:rPr>
          <w:rFonts w:ascii="Times New Roman;serif" w:hAnsi="Times New Roman;serif"/>
          <w:b w:val="false"/>
          <w:color w:val="000000"/>
          <w:sz w:val="24"/>
        </w:rPr>
        <w:t xml:space="preserve">means DBRS, Inc., or any successor to the rating agency business thereof.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Debt Rating”</w:t>
      </w:r>
      <w:r>
        <w:rPr>
          <w:color w:val="000000"/>
        </w:rPr>
        <w:t xml:space="preserve"> </w:t>
      </w:r>
      <w:r>
        <w:rPr>
          <w:rFonts w:ascii="Times New Roman;serif" w:hAnsi="Times New Roman;serif"/>
          <w:b w:val="false"/>
          <w:color w:val="000000"/>
          <w:sz w:val="24"/>
        </w:rPr>
        <w:t>means the debt rating of the Notes, which rating shall specifically describe each Series of Notes, including their interest rate, maturity and Private Placement Number, as determined from time to time by any Acceptable Rating Agency.</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7800"/>
                <wp:effectExtent l="0" t="0" r="0" b="0"/>
                <wp:wrapNone/>
                <wp:docPr id="107" name="Frame10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Default”</w:t>
      </w:r>
      <w:r>
        <w:rPr>
          <w:color w:val="000000"/>
        </w:rPr>
        <w:t xml:space="preserve"> </w:t>
      </w:r>
      <w:r>
        <w:rPr>
          <w:rFonts w:ascii="Times New Roman;serif" w:hAnsi="Times New Roman;serif"/>
          <w:b w:val="false"/>
          <w:color w:val="000000"/>
          <w:sz w:val="24"/>
        </w:rPr>
        <w:t>means an event or condition the occurrence or existence of which would, with the lapse of time or the giving of notice or both, become an Event of Default.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Default Rate”</w:t>
      </w:r>
      <w:r>
        <w:rPr>
          <w:color w:val="000000"/>
        </w:rPr>
        <w:t xml:space="preserve"> </w:t>
      </w:r>
      <w:r>
        <w:rPr>
          <w:rFonts w:ascii="Times New Roman;serif" w:hAnsi="Times New Roman;serif"/>
          <w:b w:val="false"/>
          <w:color w:val="000000"/>
          <w:sz w:val="24"/>
        </w:rPr>
        <w:t>means, with respect to any Series of Notes, that rate of interest per annum that is the greater of (a) 2.00% above the rate of interest stated in clause (a) of the first paragraph of the Notes of such Series or (b) 2.00% over the rate of interest publicly announced by BMO Bank N.A. in New York, New York as its “base” or “prime” rate.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Delaware LLC”</w:t>
      </w:r>
      <w:r>
        <w:rPr>
          <w:color w:val="000000"/>
        </w:rPr>
        <w:t xml:space="preserve"> </w:t>
      </w:r>
      <w:r>
        <w:rPr>
          <w:rFonts w:ascii="Times New Roman;serif" w:hAnsi="Times New Roman;serif"/>
          <w:b w:val="false"/>
          <w:color w:val="000000"/>
          <w:sz w:val="24"/>
        </w:rPr>
        <w:t>means any limited liability company organized or formed under the laws of the State of Delaware.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Delaware LLC Division”</w:t>
      </w:r>
      <w:r>
        <w:rPr>
          <w:color w:val="000000"/>
        </w:rPr>
        <w:t xml:space="preserve"> </w:t>
      </w:r>
      <w:r>
        <w:rPr>
          <w:rFonts w:ascii="Times New Roman;serif" w:hAnsi="Times New Roman;serif"/>
          <w:b w:val="false"/>
          <w:color w:val="000000"/>
          <w:sz w:val="24"/>
        </w:rPr>
        <w:t>means the statutory division of any Delaware LLC into two or more Delaware LLCs pursuant to Section 18-217 of the Delaware Limited Liability Company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Designated Borrower”</w:t>
      </w:r>
      <w:r>
        <w:rPr>
          <w:color w:val="000000"/>
        </w:rPr>
        <w:t xml:space="preserve"> </w:t>
      </w:r>
      <w:r>
        <w:rPr>
          <w:rFonts w:ascii="Times New Roman;serif" w:hAnsi="Times New Roman;serif"/>
          <w:b w:val="false"/>
          <w:color w:val="000000"/>
          <w:sz w:val="24"/>
        </w:rPr>
        <w:t xml:space="preserve">means any Wholly-Owned Subsidiary of the Company that is not an Excluded Subsidiary that is or becomes a “Designated Borrower” under the Primary Credit Agreement pursuant to Section 2.14 thereof as in effect on the date of this Agreement.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Disclosure Documents”</w:t>
      </w:r>
      <w:r>
        <w:rPr>
          <w:color w:val="000000"/>
        </w:rPr>
        <w:t xml:space="preserve"> </w:t>
      </w:r>
      <w:r>
        <w:rPr>
          <w:rFonts w:ascii="Times New Roman;serif" w:hAnsi="Times New Roman;serif"/>
          <w:b w:val="false"/>
          <w:color w:val="000000"/>
          <w:sz w:val="24"/>
        </w:rPr>
        <w:t>is defined in Section 5.3.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Discounted Value”</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Domestic Subsidiary”</w:t>
      </w:r>
      <w:r>
        <w:rPr>
          <w:color w:val="000000"/>
        </w:rPr>
        <w:t xml:space="preserve"> </w:t>
      </w:r>
      <w:r>
        <w:rPr>
          <w:rFonts w:ascii="Times New Roman;serif" w:hAnsi="Times New Roman;serif"/>
          <w:b w:val="false"/>
          <w:color w:val="000000"/>
          <w:sz w:val="24"/>
        </w:rPr>
        <w:t>means any Subsidiary that is organized under the laws of any state of the United States or the District of Columbia.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EDGAR”</w:t>
      </w:r>
      <w:r>
        <w:rPr>
          <w:color w:val="000000"/>
        </w:rPr>
        <w:t xml:space="preserve"> </w:t>
      </w:r>
      <w:r>
        <w:rPr>
          <w:rFonts w:ascii="Times New Roman;serif" w:hAnsi="Times New Roman;serif"/>
          <w:b w:val="false"/>
          <w:color w:val="000000"/>
          <w:sz w:val="24"/>
        </w:rPr>
        <w:t>means the SEC’s Electronic Data Gathering, Analysis and Retrieval System or any successor SEC electronic filing system for such purposes.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Economic Sanctions Laws”</w:t>
      </w:r>
      <w:r>
        <w:rPr>
          <w:color w:val="000000"/>
        </w:rPr>
        <w:t xml:space="preserve"> </w:t>
      </w:r>
      <w:r>
        <w:rPr>
          <w:rFonts w:ascii="Times New Roman;serif" w:hAnsi="Times New Roman;serif"/>
          <w:b w:val="false"/>
          <w:color w:val="000000"/>
          <w:sz w:val="24"/>
        </w:rPr>
        <w:t>means U.S. Economic Sanctions Laws and similar laws under the laws of the United Nations, the European Union or the United Kingdom.</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Environmental Claims</w:t>
      </w:r>
      <w:r>
        <w:rPr>
          <w:color w:val="000000"/>
        </w:rPr>
        <w:t xml:space="preserve">” </w:t>
      </w:r>
      <w:r>
        <w:rPr>
          <w:rFonts w:ascii="Times New Roman;serif" w:hAnsi="Times New Roman;serif"/>
          <w:b w:val="false"/>
          <w:color w:val="000000"/>
          <w:sz w:val="24"/>
        </w:rPr>
        <w:t>means all claims, however asserted, by any Governmental Authority or other Person alleging potential liability or responsibility for violation of any Environmental Law, or for release of Hazardous Materials or injury to the environment.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 and the rules and regulations promulgated thereunder from time to time in effect.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is defined in Section 11.</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7800"/>
                <wp:effectExtent l="0" t="0" r="0" b="0"/>
                <wp:wrapNone/>
                <wp:docPr id="108" name="Frame10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Excluded Subsidiary”</w:t>
      </w:r>
      <w:r>
        <w:rPr>
          <w:color w:val="000000"/>
        </w:rPr>
        <w:t xml:space="preserve"> </w:t>
      </w:r>
      <w:r>
        <w:rPr>
          <w:rFonts w:ascii="Times New Roman;serif" w:hAnsi="Times New Roman;serif"/>
          <w:b w:val="false"/>
          <w:color w:val="000000"/>
          <w:sz w:val="24"/>
        </w:rPr>
        <w:t>means (i) each Subsidiary that is a captive insurance company, (ii) each Securitization Subsidiary, (iii) each not-for-profit Subsidiary, (iv) any Subsidiary prohibited by law from becoming a Subsidiary Guarantor, (v) each Subsidiary that is not a Wholly-Owned Subsidiary (for so long as such Subsidiary remains a non-Wholly-Owned Subsidiary), and (vi) each Immaterial Subsidiary.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Execution Date</w:t>
      </w:r>
      <w:r>
        <w:rPr>
          <w:color w:val="000000"/>
        </w:rPr>
        <w:t xml:space="preserve">” </w:t>
      </w:r>
      <w:r>
        <w:rPr>
          <w:rFonts w:ascii="Times New Roman;serif" w:hAnsi="Times New Roman;serif"/>
          <w:b w:val="false"/>
          <w:color w:val="000000"/>
          <w:sz w:val="24"/>
        </w:rPr>
        <w:t>is defined in Section 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Existing Credit Agreement”</w:t>
      </w:r>
      <w:r>
        <w:rPr>
          <w:color w:val="000000"/>
        </w:rPr>
        <w:t xml:space="preserve"> </w:t>
      </w:r>
      <w:r>
        <w:rPr>
          <w:rFonts w:ascii="Times New Roman;serif" w:hAnsi="Times New Roman;serif"/>
          <w:b w:val="false"/>
          <w:color w:val="000000"/>
          <w:sz w:val="24"/>
        </w:rPr>
        <w:t>means the Credit Agreement dated as of August 1, 2019, as amended, restated, amended and restated, supplemented or otherwise modified from time to time prior to June 12, 2026, among the Company, the other borrowers party thereto from time to time, the guarantors party thereto from time to time, the various financial institutions party thereto as lenders from time to time and BMO Bank N.A., as administrative agent.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FATCA”</w:t>
      </w:r>
      <w:r>
        <w:rPr>
          <w:color w:val="000000"/>
        </w:rPr>
        <w:t xml:space="preserve"> </w:t>
      </w:r>
      <w:r>
        <w:rPr>
          <w:rFonts w:ascii="Times New Roman;serif" w:hAnsi="Times New Roman;serif"/>
          <w:b w:val="false"/>
          <w:color w:val="000000"/>
          <w:sz w:val="24"/>
        </w:rPr>
        <w:t>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Financial Covenant” </w:t>
      </w:r>
      <w:r>
        <w:rPr>
          <w:rFonts w:ascii="Times New Roman;serif" w:hAnsi="Times New Roman;serif"/>
          <w:b w:val="false"/>
          <w:color w:val="000000"/>
          <w:sz w:val="24"/>
        </w:rPr>
        <w:t>means any covenant (whether set forth as a covenant, undertaking, prepayment, event of default or restriction) that requires the Company or any Subsidiary to (a) maintain a specified level of net worth, shareholders’ equity, total assets, cash flow or net income, (b) maintain any relationship of any component of its capital structure to any other component thereof (including without limitation, the relationship of indebtedness to total capitalization or to net worth) or (c) maintain a measure of its ability to service its indebtedness determined by reference any specified ratio, including, without limitation, a ratio of revenues, cash flow or net income to indebtedness, interest expense, rental expense, capital expenditures and/or scheduled payments of indebtedness.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Fiscal Quarter”</w:t>
      </w:r>
      <w:r>
        <w:rPr>
          <w:color w:val="000000"/>
        </w:rPr>
        <w:t xml:space="preserve"> </w:t>
      </w:r>
      <w:r>
        <w:rPr>
          <w:rFonts w:ascii="Times New Roman;serif" w:hAnsi="Times New Roman;serif"/>
          <w:b w:val="false"/>
          <w:color w:val="000000"/>
          <w:sz w:val="24"/>
        </w:rPr>
        <w:t>means a fiscal quarter of a Fiscal Year.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Fiscal Year”</w:t>
      </w:r>
      <w:r>
        <w:rPr>
          <w:color w:val="000000"/>
        </w:rPr>
        <w:t xml:space="preserve"> </w:t>
      </w:r>
      <w:r>
        <w:rPr>
          <w:rFonts w:ascii="Times New Roman;serif" w:hAnsi="Times New Roman;serif"/>
          <w:b w:val="false"/>
          <w:color w:val="000000"/>
          <w:sz w:val="24"/>
        </w:rPr>
        <w:t>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Fitch”</w:t>
      </w:r>
      <w:r>
        <w:rPr>
          <w:color w:val="000000"/>
        </w:rPr>
        <w:t xml:space="preserve"> </w:t>
      </w:r>
      <w:r>
        <w:rPr>
          <w:rFonts w:ascii="Times New Roman;serif" w:hAnsi="Times New Roman;serif"/>
          <w:b w:val="false"/>
          <w:color w:val="000000"/>
          <w:sz w:val="24"/>
        </w:rPr>
        <w:t xml:space="preserve">means Fitch Ratings, Inc., or any successor to its rating agency business.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Foreign Subsidiary”</w:t>
      </w:r>
      <w:r>
        <w:rPr>
          <w:color w:val="000000"/>
        </w:rPr>
        <w:t xml:space="preserve"> </w:t>
      </w:r>
      <w:r>
        <w:rPr>
          <w:rFonts w:ascii="Times New Roman;serif" w:hAnsi="Times New Roman;serif"/>
          <w:b w:val="false"/>
          <w:color w:val="000000"/>
          <w:sz w:val="24"/>
        </w:rPr>
        <w:t>means any Subsidiary that is not a Domestic Subsidiary.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 xml:space="preserve">means (a) generally accepted accounting principles as in effect from time to time in the United States of America and (b) for purposes of Section 9.6, with respect to any Subsidiary, generally accepted accounting principles (including International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7800"/>
                <wp:effectExtent l="0" t="0" r="0" b="0"/>
                <wp:wrapNone/>
                <wp:docPr id="109" name="Frame10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Standards, as applicable) as in effect from time to time in the jurisdiction of organization of such Subsidiary.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government of</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(i)    the United States of America or any state or other political subdivision thereof,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any entity exercising executive, legislative, judicial, regulatory or administrative functions of, or pertaining to, any such government.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Governmental Official”</w:t>
      </w:r>
      <w:r>
        <w:rPr>
          <w:color w:val="000000"/>
        </w:rPr>
        <w:t xml:space="preserve"> </w:t>
      </w:r>
      <w:r>
        <w:rPr>
          <w:rFonts w:ascii="Times New Roman;serif" w:hAnsi="Times New Roman;serif"/>
          <w:b w:val="false"/>
          <w:color w:val="000000"/>
          <w:sz w:val="24"/>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governmental capacity.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Guaranty”</w:t>
      </w:r>
      <w:r>
        <w:rPr>
          <w:color w:val="000000"/>
        </w:rPr>
        <w:t xml:space="preserve"> </w:t>
      </w:r>
      <w:r>
        <w:rPr>
          <w:rFonts w:ascii="Times New Roman;serif" w:hAnsi="Times New Roman;serif"/>
          <w:b w:val="false"/>
          <w:color w:val="000000"/>
          <w:sz w:val="24"/>
        </w:rPr>
        <w:t>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to purchase such indebtedness or obligation or any property constituting security therefor;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otherwise to assure the owner of such indebtedness or obligation against loss in respect thereof.</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7800"/>
                <wp:effectExtent l="0" t="0" r="0" b="0"/>
                <wp:wrapNone/>
                <wp:docPr id="110" name="Frame1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Hedging Agreement”</w:t>
      </w:r>
      <w:r>
        <w:rPr>
          <w:color w:val="000000"/>
        </w:rPr>
        <w:t xml:space="preserve"> </w:t>
      </w:r>
      <w:r>
        <w:rPr>
          <w:rFonts w:ascii="Times New Roman;serif" w:hAnsi="Times New Roman;serif"/>
          <w:b w:val="false"/>
          <w:color w:val="000000"/>
          <w:sz w:val="24"/>
        </w:rPr>
        <w:t xml:space="preserve">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color w:val="000000"/>
        </w:rPr>
        <w:t>“</w:t>
      </w:r>
      <w:r>
        <w:rPr>
          <w:rFonts w:ascii="Times New Roman;serif" w:hAnsi="Times New Roman;serif"/>
          <w:b/>
          <w:color w:val="000000"/>
          <w:sz w:val="24"/>
        </w:rPr>
        <w:t>Master Agreement”</w:t>
      </w:r>
      <w:r>
        <w:rPr>
          <w:rFonts w:ascii="Times New Roman;serif" w:hAnsi="Times New Roman;serif"/>
          <w:b w:val="false"/>
          <w:color w:val="000000"/>
          <w:sz w:val="24"/>
        </w:rPr>
        <w:t>), including any such obligations or liabilities under any Master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Hedging Obligations”</w:t>
      </w:r>
      <w:r>
        <w:rPr>
          <w:color w:val="000000"/>
        </w:rPr>
        <w:t xml:space="preserve"> </w:t>
      </w:r>
      <w:r>
        <w:rPr>
          <w:rFonts w:ascii="Times New Roman;serif" w:hAnsi="Times New Roman;serif"/>
          <w:b w:val="false"/>
          <w:color w:val="000000"/>
          <w:sz w:val="24"/>
        </w:rPr>
        <w:t>means, with respect to any Person, all liabilities of such Person under Hedging Agreements.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 xml:space="preserve">means, with respect to any Note, the Person in whose name such Note is registered in the Notes Register maintained by the Company pursuant to Section 13.1,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if such Person is a nominee, then for the purposes of Sections 7, 12, 15.1, 15.2, 17.2 and 18 and any related definitions in this Schedule A (including the definition of </w:t>
      </w:r>
      <w:r>
        <w:rPr>
          <w:color w:val="000000"/>
        </w:rPr>
        <w:t>“</w:t>
      </w:r>
      <w:r>
        <w:rPr>
          <w:rFonts w:ascii="Times New Roman;serif" w:hAnsi="Times New Roman;serif"/>
          <w:b/>
          <w:color w:val="000000"/>
          <w:sz w:val="24"/>
        </w:rPr>
        <w:t>Institutional Investor”</w:t>
      </w:r>
      <w:r>
        <w:rPr>
          <w:rFonts w:ascii="Times New Roman;serif" w:hAnsi="Times New Roman;serif"/>
          <w:b w:val="false"/>
          <w:color w:val="000000"/>
          <w:sz w:val="24"/>
        </w:rPr>
        <w:t xml:space="preserve">), </w:t>
      </w: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shall mean the beneficial owner of such Note whose name and address appears in the Notes Register.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Immaterial Subsidiary</w:t>
      </w:r>
      <w:r>
        <w:rPr>
          <w:color w:val="000000"/>
        </w:rPr>
        <w:t xml:space="preserve">” </w:t>
      </w:r>
      <w:r>
        <w:rPr>
          <w:rFonts w:ascii="Times New Roman;serif" w:hAnsi="Times New Roman;serif"/>
          <w:b w:val="false"/>
          <w:color w:val="000000"/>
          <w:sz w:val="24"/>
        </w:rPr>
        <w:t>means any Subsidiary that (a) did not, as of the last day of the most recently ended Fiscal Quarter for which financial statements have been (or were required to be) delivered pursuant to Section 7.1(a) or Section 7.1(b) have assets with a value in excess of 2.5% of consolidated tangible assets and revenues representing in excess of 2.5% of total revenues of the Company and its Subsidiaries on a consolidated basis as of such date, and (b) taken together with all such Subsidiaries as of such date, did not have assets with a value in excess of 10.0% of consolidated tangible assets and revenues representing in excess of 10.0% of total revenues of the Company and its Subsidiaries on a consolidated basis as of such date.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Incorporated Covenant”</w:t>
      </w:r>
      <w:r>
        <w:rPr>
          <w:color w:val="000000"/>
        </w:rPr>
        <w:t xml:space="preserve"> </w:t>
      </w:r>
      <w:r>
        <w:rPr>
          <w:rFonts w:ascii="Times New Roman;serif" w:hAnsi="Times New Roman;serif"/>
          <w:b w:val="false"/>
          <w:color w:val="000000"/>
          <w:sz w:val="24"/>
        </w:rPr>
        <w:t>is defined in Section 9.11.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with respect to any Person means, at any time, without duplication,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its liabilities for borrowed money and its redemption obligations in respect of mandatorily redeemable Preferred Stock;</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(b)    its liabilities for the deferred purchase price of property acquired by such Person (excluding (i) trade and similar accounts payable and accrued expenses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7800"/>
                <wp:effectExtent l="0" t="0" r="0" b="0"/>
                <wp:wrapNone/>
                <wp:docPr id="111" name="Frame1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ordinary course of business and (ii) accrued pension costs and other employee benefit and compensation obligations arising in the ordinary course of business);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(i) all liabilities appearing on its balance sheet in accordance with GAAP in respect of Capital Leases and (ii) all liabilities which would appear on its balance sheet in accordance with GAAP in respect of Synthetic Leases assuming such Synthetic Leases were accounted for as Capital Leases;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all liabilities for borrowed money secured by any Lien with respect to any property owned by such Person (whether or not it has assumed or otherwise become liable for such liabilities);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all its liabilities in respect of letters of credit or instruments serving a similar function issued or accepted for its account by banks and other financial institutions (whether or not representing obligations for borrowed money), but excluding trade letters of credit;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(f)    the aggregate Swap Termination Value of all Swap Contracts of such Person;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(g)    any Guaranty of such Person with respect to liabilities of a type described in any of clauses (a) through (f) hereof.</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Indebtedness of any Person shall include all obligations of such Person of the character described in clauses (a) through (g) to the extent such Person remains legally liable in respect thereof notwithstanding that any such obligation is deemed to be extinguished under GAAP. The amount of any net obligation under any Hedging Agreement on any date shall be deemed to be the Swap Termination Value thereof as of such date. If any of the foregoing Indebtedness is limited to recourse against a particular asset or assets of such Person, the amount of the corresponding Indebtedness shall be equal to the lesser of the amount of such Indebtedness and the fair market value of such asset or assets at the date for determination of the amount of such Indebtedness. The amount of Indebtedness of the Company and its Subsidiaries hereunder shall be calculated without duplication of Suretyship Liabilities of the Company or any Subsidiary in respect thereof. Indebtedness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Indebtedness to the extent not paid in kind, or (7) all obligations of any Person as lessee under operating leases, in accordance with GAAP as in effect immediately prior to the adoption of FASB ASC 842.</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7800"/>
                <wp:effectExtent l="0" t="0" r="0" b="0"/>
                <wp:wrapNone/>
                <wp:docPr id="112" name="Frame1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INHAM Exemption”</w:t>
      </w:r>
      <w:r>
        <w:rPr>
          <w:color w:val="000000"/>
        </w:rPr>
        <w:t xml:space="preserve"> </w:t>
      </w:r>
      <w:r>
        <w:rPr>
          <w:rFonts w:ascii="Times New Roman;serif" w:hAnsi="Times New Roman;serif"/>
          <w:b w:val="false"/>
          <w:color w:val="000000"/>
          <w:sz w:val="24"/>
        </w:rPr>
        <w:t>is defined in Section 6.2(e).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Intercompany Debt”</w:t>
      </w:r>
      <w:r>
        <w:rPr>
          <w:color w:val="000000"/>
        </w:rPr>
        <w:t xml:space="preserve"> </w:t>
      </w:r>
      <w:r>
        <w:rPr>
          <w:rFonts w:ascii="Times New Roman;serif" w:hAnsi="Times New Roman;serif"/>
          <w:b w:val="false"/>
          <w:color w:val="000000"/>
          <w:sz w:val="24"/>
        </w:rPr>
        <w:t>is defined in Section 9.8(b).</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Internal Revenue Code</w:t>
      </w:r>
      <w:r>
        <w:rPr>
          <w:color w:val="000000"/>
        </w:rPr>
        <w:t xml:space="preserve">” </w:t>
      </w:r>
      <w:r>
        <w:rPr>
          <w:rFonts w:ascii="Times New Roman;serif" w:hAnsi="Times New Roman;serif"/>
          <w:b w:val="false"/>
          <w:color w:val="000000"/>
          <w:sz w:val="24"/>
        </w:rPr>
        <w:t>means the Internal Revenue Code of 1986.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Institutional Investor”</w:t>
      </w:r>
      <w:r>
        <w:rPr>
          <w:color w:val="000000"/>
        </w:rPr>
        <w:t xml:space="preserve"> </w:t>
      </w:r>
      <w:r>
        <w:rPr>
          <w:rFonts w:ascii="Times New Roman;serif" w:hAnsi="Times New Roman;serif"/>
          <w:b w:val="false"/>
          <w:color w:val="000000"/>
          <w:sz w:val="24"/>
        </w:rPr>
        <w:t>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(d) any Related Fund of any holder of any Note and (e) any trust or fund whose beneficiaries or beneficial owners are Institutional Investors described in the foregoing clauses (a) through (d) hereof.</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Interest Payment Date”</w:t>
      </w:r>
      <w:r>
        <w:rPr>
          <w:color w:val="000000"/>
        </w:rPr>
        <w:t xml:space="preserve"> </w:t>
      </w:r>
      <w:r>
        <w:rPr>
          <w:rFonts w:ascii="Times New Roman;serif" w:hAnsi="Times New Roman;serif"/>
          <w:b w:val="false"/>
          <w:color w:val="000000"/>
          <w:sz w:val="24"/>
        </w:rPr>
        <w:t>is defined in Section 1.2.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Investment”</w:t>
      </w:r>
      <w:r>
        <w:rPr>
          <w:color w:val="000000"/>
        </w:rPr>
        <w:t xml:space="preserve"> </w:t>
      </w:r>
      <w:r>
        <w:rPr>
          <w:rFonts w:ascii="Times New Roman;serif" w:hAnsi="Times New Roman;serif"/>
          <w:b w:val="false"/>
          <w:color w:val="000000"/>
          <w:sz w:val="24"/>
        </w:rPr>
        <w:t>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Joinder Agreement”</w:t>
      </w:r>
      <w:r>
        <w:rPr>
          <w:color w:val="000000"/>
        </w:rPr>
        <w:t xml:space="preserve"> </w:t>
      </w:r>
      <w:r>
        <w:rPr>
          <w:rFonts w:ascii="Times New Roman;serif" w:hAnsi="Times New Roman;serif"/>
          <w:b w:val="false"/>
          <w:color w:val="000000"/>
          <w:sz w:val="24"/>
        </w:rPr>
        <w:t>is defined in Section 9.7(a).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KBRA”</w:t>
      </w:r>
      <w:r>
        <w:rPr>
          <w:color w:val="000000"/>
        </w:rPr>
        <w:t xml:space="preserve"> </w:t>
      </w:r>
      <w:r>
        <w:rPr>
          <w:rFonts w:ascii="Times New Roman;serif" w:hAnsi="Times New Roman;serif"/>
          <w:b w:val="false"/>
          <w:color w:val="000000"/>
          <w:sz w:val="24"/>
        </w:rPr>
        <w:t xml:space="preserve">means Kroll Bond Rating Agency, LLC, or any successor to the rating agency business thereof.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 (but excluding the interest of a lessor under an operating lease).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Make-Whole Amount”</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Material”</w:t>
      </w:r>
      <w:r>
        <w:rPr>
          <w:color w:val="000000"/>
        </w:rPr>
        <w:t xml:space="preserve"> </w:t>
      </w:r>
      <w:r>
        <w:rPr>
          <w:rFonts w:ascii="Times New Roman;serif" w:hAnsi="Times New Roman;serif"/>
          <w:b w:val="false"/>
          <w:color w:val="000000"/>
          <w:sz w:val="24"/>
        </w:rPr>
        <w:t>means material in relation to the business, operations, affairs, financial condition, assets, properties or prospects of the Company and its Subsidiaries taken as a whole.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 xml:space="preserve">means a material adverse effect on (a) the business, operations, affairs, financial condition, assets or properties of the Company and its Subsidiaries taken as a whole, (b) the ability of the Company to perform its obligations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7800"/>
                <wp:effectExtent l="0" t="0" r="0" b="0"/>
                <wp:wrapNone/>
                <wp:docPr id="113" name="Frame1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and the Notes, (c) the ability of any Subsidiary Guarantor to perform its obligations under its Subsidiary Guaranty, or (d) the validity or enforceability of this Agreement, the Notes or any Subsidiary Guaranty.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Material Credit Facility”</w:t>
      </w:r>
      <w:r>
        <w:rPr>
          <w:color w:val="000000"/>
        </w:rPr>
        <w:t xml:space="preserve"> </w:t>
      </w:r>
      <w:r>
        <w:rPr>
          <w:rFonts w:ascii="Times New Roman;serif" w:hAnsi="Times New Roman;serif"/>
          <w:b w:val="false"/>
          <w:color w:val="000000"/>
          <w:sz w:val="24"/>
        </w:rPr>
        <w:t>means, as to the Company and its Subsidiaries,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Primary Credit Agreement, including any renewals, extensions, amendments, supplements, restatements, replacements or refinancing thereof; and</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any other agreement(s) creating or evidencing indebtedness for borrowed money entered into on or after the date of Closing by the Company or any Subsidiary, or in respect of which the Company or any Subsidiary is an obligor or otherwise provides a guarantee or other credit support (</w:t>
      </w:r>
      <w:r>
        <w:rPr>
          <w:color w:val="000000"/>
        </w:rPr>
        <w:t>“</w:t>
      </w:r>
      <w:r>
        <w:rPr>
          <w:rFonts w:ascii="Times New Roman;serif" w:hAnsi="Times New Roman;serif"/>
          <w:b/>
          <w:color w:val="000000"/>
          <w:sz w:val="24"/>
        </w:rPr>
        <w:t>Credit Facility”</w:t>
      </w:r>
      <w:r>
        <w:rPr>
          <w:rFonts w:ascii="Times New Roman;serif" w:hAnsi="Times New Roman;serif"/>
          <w:b w:val="false"/>
          <w:color w:val="000000"/>
          <w:sz w:val="24"/>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 xml:space="preserve">means the Series A Maturity Date, the Series B Maturity Date or the Series C Maturity Date, as applicable.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Moody’s”</w:t>
      </w:r>
      <w:r>
        <w:rPr>
          <w:color w:val="000000"/>
        </w:rPr>
        <w:t xml:space="preserve"> </w:t>
      </w:r>
      <w:r>
        <w:rPr>
          <w:rFonts w:ascii="Times New Roman;serif" w:hAnsi="Times New Roman;serif"/>
          <w:b w:val="false"/>
          <w:color w:val="000000"/>
          <w:sz w:val="24"/>
        </w:rPr>
        <w:t xml:space="preserve">means Moody’s Investors Service, Inc., or any successor to the rating agency business thereof.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More Favorable Covenant</w:t>
      </w:r>
      <w:r>
        <w:rPr>
          <w:color w:val="000000"/>
        </w:rPr>
        <w:t xml:space="preserve">” </w:t>
      </w:r>
      <w:r>
        <w:rPr>
          <w:rFonts w:ascii="Times New Roman;serif" w:hAnsi="Times New Roman;serif"/>
          <w:b w:val="false"/>
          <w:color w:val="000000"/>
          <w:sz w:val="24"/>
        </w:rPr>
        <w:t>is defined in Section 9.11.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Most Favored Lender Notice</w:t>
      </w:r>
      <w:r>
        <w:rPr>
          <w:color w:val="000000"/>
        </w:rPr>
        <w:t xml:space="preserve">” </w:t>
      </w:r>
      <w:r>
        <w:rPr>
          <w:rFonts w:ascii="Times New Roman;serif" w:hAnsi="Times New Roman;serif"/>
          <w:b w:val="false"/>
          <w:color w:val="000000"/>
          <w:sz w:val="24"/>
        </w:rPr>
        <w:t>is defined in Section 9.11.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Multiemployer Plan”</w:t>
      </w:r>
      <w:r>
        <w:rPr>
          <w:color w:val="000000"/>
        </w:rPr>
        <w:t xml:space="preserve"> </w:t>
      </w:r>
      <w:r>
        <w:rPr>
          <w:rFonts w:ascii="Times New Roman;serif" w:hAnsi="Times New Roman;serif"/>
          <w:b w:val="false"/>
          <w:color w:val="000000"/>
          <w:sz w:val="24"/>
        </w:rPr>
        <w:t>means any Plan that is a “multiemployer plan” (as such term is defined in section 4001(a)(3) of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NAIC”</w:t>
      </w:r>
      <w:r>
        <w:rPr>
          <w:color w:val="000000"/>
        </w:rPr>
        <w:t xml:space="preserve"> </w:t>
      </w:r>
      <w:r>
        <w:rPr>
          <w:rFonts w:ascii="Times New Roman;serif" w:hAnsi="Times New Roman;serif"/>
          <w:b w:val="false"/>
          <w:color w:val="000000"/>
          <w:sz w:val="24"/>
        </w:rPr>
        <w:t>means the National Association of Insurance Commissioners.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NAIC Annual Statement”</w:t>
      </w:r>
      <w:r>
        <w:rPr>
          <w:color w:val="000000"/>
        </w:rPr>
        <w:t xml:space="preserve"> </w:t>
      </w:r>
      <w:r>
        <w:rPr>
          <w:rFonts w:ascii="Times New Roman;serif" w:hAnsi="Times New Roman;serif"/>
          <w:b w:val="false"/>
          <w:color w:val="000000"/>
          <w:sz w:val="24"/>
        </w:rPr>
        <w:t>is defined in Section 6.2(a).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Non-U.S. Plan”</w:t>
      </w:r>
      <w:r>
        <w:rPr>
          <w:color w:val="000000"/>
        </w:rPr>
        <w:t xml:space="preserve"> </w:t>
      </w:r>
      <w:r>
        <w:rPr>
          <w:rFonts w:ascii="Times New Roman;serif" w:hAnsi="Times New Roman;serif"/>
          <w:b w:val="false"/>
          <w:color w:val="000000"/>
          <w:sz w:val="24"/>
        </w:rPr>
        <w:t>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Note Documents”</w:t>
      </w:r>
      <w:r>
        <w:rPr>
          <w:color w:val="000000"/>
        </w:rPr>
        <w:t xml:space="preserve"> </w:t>
      </w:r>
      <w:r>
        <w:rPr>
          <w:rFonts w:ascii="Times New Roman;serif" w:hAnsi="Times New Roman;serif"/>
          <w:b w:val="false"/>
          <w:color w:val="000000"/>
          <w:sz w:val="24"/>
        </w:rPr>
        <w:t>means this Agreement, the Subsidiary Guaranty, the Notes, any amendment, supplement or other modification to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7800"/>
                <wp:effectExtent l="0" t="0" r="0" b="0"/>
                <wp:wrapNone/>
                <wp:docPr id="114" name="Frame1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280" w:after="283"/>
        <w:ind w:left="0" w:right="0" w:firstLine="720"/>
        <w:jc w:val="both"/>
        <w:rPr/>
      </w:pPr>
      <w:r>
        <w:rPr>
          <w:color w:val="000000"/>
        </w:rPr>
        <w:t>“</w:t>
      </w:r>
      <w:r>
        <w:rPr>
          <w:rFonts w:ascii="Times New Roman;serif" w:hAnsi="Times New Roman;serif"/>
          <w:b/>
          <w:color w:val="000000"/>
          <w:sz w:val="24"/>
        </w:rPr>
        <w:t>Note Parties”</w:t>
      </w:r>
      <w:r>
        <w:rPr>
          <w:color w:val="000000"/>
        </w:rPr>
        <w:t xml:space="preserve"> </w:t>
      </w:r>
      <w:r>
        <w:rPr>
          <w:rFonts w:ascii="Times New Roman;serif" w:hAnsi="Times New Roman;serif"/>
          <w:b w:val="false"/>
          <w:color w:val="000000"/>
          <w:sz w:val="24"/>
        </w:rPr>
        <w:t xml:space="preserve">means, collectively, the Company and the Subsidiary Guarantors, and </w:t>
      </w:r>
      <w:r>
        <w:rPr>
          <w:color w:val="000000"/>
        </w:rPr>
        <w:t>“</w:t>
      </w:r>
      <w:r>
        <w:rPr>
          <w:rFonts w:ascii="Times New Roman;serif" w:hAnsi="Times New Roman;serif"/>
          <w:b/>
          <w:color w:val="000000"/>
          <w:sz w:val="24"/>
        </w:rPr>
        <w:t>Note Party”</w:t>
      </w:r>
      <w:r>
        <w:rPr>
          <w:color w:val="000000"/>
        </w:rPr>
        <w:t xml:space="preserve"> </w:t>
      </w:r>
      <w:r>
        <w:rPr>
          <w:rFonts w:ascii="Times New Roman;serif" w:hAnsi="Times New Roman;serif"/>
          <w:b w:val="false"/>
          <w:color w:val="000000"/>
          <w:sz w:val="24"/>
        </w:rPr>
        <w:t>means any one of the Note Parties.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Notes Register”</w:t>
      </w:r>
      <w:r>
        <w:rPr>
          <w:color w:val="000000"/>
        </w:rPr>
        <w:t xml:space="preserve"> </w:t>
      </w:r>
      <w:r>
        <w:rPr>
          <w:rFonts w:ascii="Times New Roman;serif" w:hAnsi="Times New Roman;serif"/>
          <w:b w:val="false"/>
          <w:color w:val="000000"/>
          <w:sz w:val="24"/>
        </w:rPr>
        <w:t>is defined in Section 13.1.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Notes”</w:t>
      </w:r>
      <w:r>
        <w:rPr>
          <w:color w:val="000000"/>
        </w:rPr>
        <w:t xml:space="preserve"> </w:t>
      </w:r>
      <w:r>
        <w:rPr>
          <w:rFonts w:ascii="Times New Roman;serif" w:hAnsi="Times New Roman;serif"/>
          <w:b w:val="false"/>
          <w:color w:val="000000"/>
          <w:sz w:val="24"/>
        </w:rPr>
        <w:t>is defined in Section 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Notice of Change of Control”</w:t>
      </w:r>
      <w:r>
        <w:rPr>
          <w:color w:val="000000"/>
        </w:rPr>
        <w:t xml:space="preserve"> </w:t>
      </w:r>
      <w:r>
        <w:rPr>
          <w:rFonts w:ascii="Times New Roman;serif" w:hAnsi="Times New Roman;serif"/>
          <w:b w:val="false"/>
          <w:color w:val="000000"/>
          <w:sz w:val="24"/>
        </w:rPr>
        <w:t>is defined in Section 8.8(a).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OFAC”</w:t>
      </w:r>
      <w:r>
        <w:rPr>
          <w:color w:val="000000"/>
        </w:rPr>
        <w:t xml:space="preserve"> </w:t>
      </w:r>
      <w:r>
        <w:rPr>
          <w:rFonts w:ascii="Times New Roman;serif" w:hAnsi="Times New Roman;serif"/>
          <w:b w:val="false"/>
          <w:color w:val="000000"/>
          <w:sz w:val="24"/>
        </w:rPr>
        <w:t>means the Office of Foreign Assets Control of the United States Department of the Treasury.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OFAC Sanctions Program”</w:t>
      </w:r>
      <w:r>
        <w:rPr>
          <w:color w:val="000000"/>
        </w:rPr>
        <w:t xml:space="preserve"> </w:t>
      </w:r>
      <w:r>
        <w:rPr>
          <w:rFonts w:ascii="Times New Roman;serif" w:hAnsi="Times New Roman;serif"/>
          <w:b w:val="false"/>
          <w:color w:val="000000"/>
          <w:sz w:val="24"/>
        </w:rPr>
        <w:t>means any comprehensive economic or trade sanction that OFAC is responsible for administering and enforcing. A list of OFAC Sanctions Programs may be found at https://ofac.treasury.gov/sanctions-programs-and-country-information.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Officer’s Certificate”</w:t>
      </w:r>
      <w:r>
        <w:rPr>
          <w:color w:val="000000"/>
        </w:rPr>
        <w:t xml:space="preserve"> </w:t>
      </w:r>
      <w:r>
        <w:rPr>
          <w:rFonts w:ascii="Times New Roman;serif" w:hAnsi="Times New Roman;serif"/>
          <w:b w:val="false"/>
          <w:color w:val="000000"/>
          <w:sz w:val="24"/>
        </w:rPr>
        <w:t>means a certificate of a Senior Financial Officer or of any other officer of the Company whose responsibilities extend to the subject matter of such certificate.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Outside Date</w:t>
      </w:r>
      <w:r>
        <w:rPr>
          <w:color w:val="000000"/>
        </w:rPr>
        <w:t xml:space="preserve">” </w:t>
      </w:r>
      <w:r>
        <w:rPr>
          <w:rFonts w:ascii="Times New Roman;serif" w:hAnsi="Times New Roman;serif"/>
          <w:b w:val="false"/>
          <w:color w:val="000000"/>
          <w:sz w:val="24"/>
        </w:rPr>
        <w:t xml:space="preserve">means January 17, 2027.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means the Pension Benefit Guaranty Corporation referred to and defined in ERISA and any entity succeeding to any or all of its functions under ERISA.</w:t>
      </w:r>
    </w:p>
    <w:p>
      <w:pPr>
        <w:pStyle w:val="TextBody"/>
        <w:bidi w:val="0"/>
        <w:spacing w:before="0" w:after="0"/>
        <w:ind w:left="0" w:right="0" w:firstLine="720"/>
        <w:jc w:val="both"/>
        <w:rPr/>
      </w:pPr>
      <w:r>
        <w:rPr/>
      </w:r>
    </w:p>
    <w:p>
      <w:pPr>
        <w:pStyle w:val="TextBody"/>
        <w:bidi w:val="0"/>
        <w:spacing w:lineRule="atLeast" w:line="280" w:before="0" w:after="240"/>
        <w:ind w:left="0" w:right="0" w:firstLine="720"/>
        <w:jc w:val="both"/>
        <w:rPr/>
      </w:pPr>
      <w:r>
        <w:rPr>
          <w:color w:val="000000"/>
        </w:rPr>
        <w:t>“</w:t>
      </w:r>
      <w:r>
        <w:rPr>
          <w:rFonts w:ascii="Times New Roman;serif" w:hAnsi="Times New Roman;serif"/>
          <w:b/>
          <w:color w:val="000000"/>
          <w:sz w:val="24"/>
        </w:rPr>
        <w:t>Pension Plan</w:t>
      </w:r>
      <w:r>
        <w:rPr>
          <w:color w:val="000000"/>
        </w:rPr>
        <w:t xml:space="preserve">” </w:t>
      </w:r>
      <w:r>
        <w:rPr>
          <w:rFonts w:ascii="Times New Roman;serif" w:hAnsi="Times New Roman;serif"/>
          <w:b w:val="false"/>
          <w:color w:val="000000"/>
          <w:sz w:val="24"/>
        </w:rPr>
        <w:t>means a “pension plan”, as such term is defined in Section 3(2) of ERISA, which is subject to Title IV of ERISA (other than a Multiemployer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Permitted Acquisition”</w:t>
      </w:r>
      <w:r>
        <w:rPr>
          <w:color w:val="000000"/>
        </w:rPr>
        <w:t xml:space="preserve"> </w:t>
      </w:r>
      <w:r>
        <w:rPr>
          <w:rFonts w:ascii="Times New Roman;serif" w:hAnsi="Times New Roman;serif"/>
          <w:b w:val="false"/>
          <w:color w:val="000000"/>
          <w:sz w:val="24"/>
        </w:rPr>
        <w:t>means (x) the PSS Acquisition and (y) any Acquisition by the Company or a Subsidiary which satisfies each of the following requirements: (a) no Default or Event of Default has occurred and is continuing at the time of, or immediately after giving effect to, such Acquisition; and (b) such Acquisition has been approved by the board of directors and/or shareholders (or equivalent) of the target of such Acquisition.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Permitted Acquisition Holiday</w:t>
      </w:r>
      <w:r>
        <w:rPr>
          <w:color w:val="000000"/>
        </w:rPr>
        <w:t xml:space="preserve">” </w:t>
      </w:r>
      <w:r>
        <w:rPr>
          <w:rFonts w:ascii="Times New Roman;serif" w:hAnsi="Times New Roman;serif"/>
          <w:b w:val="false"/>
          <w:color w:val="000000"/>
          <w:sz w:val="24"/>
        </w:rPr>
        <w:t>is defined in Section 10.6(a).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Permitted Securitization”</w:t>
      </w:r>
      <w:r>
        <w:rPr>
          <w:color w:val="000000"/>
        </w:rPr>
        <w:t xml:space="preserve"> </w:t>
      </w:r>
      <w:r>
        <w:rPr>
          <w:rFonts w:ascii="Times New Roman;serif" w:hAnsi="Times New Roman;serif"/>
          <w:b w:val="false"/>
          <w:color w:val="000000"/>
          <w:sz w:val="24"/>
        </w:rPr>
        <w:t xml:space="preserve">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Required Holders in connection therewith to constitute) true sales or true contributions to such Securitization Subsidiary and (b) the provision of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7800"/>
                <wp:effectExtent l="0" t="0" r="0" b="0"/>
                <wp:wrapNone/>
                <wp:docPr id="115" name="Frame1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financing secured by the assets so sold, contributed and/or transferred, whether in the form of secured loans or the acquisition of undivided interests in such assets.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partnership, corporation, limited liability company, association, trust, unincorporated organization, business entity or governmental authority.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Plan Asset Regulation</w:t>
      </w:r>
      <w:r>
        <w:rPr>
          <w:color w:val="000000"/>
        </w:rPr>
        <w:t xml:space="preserve">” </w:t>
      </w:r>
      <w:r>
        <w:rPr>
          <w:rFonts w:ascii="Times New Roman;serif" w:hAnsi="Times New Roman;serif"/>
          <w:b w:val="false"/>
          <w:color w:val="000000"/>
          <w:sz w:val="24"/>
        </w:rPr>
        <w:t>means the U.S. Department of Labor regulation located at 29 C.F.R. Section 2510.3-101, or any successor regulation thereto, as in effect at the time of reference, as modified by Section 3(42) of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Plan Assets</w:t>
      </w:r>
      <w:r>
        <w:rPr>
          <w:color w:val="000000"/>
        </w:rPr>
        <w:t xml:space="preserve">” </w:t>
      </w:r>
      <w:r>
        <w:rPr>
          <w:rFonts w:ascii="Times New Roman;serif" w:hAnsi="Times New Roman;serif"/>
          <w:b w:val="false"/>
          <w:color w:val="000000"/>
          <w:sz w:val="24"/>
        </w:rPr>
        <w:t>means “plan assets” as defined in the Plan Asset Regulation.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Preferred Stock”</w:t>
      </w:r>
      <w:r>
        <w:rPr>
          <w:color w:val="000000"/>
        </w:rPr>
        <w:t xml:space="preserve"> </w:t>
      </w:r>
      <w:r>
        <w:rPr>
          <w:rFonts w:ascii="Times New Roman;serif" w:hAnsi="Times New Roman;serif"/>
          <w:b w:val="false"/>
          <w:color w:val="000000"/>
          <w:sz w:val="24"/>
        </w:rPr>
        <w:t>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Presentation”</w:t>
      </w:r>
      <w:r>
        <w:rPr>
          <w:color w:val="000000"/>
        </w:rPr>
        <w:t xml:space="preserve"> </w:t>
      </w:r>
      <w:r>
        <w:rPr>
          <w:rFonts w:ascii="Times New Roman;serif" w:hAnsi="Times New Roman;serif"/>
          <w:b w:val="false"/>
          <w:color w:val="000000"/>
          <w:sz w:val="24"/>
        </w:rPr>
        <w:t>is defined in Section 5.3.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Primary Credit Agreement”</w:t>
      </w:r>
      <w:r>
        <w:rPr>
          <w:color w:val="000000"/>
        </w:rPr>
        <w:t xml:space="preserve"> </w:t>
      </w:r>
      <w:r>
        <w:rPr>
          <w:rFonts w:ascii="Times New Roman;serif" w:hAnsi="Times New Roman;serif"/>
          <w:b w:val="false"/>
          <w:color w:val="000000"/>
          <w:sz w:val="24"/>
        </w:rPr>
        <w:t>means that certain Credit Agreement dated as of June 12, 2026 by and among the Company and the other borrowers and guarantors from time to time party thereto, BMO Bank N.A., as administrative agent, and the other lenders from time to time party thereto, as amended by that certain First Amendment to Credit Agreement dated as of August 3, 2026, as the same may be further amended, restated, supplemented, refinanced, replaced or otherwise modified from time to time.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Priority Debt”</w:t>
      </w:r>
      <w:r>
        <w:rPr>
          <w:color w:val="000000"/>
        </w:rPr>
        <w:t xml:space="preserve"> </w:t>
      </w:r>
      <w:r>
        <w:rPr>
          <w:rFonts w:ascii="Times New Roman;serif" w:hAnsi="Times New Roman;serif"/>
          <w:b w:val="false"/>
          <w:color w:val="000000"/>
          <w:sz w:val="24"/>
        </w:rPr>
        <w:t>means (without duplication), as of the date of any determination thereof, the sum of (i) all unsecured Indebtedness of the Priority Debt Subsidiaries (including all Guarantees of such Indebtedness of the Company or any Subsidiary, but excluding (x) unsecured Indebtedness owing to the Company or any other Subsidiary and (y) unsecured Indebtedness outstanding at the time such Person became a Subsidiary, provided that such Indebtedness shall not have been incurred in contemplation of such person becoming a Subsidiary) and (ii) all Indebtedness of the Priority Debt Subsidiaries secured by Liens, other than Indebtedness secured by Liens permitted by subparagraphs (a) through (t), inclusive, of Section 10.5.</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Priority Debt Subsidiaries”</w:t>
      </w:r>
      <w:r>
        <w:rPr>
          <w:color w:val="000000"/>
        </w:rPr>
        <w:t xml:space="preserve"> </w:t>
      </w:r>
      <w:r>
        <w:rPr>
          <w:rFonts w:ascii="Times New Roman;serif" w:hAnsi="Times New Roman;serif"/>
          <w:b w:val="false"/>
          <w:color w:val="000000"/>
          <w:sz w:val="24"/>
        </w:rPr>
        <w:t>means, collectively, each Foreign Subsidiary that is a Designated Borrower or that guarantees or otherwise becomes liable at any time, whether as a borrower or an additional or co-borrower or otherwise, for or in respect of any Indebtedness under any Material Credit Facility, provided that no Subsidiary Guarantor shall constitute a Priority Debt Subsidiary.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Private Rating Letter”</w:t>
      </w:r>
      <w:r>
        <w:rPr>
          <w:color w:val="000000"/>
        </w:rPr>
        <w:t xml:space="preserve"> </w:t>
      </w:r>
      <w:r>
        <w:rPr>
          <w:rFonts w:ascii="Times New Roman;serif" w:hAnsi="Times New Roman;serif"/>
          <w:b w:val="false"/>
          <w:color w:val="000000"/>
          <w:sz w:val="24"/>
        </w:rPr>
        <w:t xml:space="preserve">means a letter issued by an Acceptable Rating Agency in connection with any private Debt Rating for each Series of Notes, which (a) sets forth the Debt Rating for such Series of Notes, (b) refers to the Private Placement Number issued by the PPN CUSIP Unit of CUSIP Global Services in respect of such Series of Notes, (c) addresses the likelihood of payment of both principal and interest on such Series of Notes (which requirement shall be deemed satisfied if either (x) such letter includes confirmation that the rating reflects the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7800"/>
                <wp:effectExtent l="0" t="0" r="0" b="0"/>
                <wp:wrapNone/>
                <wp:docPr id="116" name="Frame1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Acceptable Rating Agency’s assessment of the Company’s ability to make timely payment of principal and interest on such Series of Notes or a similar statement or (y) such letter is silent as to the Acceptable Rating Agency’s assessment of the likelihood of payment of both principal and interest and does not include any indication to the contrary), (d) includes such other information describing the relevant terms of such series of Notes as may be required from time to time by the SVO or any other governmental authority having jurisdiction over any holder of such series of Notes and (e) shall not be subject to confidentiality provisions or other restrictions which would prevent or limit the letter from being shared with the SVO or any other governmental authority having jurisdiction over any holder of such Series of Notes.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Private Rating Rationale Report”</w:t>
      </w:r>
      <w:r>
        <w:rPr>
          <w:color w:val="000000"/>
        </w:rPr>
        <w:t xml:space="preserve"> </w:t>
      </w:r>
      <w:r>
        <w:rPr>
          <w:rFonts w:ascii="Times New Roman;serif" w:hAnsi="Times New Roman;serif"/>
          <w:b w:val="false"/>
          <w:color w:val="000000"/>
          <w:sz w:val="24"/>
        </w:rPr>
        <w:t>means, with respect to any Private Rating Letter, a report issued by the applicable Acceptable Rating Agency in connection with such Private Rating Letter setting forth an analytical review of the applicable series of Notes explaining the transaction structure, methodology relied upon, and, as appropriate, analysis of the credit, legal, and operational risks and mitigants supporting the assigned private Debt Rating for such series of Notes, in each case, on the letterhead of the Acceptable Rating Agency or posted on its controlled website and generally consistent with the work product that a rating agency would produce for a similar publicly rated security and otherwise in form and substance generally required by the SVO or any other governmental authority having jurisdiction over any holder of such series of Notes from time to time.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property”</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properties”</w:t>
      </w:r>
      <w:r>
        <w:rPr>
          <w:color w:val="000000"/>
        </w:rPr>
        <w:t xml:space="preserve"> </w:t>
      </w:r>
      <w:r>
        <w:rPr>
          <w:rFonts w:ascii="Times New Roman;serif" w:hAnsi="Times New Roman;serif"/>
          <w:b w:val="false"/>
          <w:color w:val="000000"/>
          <w:sz w:val="24"/>
        </w:rPr>
        <w:t>means, unless otherwise specifically limited, real or personal property of any kind, tangible or intangible, choate or inchoate.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PSS Acquisition”</w:t>
      </w:r>
      <w:r>
        <w:rPr>
          <w:color w:val="000000"/>
        </w:rPr>
        <w:t xml:space="preserve"> </w:t>
      </w:r>
      <w:r>
        <w:rPr>
          <w:rFonts w:ascii="Times New Roman;serif" w:hAnsi="Times New Roman;serif"/>
          <w:b w:val="false"/>
          <w:color w:val="000000"/>
          <w:sz w:val="24"/>
        </w:rPr>
        <w:t>means the purchase by the Company, through its Wholly-Owned Subsidiary, Brady Worldwide Inc., of 100% of the outstanding equity interests of certain Subsidiaries of Honeywell International Inc. pursuant to the PSS Acquisition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PSS Acquisition Agreement</w:t>
      </w:r>
      <w:r>
        <w:rPr>
          <w:color w:val="000000"/>
        </w:rPr>
        <w:t xml:space="preserve">” </w:t>
      </w:r>
      <w:r>
        <w:rPr>
          <w:rFonts w:ascii="Times New Roman;serif" w:hAnsi="Times New Roman;serif"/>
          <w:b w:val="false"/>
          <w:color w:val="000000"/>
          <w:sz w:val="24"/>
        </w:rPr>
        <w:t>means that certain Equity Purchase Agreement, dated as of April 20, 2026, among the Company, Brady Worldwide Inc. and Honeywell International Inc.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PSS Acquisition Date</w:t>
      </w:r>
      <w:r>
        <w:rPr>
          <w:color w:val="000000"/>
        </w:rPr>
        <w:t xml:space="preserve">” </w:t>
      </w:r>
      <w:r>
        <w:rPr>
          <w:rFonts w:ascii="Times New Roman;serif" w:hAnsi="Times New Roman;serif"/>
          <w:b w:val="false"/>
          <w:color w:val="000000"/>
          <w:sz w:val="24"/>
        </w:rPr>
        <w:t>means the date of the consummation of the PSS Acquisition.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PTE”</w:t>
      </w:r>
      <w:r>
        <w:rPr>
          <w:color w:val="000000"/>
        </w:rPr>
        <w:t xml:space="preserve"> </w:t>
      </w:r>
      <w:r>
        <w:rPr>
          <w:rFonts w:ascii="Times New Roman;serif" w:hAnsi="Times New Roman;serif"/>
          <w:b w:val="false"/>
          <w:color w:val="000000"/>
          <w:sz w:val="24"/>
        </w:rPr>
        <w:t>is defined in Section 6.2(a).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Purchaser”</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Purchasers”</w:t>
      </w:r>
      <w:r>
        <w:rPr>
          <w:color w:val="000000"/>
        </w:rPr>
        <w:t xml:space="preserve"> </w:t>
      </w:r>
      <w:r>
        <w:rPr>
          <w:rFonts w:ascii="Times New Roman;serif" w:hAnsi="Times New Roman;serif"/>
          <w:b w:val="false"/>
          <w:color w:val="000000"/>
          <w:sz w:val="24"/>
        </w:rPr>
        <w:t xml:space="preserve">means each of the purchasers that has executed and delivered this Agreement to the Company and such Purchaser’s successors and assigns (so long as any such assignment complies with Section 13.2),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any Purchaser of a Note that ceases to be the registered holder or a beneficial owner (through a nominee) of such Note as the result of a transfer thereof pursuant to Section 13.2 shall cease to be included within the meaning of “Purchaser” of such Note for the purposes of this Agreement upon such transfer.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Purchaser Schedule”</w:t>
      </w:r>
      <w:r>
        <w:rPr>
          <w:color w:val="000000"/>
        </w:rPr>
        <w:t xml:space="preserve"> </w:t>
      </w:r>
      <w:r>
        <w:rPr>
          <w:rFonts w:ascii="Times New Roman;serif" w:hAnsi="Times New Roman;serif"/>
          <w:b w:val="false"/>
          <w:color w:val="000000"/>
          <w:sz w:val="24"/>
        </w:rPr>
        <w:t>means the Purchaser Schedule to this Agreement listing the Purchasers of the Notes and including their notice and payment information and current registered Note numbers.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7800"/>
                <wp:effectExtent l="0" t="0" r="0" b="0"/>
                <wp:wrapNone/>
                <wp:docPr id="117" name="Frame1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Purchasers’ Special Counsel”</w:t>
      </w:r>
      <w:r>
        <w:rPr>
          <w:color w:val="000000"/>
        </w:rPr>
        <w:t xml:space="preserve"> </w:t>
      </w:r>
      <w:r>
        <w:rPr>
          <w:rFonts w:ascii="Times New Roman;serif" w:hAnsi="Times New Roman;serif"/>
          <w:b w:val="false"/>
          <w:color w:val="000000"/>
          <w:sz w:val="24"/>
        </w:rPr>
        <w:t>means the collective investors’ counsel who in the case of any Purchaser, may be serving as counsel to such Purchaser or as counsel to such Purchaser’s investment manager or investment advisor, as the case may be.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QPAM Exemption”</w:t>
      </w:r>
      <w:r>
        <w:rPr>
          <w:color w:val="000000"/>
        </w:rPr>
        <w:t xml:space="preserve"> </w:t>
      </w:r>
      <w:r>
        <w:rPr>
          <w:rFonts w:ascii="Times New Roman;serif" w:hAnsi="Times New Roman;serif"/>
          <w:b w:val="false"/>
          <w:color w:val="000000"/>
          <w:sz w:val="24"/>
        </w:rPr>
        <w:t>is defined in Section 6.2(d).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Qualified Acquisition</w:t>
      </w:r>
      <w:r>
        <w:rPr>
          <w:color w:val="000000"/>
        </w:rPr>
        <w:t xml:space="preserve">” </w:t>
      </w:r>
      <w:r>
        <w:rPr>
          <w:rFonts w:ascii="Times New Roman;serif" w:hAnsi="Times New Roman;serif"/>
          <w:b w:val="false"/>
          <w:color w:val="000000"/>
          <w:sz w:val="24"/>
        </w:rPr>
        <w:t xml:space="preserve">means any Permitted Acquisition (or any series of Permitted Acquisitions occurring in any four fiscal quarter period), other than the PSS Acquisition, consummated after the earlier of (i) the date of termination of the PSS Acquisition Agreement without the consummation of the PSS Acquisition or express abandonment of the PSS Acquisition and (ii) the second anniversary of the date of Closing, with an aggregate consideration of at least $100,000,000; </w:t>
      </w:r>
      <w:r>
        <w:rPr>
          <w:rFonts w:ascii="Times New Roman;serif" w:hAnsi="Times New Roman;serif"/>
          <w:b w:val="false"/>
          <w:i/>
          <w:color w:val="000000"/>
          <w:sz w:val="24"/>
        </w:rPr>
        <w:t>provided</w:t>
      </w:r>
      <w:r>
        <w:rPr>
          <w:rFonts w:ascii="Times New Roman;serif" w:hAnsi="Times New Roman;serif"/>
          <w:b w:val="false"/>
          <w:color w:val="000000"/>
          <w:sz w:val="24"/>
        </w:rPr>
        <w:t>, that for any such acquisition to qualify as a Qualified Acquisition, the Company shall have provided prior written notice to the holders of the Notes that the Company has elected to treat such acquisition as a Qualified Acquisition.</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Qualified Institutional Buyer”</w:t>
      </w:r>
      <w:r>
        <w:rPr>
          <w:color w:val="000000"/>
        </w:rPr>
        <w:t xml:space="preserve"> </w:t>
      </w:r>
      <w:r>
        <w:rPr>
          <w:rFonts w:ascii="Times New Roman;serif" w:hAnsi="Times New Roman;serif"/>
          <w:b w:val="false"/>
          <w:color w:val="000000"/>
          <w:sz w:val="24"/>
        </w:rPr>
        <w:t>means any Person who is a “qualified institutional buyer” within the meaning of such term as set forth in Rule 144A(a)(1) under the Securities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Related Fund”</w:t>
      </w:r>
      <w:r>
        <w:rPr>
          <w:color w:val="000000"/>
        </w:rPr>
        <w:t xml:space="preserve"> </w:t>
      </w:r>
      <w:r>
        <w:rPr>
          <w:rFonts w:ascii="Times New Roman;serif" w:hAnsi="Times New Roman;serif"/>
          <w:b w:val="false"/>
          <w:color w:val="000000"/>
          <w:sz w:val="24"/>
        </w:rPr>
        <w:t>means, with respect to any holder of any Note, any fund or entity that (a) invests in Securities or bank loans, and (b) is advised or managed by such holder, the same investment manager or investment advisor as such holder or by an affiliate of such holder or such investment manager or investment advisor.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Average Life”</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Scheduled Payments”</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Reported”</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Required Holders”</w:t>
      </w:r>
      <w:r>
        <w:rPr>
          <w:color w:val="000000"/>
        </w:rPr>
        <w:t xml:space="preserve"> </w:t>
      </w:r>
      <w:r>
        <w:rPr>
          <w:rFonts w:ascii="Times New Roman;serif" w:hAnsi="Times New Roman;serif"/>
          <w:b w:val="false"/>
          <w:color w:val="000000"/>
          <w:sz w:val="24"/>
        </w:rPr>
        <w:t>means at any time (a) prior to the Closing, the Purchasers and (b) on or after the Closing, the holders of more than 50% in principal amount of the Notes at the time outstanding (exclusive of Notes then owned by the Company or any of its Affiliates).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Responsible Officer”</w:t>
      </w:r>
      <w:r>
        <w:rPr>
          <w:color w:val="000000"/>
        </w:rPr>
        <w:t xml:space="preserve"> </w:t>
      </w:r>
      <w:r>
        <w:rPr>
          <w:rFonts w:ascii="Times New Roman;serif" w:hAnsi="Times New Roman;serif"/>
          <w:b w:val="false"/>
          <w:color w:val="000000"/>
          <w:sz w:val="24"/>
        </w:rPr>
        <w:t>means the chief executive officer, the president, any senior vice president, any Senior Financial Officer and any other officer of the Company with responsibility for the administration of the relevant portion of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Restricted Payment”</w:t>
      </w:r>
      <w:r>
        <w:rPr>
          <w:color w:val="000000"/>
        </w:rPr>
        <w:t xml:space="preserve"> </w:t>
      </w:r>
      <w:r>
        <w:rPr>
          <w:rFonts w:ascii="Times New Roman;serif" w:hAnsi="Times New Roman;serif"/>
          <w:b w:val="false"/>
          <w:color w:val="000000"/>
          <w:sz w:val="24"/>
        </w:rPr>
        <w:t>means, with respect to any Person, any dividend or other distribution (whether in cash, securities or other property) with respect to any Capital Stock of such Person, or any payment (whether in cash, securities or other property), including any sinking fund or similar deposit, on account of the purchase, redemption, retirement, acquisition, cancellation or termination of any such Capital Stock of such Person or any option, warrant or other right to acquire any such Capital Stock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7800"/>
                <wp:effectExtent l="0" t="0" r="0" b="0"/>
                <wp:wrapNone/>
                <wp:docPr id="118" name="Frame1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 of the United States of America.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Securities”</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Security”</w:t>
      </w:r>
      <w:r>
        <w:rPr>
          <w:color w:val="000000"/>
        </w:rPr>
        <w:t xml:space="preserve"> </w:t>
      </w:r>
      <w:r>
        <w:rPr>
          <w:rFonts w:ascii="Times New Roman;serif" w:hAnsi="Times New Roman;serif"/>
          <w:b w:val="false"/>
          <w:color w:val="000000"/>
          <w:sz w:val="24"/>
        </w:rPr>
        <w:t>shall have the meaning specified in section 2(1) of the Securities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and the rules and regulations promulgated thereunder from time to time in effect.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Securitization Obligations”</w:t>
      </w:r>
      <w:r>
        <w:rPr>
          <w:color w:val="000000"/>
        </w:rPr>
        <w:t xml:space="preserve"> </w:t>
      </w:r>
      <w:r>
        <w:rPr>
          <w:rFonts w:ascii="Times New Roman;serif" w:hAnsi="Times New Roman;serif"/>
          <w:b w:val="false"/>
          <w:color w:val="000000"/>
          <w:sz w:val="24"/>
        </w:rPr>
        <w:t>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Securitization Subsidiary”</w:t>
      </w:r>
      <w:r>
        <w:rPr>
          <w:color w:val="000000"/>
        </w:rPr>
        <w:t xml:space="preserve"> </w:t>
      </w:r>
      <w:r>
        <w:rPr>
          <w:rFonts w:ascii="Times New Roman;serif" w:hAnsi="Times New Roman;serif"/>
          <w:b w:val="false"/>
          <w:color w:val="000000"/>
          <w:sz w:val="24"/>
        </w:rPr>
        <w:t>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Senior Financial Officer”</w:t>
      </w:r>
      <w:r>
        <w:rPr>
          <w:color w:val="000000"/>
        </w:rPr>
        <w:t xml:space="preserve"> </w:t>
      </w:r>
      <w:r>
        <w:rPr>
          <w:rFonts w:ascii="Times New Roman;serif" w:hAnsi="Times New Roman;serif"/>
          <w:b w:val="false"/>
          <w:color w:val="000000"/>
          <w:sz w:val="24"/>
        </w:rPr>
        <w:t>means the chief financial officer, principal accounting officer, treasurer, any assistant treasurer or comptroller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w:t>
      </w:r>
      <w:r>
        <w:rPr>
          <w:color w:val="000000"/>
        </w:rPr>
        <w:t xml:space="preserve"> </w:t>
      </w:r>
      <w:r>
        <w:rPr>
          <w:rFonts w:ascii="Times New Roman;serif" w:hAnsi="Times New Roman;serif"/>
          <w:b w:val="false"/>
          <w:color w:val="000000"/>
          <w:sz w:val="24"/>
        </w:rPr>
        <w:t>is defined in Section 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A Maturity Date”</w:t>
      </w:r>
      <w:r>
        <w:rPr>
          <w:color w:val="000000"/>
        </w:rPr>
        <w:t xml:space="preserve"> </w:t>
      </w:r>
      <w:r>
        <w:rPr>
          <w:rFonts w:ascii="Times New Roman;serif" w:hAnsi="Times New Roman;serif"/>
          <w:b w:val="false"/>
          <w:color w:val="000000"/>
          <w:sz w:val="24"/>
        </w:rPr>
        <w:t>is defined in Section 1.2.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A Notes”</w:t>
      </w:r>
      <w:r>
        <w:rPr>
          <w:color w:val="000000"/>
        </w:rPr>
        <w:t xml:space="preserve"> </w:t>
      </w:r>
      <w:r>
        <w:rPr>
          <w:rFonts w:ascii="Times New Roman;serif" w:hAnsi="Times New Roman;serif"/>
          <w:b w:val="false"/>
          <w:color w:val="000000"/>
          <w:sz w:val="24"/>
        </w:rPr>
        <w:t>is defined in Section 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B Maturity Date”</w:t>
      </w:r>
      <w:r>
        <w:rPr>
          <w:color w:val="000000"/>
        </w:rPr>
        <w:t xml:space="preserve"> </w:t>
      </w:r>
      <w:r>
        <w:rPr>
          <w:rFonts w:ascii="Times New Roman;serif" w:hAnsi="Times New Roman;serif"/>
          <w:b w:val="false"/>
          <w:color w:val="000000"/>
          <w:sz w:val="24"/>
        </w:rPr>
        <w:t>is defined in Section 1.2.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B Notes”</w:t>
      </w:r>
      <w:r>
        <w:rPr>
          <w:color w:val="000000"/>
        </w:rPr>
        <w:t xml:space="preserve"> </w:t>
      </w:r>
      <w:r>
        <w:rPr>
          <w:rFonts w:ascii="Times New Roman;serif" w:hAnsi="Times New Roman;serif"/>
          <w:b w:val="false"/>
          <w:color w:val="000000"/>
          <w:sz w:val="24"/>
        </w:rPr>
        <w:t>is defined in Section 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C Maturity Date”</w:t>
      </w:r>
      <w:r>
        <w:rPr>
          <w:color w:val="000000"/>
        </w:rPr>
        <w:t xml:space="preserve"> </w:t>
      </w:r>
      <w:r>
        <w:rPr>
          <w:rFonts w:ascii="Times New Roman;serif" w:hAnsi="Times New Roman;serif"/>
          <w:b w:val="false"/>
          <w:color w:val="000000"/>
          <w:sz w:val="24"/>
        </w:rPr>
        <w:t>is defined in Section 1.2.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Series C Notes”</w:t>
      </w:r>
      <w:r>
        <w:rPr>
          <w:color w:val="000000"/>
        </w:rPr>
        <w:t xml:space="preserve"> </w:t>
      </w:r>
      <w:r>
        <w:rPr>
          <w:rFonts w:ascii="Times New Roman;serif" w:hAnsi="Times New Roman;serif"/>
          <w:b w:val="false"/>
          <w:color w:val="000000"/>
          <w:sz w:val="24"/>
        </w:rPr>
        <w:t>is defined in Section 1.1.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Settlement Date”</w:t>
      </w:r>
      <w:r>
        <w:rPr>
          <w:color w:val="000000"/>
        </w:rPr>
        <w:t xml:space="preserve"> </w:t>
      </w:r>
      <w:r>
        <w:rPr>
          <w:rFonts w:ascii="Times New Roman;serif" w:hAnsi="Times New Roman;serif"/>
          <w:b w:val="false"/>
          <w:color w:val="000000"/>
          <w:sz w:val="24"/>
        </w:rPr>
        <w:t>is defined in Section 8.6.</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Significant Subsidiary”</w:t>
      </w:r>
      <w:r>
        <w:rPr>
          <w:color w:val="000000"/>
        </w:rPr>
        <w:t xml:space="preserve"> </w:t>
      </w:r>
      <w:r>
        <w:rPr>
          <w:rFonts w:ascii="Times New Roman;serif" w:hAnsi="Times New Roman;serif"/>
          <w:b w:val="false"/>
          <w:color w:val="000000"/>
          <w:sz w:val="24"/>
        </w:rPr>
        <w:t>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Note Party.</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7800"/>
                <wp:effectExtent l="0" t="0" r="0" b="0"/>
                <wp:wrapNone/>
                <wp:docPr id="119" name="Frame1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Source”</w:t>
      </w:r>
      <w:r>
        <w:rPr>
          <w:color w:val="000000"/>
        </w:rPr>
        <w:t xml:space="preserve"> </w:t>
      </w:r>
      <w:r>
        <w:rPr>
          <w:rFonts w:ascii="Times New Roman;serif" w:hAnsi="Times New Roman;serif"/>
          <w:b w:val="false"/>
          <w:color w:val="000000"/>
          <w:sz w:val="24"/>
        </w:rPr>
        <w:t>is defined in Section 6.2.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S&amp;P”</w:t>
      </w:r>
      <w:r>
        <w:rPr>
          <w:color w:val="000000"/>
        </w:rPr>
        <w:t xml:space="preserve"> </w:t>
      </w:r>
      <w:r>
        <w:rPr>
          <w:rFonts w:ascii="Times New Roman;serif" w:hAnsi="Times New Roman;serif"/>
          <w:b w:val="false"/>
          <w:color w:val="000000"/>
          <w:sz w:val="24"/>
        </w:rPr>
        <w:t xml:space="preserve">means S&amp;P Global Ratings, a division of S&amp;P Global Inc., and any successor to its rating agency business.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Specified Cash”</w:t>
      </w:r>
      <w:r>
        <w:rPr>
          <w:color w:val="000000"/>
        </w:rPr>
        <w:t xml:space="preserve"> </w:t>
      </w:r>
      <w:r>
        <w:rPr>
          <w:rFonts w:ascii="Times New Roman;serif" w:hAnsi="Times New Roman;serif"/>
          <w:b w:val="false"/>
          <w:color w:val="000000"/>
          <w:sz w:val="24"/>
        </w:rPr>
        <w:t>means the aggregate amount of unrestricted cash and Cash Equivalents of the Company and its Subsidiaries (excluding, for the avoidance of doubt, cash collateral in respect of letter of credit obligations) not exceeding 50% of Consolidated EBITDA as of the last day of the Fiscal Quarter most recently ended for which financial statements have been delivered pursuant to Section 7.1(a) or 7.1(b), subject, in the case of cash of Foreign Subsidiaries so netted, to the requirement that such cash be freely transferable without restriction (unless such restriction has been waived or terminated) to the United States (it being understood and agreed that cash of Foreign Subsidiaries shall be deemed “freely transferable without restriction” (i) notwithstanding any procedures or limitations that are solely within the control of the Company or applicable Foreign Subsidiary and which do not require the approval or consent of any other third party or Governmental Authority or (ii) in the case of cash maintained in the People’s Republic of China, notwithstanding the requirement to obtain approval from the State Administration of Foreign Exchange (“</w:t>
      </w:r>
      <w:r>
        <w:rPr>
          <w:rFonts w:ascii="Times New Roman;serif" w:hAnsi="Times New Roman;serif"/>
          <w:b/>
          <w:color w:val="000000"/>
          <w:sz w:val="24"/>
        </w:rPr>
        <w:t>SAFE</w:t>
      </w:r>
      <w:r>
        <w:rPr>
          <w:color w:val="000000"/>
        </w:rPr>
        <w:t>”</w:t>
      </w:r>
      <w:r>
        <w:rPr>
          <w:rFonts w:ascii="Times New Roman;serif" w:hAnsi="Times New Roman;serif"/>
          <w:b w:val="false"/>
          <w:color w:val="000000"/>
          <w:sz w:val="24"/>
        </w:rPr>
        <w:t>) if, as of any date of determination, SAFE has not denied the then most recent approval request by the Company or any of its Subsidiaries to repatriate such cash out of the People’s Republic of China).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State Sanctions List”</w:t>
      </w:r>
      <w:r>
        <w:rPr>
          <w:color w:val="000000"/>
        </w:rPr>
        <w:t xml:space="preserve"> </w:t>
      </w:r>
      <w:r>
        <w:rPr>
          <w:rFonts w:ascii="Times New Roman;serif" w:hAnsi="Times New Roman;serif"/>
          <w:b w:val="false"/>
          <w:color w:val="000000"/>
          <w:sz w:val="24"/>
        </w:rPr>
        <w:t>means a list that is adopted by any state Governmental Authority within the United States of America pertaining to Persons that engage in investment or other commercial activities in Iran or any other country that is a target of comprehensive economic sanctions imposed under U.S. Economic Sanctions Laws.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Subordinated Debt”</w:t>
      </w:r>
      <w:r>
        <w:rPr>
          <w:color w:val="000000"/>
        </w:rPr>
        <w:t xml:space="preserve"> </w:t>
      </w:r>
      <w:r>
        <w:rPr>
          <w:rFonts w:ascii="Times New Roman;serif" w:hAnsi="Times New Roman;serif"/>
          <w:b w:val="false"/>
          <w:color w:val="000000"/>
          <w:sz w:val="24"/>
        </w:rPr>
        <w:t>means any unsecured Indebtedness of the Company or any Subsidiary that (a) is subordinated to the Notes in a manner approved in writing by the Required Holders and (b) has (i) no amortization prior to the date that is at least 91 days after the Series C Maturity Date, (ii) financial covenants and events of default (and related definitions) that are acceptable to the Required Holders and (iii) no limitation on senior Indebtedness (or any guaranty thereof) that is unacceptable to the Required Holders.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 xml:space="preserve">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is a reference to a Subsidiary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Subsidiary Guarantor”</w:t>
      </w:r>
      <w:r>
        <w:rPr>
          <w:color w:val="000000"/>
        </w:rPr>
        <w:t xml:space="preserve"> </w:t>
      </w:r>
      <w:r>
        <w:rPr>
          <w:rFonts w:ascii="Times New Roman;serif" w:hAnsi="Times New Roman;serif"/>
          <w:b w:val="false"/>
          <w:color w:val="000000"/>
          <w:sz w:val="24"/>
        </w:rPr>
        <w:t>means each Subsidiary that has executed and delivered a Subsidiary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7800"/>
                <wp:effectExtent l="0" t="0" r="0" b="0"/>
                <wp:wrapNone/>
                <wp:docPr id="120" name="Frame1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Subsidiary Guaranty”</w:t>
      </w:r>
      <w:r>
        <w:rPr>
          <w:color w:val="000000"/>
        </w:rPr>
        <w:t xml:space="preserve"> </w:t>
      </w:r>
      <w:r>
        <w:rPr>
          <w:rFonts w:ascii="Times New Roman;serif" w:hAnsi="Times New Roman;serif"/>
          <w:b w:val="false"/>
          <w:color w:val="000000"/>
          <w:sz w:val="24"/>
        </w:rPr>
        <w:t>is defined in Section 2.2.</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Substitute Purchaser”</w:t>
      </w:r>
      <w:r>
        <w:rPr>
          <w:color w:val="000000"/>
        </w:rPr>
        <w:t xml:space="preserve"> </w:t>
      </w:r>
      <w:r>
        <w:rPr>
          <w:rFonts w:ascii="Times New Roman;serif" w:hAnsi="Times New Roman;serif"/>
          <w:b w:val="false"/>
          <w:color w:val="000000"/>
          <w:sz w:val="24"/>
        </w:rPr>
        <w:t>is defined in Section 21.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Suretyship Liability”</w:t>
      </w:r>
      <w:r>
        <w:rPr>
          <w:color w:val="000000"/>
        </w:rPr>
        <w:t xml:space="preserve"> </w:t>
      </w:r>
      <w:r>
        <w:rPr>
          <w:rFonts w:ascii="Times New Roman;serif" w:hAnsi="Times New Roman;serif"/>
          <w:b w:val="false"/>
          <w:color w:val="000000"/>
          <w:sz w:val="24"/>
        </w:rPr>
        <w:t>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SVO”</w:t>
      </w:r>
      <w:r>
        <w:rPr>
          <w:color w:val="000000"/>
        </w:rPr>
        <w:t xml:space="preserve"> </w:t>
      </w:r>
      <w:r>
        <w:rPr>
          <w:rFonts w:ascii="Times New Roman;serif" w:hAnsi="Times New Roman;serif"/>
          <w:b w:val="false"/>
          <w:color w:val="000000"/>
          <w:sz w:val="24"/>
        </w:rPr>
        <w:t>means the Securities Valuation Office of the NAIC.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Swap Contract”</w:t>
      </w:r>
      <w:r>
        <w:rPr>
          <w:color w:val="000000"/>
        </w:rPr>
        <w:t xml:space="preserve"> </w:t>
      </w:r>
      <w:r>
        <w:rPr>
          <w:rFonts w:ascii="Times New Roman;serif" w:hAnsi="Times New Roman;serif"/>
          <w:b w:val="false"/>
          <w:color w:val="000000"/>
          <w:sz w:val="24"/>
        </w:rPr>
        <w:t>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Swap Termination Value”</w:t>
      </w:r>
      <w:r>
        <w:rPr>
          <w:color w:val="000000"/>
        </w:rPr>
        <w:t xml:space="preserve"> </w:t>
      </w:r>
      <w:r>
        <w:rPr>
          <w:rFonts w:ascii="Times New Roman;serif" w:hAnsi="Times New Roman;serif"/>
          <w:b w:val="false"/>
          <w:color w:val="000000"/>
          <w:sz w:val="24"/>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Synthetic Lease”</w:t>
      </w:r>
      <w:r>
        <w:rPr>
          <w:color w:val="000000"/>
        </w:rPr>
        <w:t xml:space="preserve"> </w:t>
      </w:r>
      <w:r>
        <w:rPr>
          <w:rFonts w:ascii="Times New Roman;serif" w:hAnsi="Times New Roman;serif"/>
          <w:b w:val="false"/>
          <w:color w:val="000000"/>
          <w:sz w:val="24"/>
        </w:rPr>
        <w:t>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Transactions”</w:t>
      </w:r>
      <w:r>
        <w:rPr>
          <w:color w:val="000000"/>
        </w:rPr>
        <w:t xml:space="preserve"> </w:t>
      </w:r>
      <w:r>
        <w:rPr>
          <w:rFonts w:ascii="Times New Roman;serif" w:hAnsi="Times New Roman;serif"/>
          <w:b w:val="false"/>
          <w:color w:val="000000"/>
          <w:sz w:val="24"/>
        </w:rPr>
        <w:t xml:space="preserve">means, collectively, (a) the funding of the term loans made to the borrowers under the Primary Credit Agreement on the PSS Acquisition Date, the funding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7800"/>
                <wp:effectExtent l="0" t="0" r="0" b="0"/>
                <wp:wrapNone/>
                <wp:docPr id="121" name="Frame1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revolving loans made to the borrowers under the Primary Credit Agreement on the PSS Acquisition Date, the proceeds of which are applied in accordance with Section 7.10 of the Primary Credit Agreement as in effect on the date of this Agreement, and the consummation of the other transactions contemplated by the Primary Credit Agreement, (b) the consummation of the PSS Acquisition and the other transactions contemplated by the PSS Acquisition Agreement (for the avoidance of doubt, including the payment of all amounts and consideration pursuant to the PSS Acquisition Agreement), (c) the execution, delivery and performance by the loan parties under the Primary Credit Agreement of the loan documents under the Primary Credit Agreement to which they are party, (d) the refinancing of the Existing Credit Agreement and (e) the payment of Transaction Costs.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Transaction Costs”</w:t>
      </w:r>
      <w:r>
        <w:rPr>
          <w:color w:val="000000"/>
        </w:rPr>
        <w:t xml:space="preserve"> </w:t>
      </w:r>
      <w:r>
        <w:rPr>
          <w:rFonts w:ascii="Times New Roman;serif" w:hAnsi="Times New Roman;serif"/>
          <w:b w:val="false"/>
          <w:color w:val="000000"/>
          <w:sz w:val="24"/>
        </w:rPr>
        <w:t>means fees, premiums, expenses and other transaction costs (including original issue discount and upfront fees) payable or otherwise borne by the Company and its Subsidiaries in connection with the Transactions and the transactions contemplated thereby.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United States Person”</w:t>
      </w:r>
      <w:r>
        <w:rPr>
          <w:color w:val="000000"/>
        </w:rPr>
        <w:t xml:space="preserve"> </w:t>
      </w:r>
      <w:r>
        <w:rPr>
          <w:rFonts w:ascii="Times New Roman;serif" w:hAnsi="Times New Roman;serif"/>
          <w:b w:val="false"/>
          <w:color w:val="000000"/>
          <w:sz w:val="24"/>
        </w:rPr>
        <w:t>has the meaning set forth in Section 7701(a)(30) of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USA PATRIOT Act”</w:t>
      </w:r>
      <w:r>
        <w:rPr>
          <w:color w:val="000000"/>
        </w:rPr>
        <w:t xml:space="preserve"> </w:t>
      </w:r>
      <w:r>
        <w:rPr>
          <w:rFonts w:ascii="Times New Roman;serif" w:hAnsi="Times New Roman;serif"/>
          <w:b w:val="false"/>
          <w:color w:val="000000"/>
          <w:sz w:val="24"/>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U.S. Economic Sanctions Laws”</w:t>
      </w:r>
      <w:r>
        <w:rPr>
          <w:color w:val="000000"/>
        </w:rPr>
        <w:t xml:space="preserve"> </w:t>
      </w:r>
      <w:r>
        <w:rPr>
          <w:rFonts w:ascii="Times New Roman;serif" w:hAnsi="Times New Roman;serif"/>
          <w:b w:val="false"/>
          <w:color w:val="000000"/>
          <w:sz w:val="24"/>
        </w:rPr>
        <w:t>means those laws, executive orders, enabling legislation or regulations administered and enforced by the United States pursuant to which comprehensive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Wholly-Owned Subsidiary”</w:t>
      </w:r>
      <w:r>
        <w:rPr>
          <w:color w:val="000000"/>
        </w:rPr>
        <w:t xml:space="preserve"> </w:t>
      </w:r>
      <w:r>
        <w:rPr>
          <w:rFonts w:ascii="Times New Roman;serif" w:hAnsi="Times New Roman;serif"/>
          <w:b w:val="false"/>
          <w:color w:val="000000"/>
          <w:sz w:val="24"/>
        </w:rPr>
        <w:t>means any Person 100% of whose Capital Stock is at the time owned by the Company directly or indirectly through other Persons 100% of whose Capital Stock is at the time owned, directly or indirectly, by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7800"/>
                <wp:effectExtent l="0" t="0" r="0" b="0"/>
                <wp:wrapNone/>
                <wp:docPr id="122" name="Frame12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SERIES A NOTE]</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Brady Corporation</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5.43% Senior Note, Series A, Due August 3, 2031</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 A-[__]    [Date]</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$[_______]    PPN 104674 A*7</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Value Received, the undersigned, Brady Corporation (herein called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xml:space="preserve">), a corporation organized and existing under the laws of the State of Wisconsin, hereby promises to pay to [____________], or its registered assigns, the principal sum of [_____________________] Dollars (or so much thereof as shall not have been prepaid) on August 3, 2031 (the </w:t>
      </w:r>
      <w:r>
        <w:rPr>
          <w:color w:val="000000"/>
        </w:rPr>
        <w:t>“</w:t>
      </w:r>
      <w:r>
        <w:rPr>
          <w:rFonts w:ascii="Times New Roman;serif" w:hAnsi="Times New Roman;serif"/>
          <w:b/>
          <w:color w:val="000000"/>
          <w:sz w:val="24"/>
        </w:rPr>
        <w:t>Maturity Date”</w:t>
      </w:r>
      <w:r>
        <w:rPr>
          <w:rFonts w:ascii="Times New Roman;serif" w:hAnsi="Times New Roman;serif"/>
          <w:b w:val="false"/>
          <w:color w:val="000000"/>
          <w:sz w:val="24"/>
        </w:rPr>
        <w:t>), with interest (computed on the basis of a 360-day year of twelve 30-day months) (a) on the unpaid balance hereof at the rate of 5.43% per annum from the date hereof, payable semiannually, on the 3rd day of February and August in each year, commencing with the February 3rd or August 3rd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Default Rate, payable semiannually as aforesaid (or, at the option of the registered holder hereof, on demand).</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interest on and any Make-Whole Amount with respect to this Note are to be made in lawful money of the United States of America at BMO Bank N.A. or at such other place as the Company shall have designated by written notice to the holder of this Note as provided in the Note Purchase Agreement referred to below.</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This Note is one of a series of Senior Notes (herein called the </w:t>
      </w:r>
      <w:r>
        <w:rPr>
          <w:color w:val="000000"/>
        </w:rPr>
        <w:t>“</w:t>
      </w:r>
      <w:r>
        <w:rPr>
          <w:rFonts w:ascii="Times New Roman;serif" w:hAnsi="Times New Roman;serif"/>
          <w:b/>
          <w:color w:val="000000"/>
          <w:sz w:val="24"/>
        </w:rPr>
        <w:t>Notes”</w:t>
      </w:r>
      <w:r>
        <w:rPr>
          <w:rFonts w:ascii="Times New Roman;serif" w:hAnsi="Times New Roman;serif"/>
          <w:b w:val="false"/>
          <w:color w:val="000000"/>
          <w:sz w:val="24"/>
        </w:rPr>
        <w:t xml:space="preserve">) issued pursuant to the Note Purchase Agreement, dated August 3, 2026 (as from time to time amended, the </w:t>
      </w:r>
      <w:r>
        <w:rPr>
          <w:color w:val="000000"/>
        </w:rPr>
        <w:t>“</w:t>
      </w:r>
      <w:r>
        <w:rPr>
          <w:rFonts w:ascii="Times New Roman;serif" w:hAnsi="Times New Roman;serif"/>
          <w:b/>
          <w:color w:val="000000"/>
          <w:sz w:val="24"/>
        </w:rPr>
        <w:t>Note Purchase Agreement”</w:t>
      </w:r>
      <w:r>
        <w:rPr>
          <w:rFonts w:ascii="Times New Roman;serif" w:hAnsi="Times New Roman;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5600"/>
                <wp:effectExtent l="0" t="0" r="0" b="0"/>
                <wp:wrapNone/>
                <wp:docPr id="123" name="Frame123"/>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1-A</w:t>
                            </w:r>
                            <w:r>
                              <w:br w:type="page"/>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1-A</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payment and for all other purposes, and the Company will not be affected by any notice to the contrary.</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subject to optional prepayment and mandatory offers of prepayment, in whole or from time to time in part, at the times and on the terms specified in the Note Purchase Agreement, but not otherwise.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w:t>
      </w:r>
    </w:p>
    <w:tbl>
      <w:tblPr>
        <w:tblW w:w="38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64"/>
        <w:gridCol w:w="464"/>
        <w:gridCol w:w="464"/>
        <w:gridCol w:w="464"/>
        <w:gridCol w:w="464"/>
        <w:gridCol w:w="4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7800"/>
                <wp:effectExtent l="0" t="0" r="0" b="0"/>
                <wp:wrapNone/>
                <wp:docPr id="124" name="Frame12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1-A-2</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SERIES B NOTE]</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Brady Corporation</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5.65% Senior Note, Series B, Due August 3, 2033</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 B-[__]    [Date]</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$[_______]    PPN 104674 A@5</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Value Received, the undersigned, Brady Corporation (herein called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xml:space="preserve">), a corporation organized and existing under the laws of the State of Wisconsin, hereby promises to pay to [____________], or its registered assigns, the principal sum of [_____________________] Dollars (or so much thereof as shall not have been prepaid) on August 3, 2033 (the </w:t>
      </w:r>
      <w:r>
        <w:rPr>
          <w:color w:val="000000"/>
        </w:rPr>
        <w:t>“</w:t>
      </w:r>
      <w:r>
        <w:rPr>
          <w:rFonts w:ascii="Times New Roman;serif" w:hAnsi="Times New Roman;serif"/>
          <w:b/>
          <w:color w:val="000000"/>
          <w:sz w:val="24"/>
        </w:rPr>
        <w:t>Maturity Date”</w:t>
      </w:r>
      <w:r>
        <w:rPr>
          <w:rFonts w:ascii="Times New Roman;serif" w:hAnsi="Times New Roman;serif"/>
          <w:b w:val="false"/>
          <w:color w:val="000000"/>
          <w:sz w:val="24"/>
        </w:rPr>
        <w:t>), with interest (computed on the basis of a 360-day year of twelve 30-day months) (a) on the unpaid balance hereof at the rate of 5.65% per annum from the date hereof, payable semiannually, on the 3rd day of February and August in each year, commencing with the February 3rd or August 3rd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Default Rate, payable semiannually as aforesaid (or, at the option of the registered holder hereof, on demand).</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interest on and any Make-Whole Amount with respect to this Note are to be made in lawful money of the United States of America at BMO Bank N.A. or at such other place as the Company shall have designated by written notice to the holder of this Note as provided in the Note Purchase Agreement referred to below.</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This Note is one of a series of Senior Notes (herein called the </w:t>
      </w:r>
      <w:r>
        <w:rPr>
          <w:color w:val="000000"/>
        </w:rPr>
        <w:t>“</w:t>
      </w:r>
      <w:r>
        <w:rPr>
          <w:rFonts w:ascii="Times New Roman;serif" w:hAnsi="Times New Roman;serif"/>
          <w:b/>
          <w:color w:val="000000"/>
          <w:sz w:val="24"/>
        </w:rPr>
        <w:t>Notes”</w:t>
      </w:r>
      <w:r>
        <w:rPr>
          <w:rFonts w:ascii="Times New Roman;serif" w:hAnsi="Times New Roman;serif"/>
          <w:b w:val="false"/>
          <w:color w:val="000000"/>
          <w:sz w:val="24"/>
        </w:rPr>
        <w:t xml:space="preserve">) issued pursuant to the Note Purchase Agreement, dated August 3, 2026 (as from time to time amended, the </w:t>
      </w:r>
      <w:r>
        <w:rPr>
          <w:color w:val="000000"/>
        </w:rPr>
        <w:t>“</w:t>
      </w:r>
      <w:r>
        <w:rPr>
          <w:rFonts w:ascii="Times New Roman;serif" w:hAnsi="Times New Roman;serif"/>
          <w:b/>
          <w:color w:val="000000"/>
          <w:sz w:val="24"/>
        </w:rPr>
        <w:t>Note Purchase Agreement”</w:t>
      </w:r>
      <w:r>
        <w:rPr>
          <w:rFonts w:ascii="Times New Roman;serif" w:hAnsi="Times New Roman;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5600"/>
                <wp:effectExtent l="0" t="0" r="0" b="0"/>
                <wp:wrapNone/>
                <wp:docPr id="125" name="Frame125"/>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1-B</w:t>
                            </w:r>
                            <w:r>
                              <w:br w:type="page"/>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1-B</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payment and for all other purposes, and the Company will not be affected by any notice to the contrary.</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subject to optional prepayment and mandatory offers of prepayment, in whole or from time to time in part, at the times and on the terms specified in the Note Purchase Agreement, but not otherwise.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w:t>
      </w:r>
    </w:p>
    <w:p>
      <w:pPr>
        <w:pStyle w:val="TextBody"/>
        <w:bidi w:val="0"/>
        <w:spacing w:before="0" w:after="0"/>
        <w:ind w:left="0" w:right="0" w:hanging="360"/>
        <w:jc w:val="left"/>
        <w:rPr/>
      </w:pPr>
      <w:r>
        <w:rPr/>
      </w:r>
    </w:p>
    <w:tbl>
      <w:tblPr>
        <w:tblW w:w="38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64"/>
        <w:gridCol w:w="464"/>
        <w:gridCol w:w="464"/>
        <w:gridCol w:w="464"/>
        <w:gridCol w:w="464"/>
        <w:gridCol w:w="4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7800"/>
                <wp:effectExtent l="0" t="0" r="0" b="0"/>
                <wp:wrapNone/>
                <wp:docPr id="126" name="Frame12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1-B-2</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SERIES C NOTE]</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Brady Corporation</w: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5.90% Senior Note, Series C, Due August 3, 2036</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 C-[__]    [Date]</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$[_______]    PPN 104674 A#3</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Value Received, the undersigned, Brady Corporation (herein called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xml:space="preserve">), a corporation organized and existing under the laws of the State of Wisconsin, hereby promises to pay to [____________], or its registered assigns, the principal sum of [_____________________] Dollars (or so much thereof as shall not have been prepaid) on August 3, 2036 (the </w:t>
      </w:r>
      <w:r>
        <w:rPr>
          <w:color w:val="000000"/>
        </w:rPr>
        <w:t>“</w:t>
      </w:r>
      <w:r>
        <w:rPr>
          <w:rFonts w:ascii="Times New Roman;serif" w:hAnsi="Times New Roman;serif"/>
          <w:b/>
          <w:color w:val="000000"/>
          <w:sz w:val="24"/>
        </w:rPr>
        <w:t>Maturity Date”</w:t>
      </w:r>
      <w:r>
        <w:rPr>
          <w:rFonts w:ascii="Times New Roman;serif" w:hAnsi="Times New Roman;serif"/>
          <w:b w:val="false"/>
          <w:color w:val="000000"/>
          <w:sz w:val="24"/>
        </w:rPr>
        <w:t>), with interest (computed on the basis of a 360-day year of twelve 30-day months) (a) on the unpaid balance hereof at the rate of 5.90% per annum from the date hereof, payable semiannually, on the 3rd day of February and August in each year, commencing with the February 3rd or August 3rd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Default Rate, payable semiannually as aforesaid (or, at the option of the registered holder hereof, on demand).</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interest on and any Make-Whole Amount with respect to this Note are to be made in lawful money of the United States of America at BMO Bank N.A. or at such other place as the Company shall have designated by written notice to the holder of this Note as provided in the Note Purchase Agreement referred to below.</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This Note is one of a series of Senior Notes (herein called the </w:t>
      </w:r>
      <w:r>
        <w:rPr>
          <w:color w:val="000000"/>
        </w:rPr>
        <w:t>“</w:t>
      </w:r>
      <w:r>
        <w:rPr>
          <w:rFonts w:ascii="Times New Roman;serif" w:hAnsi="Times New Roman;serif"/>
          <w:b/>
          <w:color w:val="000000"/>
          <w:sz w:val="24"/>
        </w:rPr>
        <w:t>Notes”</w:t>
      </w:r>
      <w:r>
        <w:rPr>
          <w:rFonts w:ascii="Times New Roman;serif" w:hAnsi="Times New Roman;serif"/>
          <w:b w:val="false"/>
          <w:color w:val="000000"/>
          <w:sz w:val="24"/>
        </w:rPr>
        <w:t xml:space="preserve">) issued pursuant to the Note Purchase Agreement, dated August 3, 2026 (as from time to time amended, the </w:t>
      </w:r>
      <w:r>
        <w:rPr>
          <w:color w:val="000000"/>
        </w:rPr>
        <w:t>“</w:t>
      </w:r>
      <w:r>
        <w:rPr>
          <w:rFonts w:ascii="Times New Roman;serif" w:hAnsi="Times New Roman;serif"/>
          <w:b/>
          <w:color w:val="000000"/>
          <w:sz w:val="24"/>
        </w:rPr>
        <w:t>Note Purchase Agreement”</w:t>
      </w:r>
      <w:r>
        <w:rPr>
          <w:rFonts w:ascii="Times New Roman;serif" w:hAnsi="Times New Roman;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5600"/>
                <wp:effectExtent l="0" t="0" r="0" b="0"/>
                <wp:wrapNone/>
                <wp:docPr id="127" name="Frame127"/>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1-C</w:t>
                            </w:r>
                            <w:r>
                              <w:br w:type="page"/>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1-C</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payment and for all other purposes, and the Company will not be affected by any notice to the contrary.</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subject to optional prepayment and mandatory offers of prepayment, in whole or from time to time in part, at the times and on the terms specified in the Note Purchase Agreement, but not otherwise.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 of a jurisdiction other than such State.</w:t>
      </w:r>
    </w:p>
    <w:p>
      <w:pPr>
        <w:pStyle w:val="TextBody"/>
        <w:bidi w:val="0"/>
        <w:spacing w:before="280" w:after="283"/>
        <w:ind w:left="0" w:right="0" w:firstLine="720"/>
        <w:jc w:val="both"/>
        <w:rPr/>
      </w:pPr>
      <w:r>
        <w:rPr/>
      </w:r>
    </w:p>
    <w:tbl>
      <w:tblPr>
        <w:tblW w:w="382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64"/>
        <w:gridCol w:w="464"/>
        <w:gridCol w:w="464"/>
        <w:gridCol w:w="464"/>
        <w:gridCol w:w="464"/>
        <w:gridCol w:w="4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BRADY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7800"/>
                <wp:effectExtent l="0" t="0" r="0" b="0"/>
                <wp:wrapNone/>
                <wp:docPr id="128" name="Frame12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1-C-2</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APPLICABLE INTEREST RATES FOR THE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0"/>
        <w:gridCol w:w="692"/>
        <w:gridCol w:w="697"/>
        <w:gridCol w:w="865"/>
        <w:gridCol w:w="865"/>
        <w:gridCol w:w="867"/>
        <w:gridCol w:w="863"/>
        <w:gridCol w:w="863"/>
        <w:gridCol w:w="866"/>
        <w:gridCol w:w="773"/>
        <w:gridCol w:w="773"/>
        <w:gridCol w:w="1101"/>
      </w:tblGrid>
      <w:tr>
        <w:trPr/>
        <w:tc>
          <w:tcPr>
            <w:tcW w:w="98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color w:val="000000"/>
                <w:sz w:val="22"/>
              </w:rPr>
            </w:pPr>
            <w:r>
              <w:rPr>
                <w:rFonts w:ascii="Times New Roman;serif" w:hAnsi="Times New Roman;serif"/>
                <w:b/>
                <w:color w:val="000000"/>
                <w:sz w:val="22"/>
              </w:rPr>
              <w:t>If the Closing for the Notes occurs on any date:</w:t>
            </w:r>
          </w:p>
        </w:tc>
        <w:tc>
          <w:tcPr>
            <w:tcW w:w="2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color w:val="000000"/>
                <w:sz w:val="22"/>
              </w:rPr>
            </w:pPr>
            <w:r>
              <w:rPr>
                <w:rFonts w:ascii="Times New Roman;serif" w:hAnsi="Times New Roman;serif"/>
                <w:b/>
                <w:color w:val="000000"/>
                <w:sz w:val="22"/>
              </w:rPr>
              <w:t>The Applicable Interest Rate per annum for the Series A Notes will be:</w:t>
            </w:r>
          </w:p>
        </w:tc>
        <w:tc>
          <w:tcPr>
            <w:tcW w:w="2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color w:val="000000"/>
                <w:sz w:val="22"/>
              </w:rPr>
            </w:pPr>
            <w:r>
              <w:rPr>
                <w:rFonts w:ascii="Times New Roman;serif" w:hAnsi="Times New Roman;serif"/>
                <w:b/>
                <w:color w:val="000000"/>
                <w:sz w:val="22"/>
              </w:rPr>
              <w:t>The Applicable Interest Rate per annum for the Series B Notes will be:</w:t>
            </w:r>
          </w:p>
        </w:tc>
        <w:tc>
          <w:tcPr>
            <w:tcW w:w="26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0"/>
              <w:jc w:val="center"/>
              <w:rPr>
                <w:rFonts w:ascii="Times New Roman;serif" w:hAnsi="Times New Roman;serif"/>
                <w:b/>
                <w:color w:val="000000"/>
                <w:sz w:val="22"/>
              </w:rPr>
            </w:pPr>
            <w:r>
              <w:rPr>
                <w:rFonts w:ascii="Times New Roman;serif" w:hAnsi="Times New Roman;serif"/>
                <w:b/>
                <w:color w:val="000000"/>
                <w:sz w:val="22"/>
              </w:rPr>
              <w:t>The Applicable Interest Rate per annum for the Series C Notes will be:</w:t>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On or prior to October 17, 2026</w:t>
            </w:r>
          </w:p>
        </w:tc>
        <w:tc>
          <w:tcPr>
            <w:tcW w:w="2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5.43%</w:t>
            </w:r>
          </w:p>
        </w:tc>
        <w:tc>
          <w:tcPr>
            <w:tcW w:w="2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5.65%</w:t>
            </w:r>
          </w:p>
        </w:tc>
        <w:tc>
          <w:tcPr>
            <w:tcW w:w="26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5.90%</w:t>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After October 17, 2026 and on or prior to November 17, 2026</w:t>
            </w:r>
          </w:p>
        </w:tc>
        <w:tc>
          <w:tcPr>
            <w:tcW w:w="2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5.43% plus 0.02% (2 bps) = 5.45%</w:t>
            </w:r>
          </w:p>
        </w:tc>
        <w:tc>
          <w:tcPr>
            <w:tcW w:w="2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5.65% plus 0.02% (2 bps) = 5.67%</w:t>
            </w:r>
          </w:p>
        </w:tc>
        <w:tc>
          <w:tcPr>
            <w:tcW w:w="26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5.90% plus 0.02% (2 bps) = 5.92%</w:t>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After November 17, 2026 and on or prior to December 17, 2026</w:t>
            </w:r>
          </w:p>
        </w:tc>
        <w:tc>
          <w:tcPr>
            <w:tcW w:w="2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5.43% plus 0.04% (4 bps) = 5.47%</w:t>
            </w:r>
          </w:p>
        </w:tc>
        <w:tc>
          <w:tcPr>
            <w:tcW w:w="2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5.65% plus 0.04% (4 bps) = 5.69%</w:t>
            </w:r>
          </w:p>
        </w:tc>
        <w:tc>
          <w:tcPr>
            <w:tcW w:w="26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5.90% plus 0.04% (4 bps) = 5.94%</w:t>
            </w:r>
          </w:p>
        </w:tc>
      </w:tr>
      <w:tr>
        <w:trPr/>
        <w:tc>
          <w:tcPr>
            <w:tcW w:w="23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After December 17, 2026, and on or prior to January 17, 2027</w:t>
            </w:r>
          </w:p>
        </w:tc>
        <w:tc>
          <w:tcPr>
            <w:tcW w:w="25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5.43% plus 0.06% (6 bps) = 5.49%</w:t>
            </w:r>
          </w:p>
        </w:tc>
        <w:tc>
          <w:tcPr>
            <w:tcW w:w="25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5.65% plus 0.06% (6 bps) = 5.71%</w:t>
            </w:r>
          </w:p>
        </w:tc>
        <w:tc>
          <w:tcPr>
            <w:tcW w:w="264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5.90% plus 0.08% (8 bps) = 5.98%</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5600"/>
                <wp:effectExtent l="0" t="0" r="0" b="0"/>
                <wp:wrapNone/>
                <wp:docPr id="129" name="Frame129"/>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1.2</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1.2</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Note Purchase Agreement)</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417" w:before="120" w:after="283"/>
        <w:jc w:val="right"/>
        <w:rPr>
          <w:rFonts w:ascii="Times New Roman;serif" w:hAnsi="Times New Roman;serif"/>
          <w:b/>
          <w:color w:val="000000"/>
          <w:sz w:val="22"/>
          <w:u w:val="single"/>
        </w:rPr>
      </w:pPr>
      <w:r>
        <w:rPr>
          <w:rFonts w:ascii="Times New Roman;serif" w:hAnsi="Times New Roman;serif"/>
          <w:b/>
          <w:color w:val="000000"/>
          <w:sz w:val="22"/>
          <w:u w:val="single"/>
        </w:rPr>
        <w:t>EXHIBIT 99.1</w:t>
      </w:r>
    </w:p>
    <w:p>
      <w:pPr>
        <w:pStyle w:val="TextBody"/>
        <w:bidi w:val="0"/>
        <w:spacing w:lineRule="auto" w:line="240" w:before="240" w:after="283"/>
        <w:jc w:val="left"/>
        <w:rPr>
          <w:rFonts w:ascii="Times New Roman;serif" w:hAnsi="Times New Roman;serif"/>
          <w:b/>
          <w:color w:val="333333"/>
          <w:sz w:val="22"/>
          <w:u w:val="single"/>
          <w:shd w:fill="FFFFFF" w:val="clear"/>
        </w:rPr>
      </w:pPr>
      <w:r>
        <w:rPr>
          <w:rFonts w:ascii="Times New Roman;serif" w:hAnsi="Times New Roman;serif"/>
          <w:b/>
          <w:color w:val="333333"/>
          <w:sz w:val="22"/>
          <w:u w:val="single"/>
          <w:shd w:fill="FFFFFF" w:val="clear"/>
        </w:rPr>
        <w:t>Brady Corporation Completes Transformational Acquisition of Honeywell Technologies’ Productivity Solutions and Services Business, Creating Leading Industrial Technology Company</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Times New Roman;serif" w:hAnsi="Times New Roman;serif"/>
          <w:b w:val="false"/>
          <w:i/>
          <w:color w:val="000000"/>
          <w:sz w:val="22"/>
        </w:rPr>
        <w:t>Global Industrial Technology Platform Delivering Identification, Safety and Productivity Solutions</w:t>
      </w:r>
    </w:p>
    <w:p>
      <w:pPr>
        <w:pStyle w:val="TextBody"/>
        <w:bidi w:val="0"/>
        <w:spacing w:lineRule="auto" w:line="417" w:before="0" w:after="0"/>
        <w:ind w:left="0" w:right="0" w:hanging="360"/>
        <w:jc w:val="left"/>
        <w:rPr/>
      </w:pPr>
      <w:r>
        <w:rPr>
          <w:color w:val="000000"/>
        </w:rPr>
        <w:t>•</w:t>
      </w:r>
      <w:r>
        <w:rPr>
          <w:rFonts w:ascii="Times New Roman;serif" w:hAnsi="Times New Roman;serif"/>
          <w:b w:val="false"/>
          <w:i/>
          <w:color w:val="000000"/>
          <w:sz w:val="22"/>
        </w:rPr>
        <w:t>Expanded Addressable Market with Comprehensive Capabilities Across Verticals</w:t>
      </w:r>
    </w:p>
    <w:p>
      <w:pPr>
        <w:pStyle w:val="TextBody"/>
        <w:bidi w:val="0"/>
        <w:spacing w:lineRule="auto" w:line="417" w:before="0" w:after="0"/>
        <w:ind w:left="0" w:right="0" w:hanging="360"/>
        <w:jc w:val="left"/>
        <w:rPr/>
      </w:pPr>
      <w:r>
        <w:rPr>
          <w:color w:val="000000"/>
        </w:rPr>
        <w:t>•</w:t>
      </w:r>
      <w:r>
        <w:rPr>
          <w:rFonts w:ascii="Times New Roman;serif" w:hAnsi="Times New Roman;serif"/>
          <w:b w:val="false"/>
          <w:i/>
          <w:color w:val="000000"/>
          <w:sz w:val="22"/>
        </w:rPr>
        <w:t>PSS is expected to contribute approximately $0.80 of incremental Adjusted Diluted Earnings Per Share* within the first year following the close of the transaction</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MILWAUKEE (August 3, 2026) -- Brady Corporation (NYSE: BRC) (“Brady” or “Company”), a world leader in identification, safety and productivity solutions, today announced that effective August 3, the Company has completed its previously announced transaction with Honeywell (Nasdaq: HON) to acquire Honeywell Technologies’ Productivity Solutions and Services (“PSS”) business. The all-cash, $1.4 billion transaction was funded with cash on hand, a senior unsecured credit facility and private placement debt, preserving substantial liquidity to support ongoing operations and future growth initiatives.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business combination establishes Brady as a leading identification, safety and productivity solutions partner for businesses globally, leveraging Brady’s strength in printers and consumables and PSS’s leadership in mobile computing, scanning, RFID and workflow software. The PSS business generated sales of approximately $1.1 billion in 2025. As a scaled industrial technology company with enhanced capabilities, comprehensive solutions, and broader end-market exposure, we believe Brady is uniquely positioned to partner with customers to address their evolving needs.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In conjunction with the acquisition, Brady will be operated with two reportable segments. The existing Brady business will be reported as Identification Solutions and the PSS business will be reported as Intelligent Productivity Solutions.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Management Commentary</w:t>
      </w:r>
    </w:p>
    <w:p>
      <w:pPr>
        <w:pStyle w:val="TextBody"/>
        <w:bidi w:val="0"/>
        <w:spacing w:lineRule="auto" w:line="417" w:before="0" w:after="0"/>
        <w:jc w:val="both"/>
        <w:rPr>
          <w:color w:val="000000"/>
        </w:rPr>
      </w:pPr>
      <w:r>
        <w:rPr>
          <w:color w:val="000000"/>
        </w:rPr>
        <w:t>“</w:t>
      </w:r>
      <w:r>
        <w:rPr>
          <w:rFonts w:ascii="Times New Roman;serif" w:hAnsi="Times New Roman;serif"/>
          <w:b w:val="false"/>
          <w:color w:val="000000"/>
          <w:sz w:val="22"/>
        </w:rPr>
        <w:t xml:space="preserve">Today marks the beginning of the next chapter for Brady as a leading industrial technology company, with enhanced capabilities and greater market access. The combination of Brady and PSS’s portfolios creates an industrial technology leader with capabilities across identification, safety, connectivity, and intelligent workflow solutions. Brady now serves customers in nearly every end market, with an expanded portfolio designed to help customers improve productivity, safety and operational performance,” said Brady’s President and Chief Executive Officer, Vineet Nargolwala.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94995"/>
                <wp:effectExtent l="0" t="0" r="0" b="0"/>
                <wp:wrapNone/>
                <wp:docPr id="130" name="Frame1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Mr. Nargolwala continued, “While this transaction significantly expands Brady's scale and capabilities, our approach and objectives remain the same: producing trusted products and services, consistent operational execution, disciplined capital allocation, and creating significant value for our teams, customers and shareholders. We welcome the over 3,000 members of the PSS team to Brady and together, we will build the next chapter of Brady.”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The combined Company provides a Comprehensive Industrial Technology Platform</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Comprehensive technology portfolio: Product portfolio adds scale and extends Brady into adjacent workflows, including mobile computing, barcode scanning, RFID and workflow software, complementing Brady’s leading position in its printers and specialty adhesive materials portfolios.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Expanded addressable market: Brady now has access to the $9 billion productivity solutions market, better positioning the Company to benefit from secular tailwinds across automation, digitization, and asset tracking as global companies continue to seek automation and efficiency opportunities.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Increased recurring revenue opportunity: PSS’s high-margin software and service offerings provide the Company with an opportunity to increase recurring revenue, improve long-term margin profile, and strengthen customer relationships.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Compelling financial platform: The PSS acquisition is expected to be immediately accretive to Adjusted Diluted Earnings per Share* (approximately $0.80 within the first twelve months following the close of the transaction) with strong cash generation to support deleveraging. Brady expects to achieve a minimum of $25 million in annual run-rate cost synergies within three years of closing through improved operational efficiency. After accounting for transaction financing, Brady expects net debt-to-EBITDA* of approximately 2.5x, anticipating that it will deleverage to below 2.0x within two years following close. Brady is committed to maintaining a strong balance sheet to support its disciplined and consistent capital allocation strategy.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About Brady</w:t>
      </w:r>
    </w:p>
    <w:p>
      <w:pPr>
        <w:pStyle w:val="TextBody"/>
        <w:bidi w:val="0"/>
        <w:spacing w:lineRule="auto" w:line="417"/>
        <w:jc w:val="both"/>
        <w:rPr>
          <w:rFonts w:ascii="Times New Roman;serif" w:hAnsi="Times New Roman;serif"/>
          <w:b w:val="false"/>
          <w:color w:val="000000"/>
          <w:sz w:val="22"/>
        </w:rPr>
      </w:pPr>
      <w:r>
        <w:rPr>
          <w:rFonts w:ascii="Times New Roman;serif" w:hAnsi="Times New Roman;serif"/>
          <w:b w:val="false"/>
          <w:color w:val="000000"/>
          <w:sz w:val="22"/>
        </w:rPr>
        <w:t xml:space="preserve">Brady Corporation (NYSE: BRC) is a global industrial technology company and a leading provider of identification, safety, and productivity solutions that help organizations of all sizes to identify, connect, protect, track, and optimize what matters most. By combining trusted identification technologies with advanced data capture, enterprise mobility, software and workflow solutions, Brady’s comprehensive offerings enable its customers to improve safety, productivity, accuracy, and operational performance across their most critical functions and in the world’s most demanding environments. For more than 110 years, Brady has established trust and demonstrated its commitment to innovation, serving customers across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94995"/>
                <wp:effectExtent l="0" t="0" r="0" b="0"/>
                <wp:wrapNone/>
                <wp:docPr id="131" name="Frame13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2"/>
        </w:rPr>
        <w:t xml:space="preserve">manufacturing, logistics, healthcare, electronics, telecommunications, aerospace, construction, and other key industries, to make their work safer, smarter, and more connected. Headquartered in Milwaukee, Wisconsin, Brady employs approximately 9,400 people worldwide. Brady stock trades on the New York Stock Exchange under the symbol BRC. Learn more at </w:t>
      </w:r>
      <w:r>
        <w:rPr>
          <w:rFonts w:ascii="Times New Roman;serif" w:hAnsi="Times New Roman;serif"/>
          <w:b w:val="false"/>
          <w:color w:val="0000FF"/>
          <w:sz w:val="22"/>
          <w:u w:val="single"/>
        </w:rPr>
        <w:t>www.bradyid.com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Adjusted Diluted EPS and the ratio of net debt to EBITDA are non-GAAP measures. We believe that these non-GAAP financial measures are useful measures for providing investors with additional information to understand and compare our operating results across accounting periods and compared to our peers. Our management primarily uses these non-GAAP measures to help us evaluate our business and forecast our future results. This additional information is not meant to be considered in isolation or as a substitute for results of operations prepared and presented in accordance with GAAP. For forward-looking non-GAAP measures as used in this press release, we do not attempt to provide a reconciliation to the equivalent GAAP measures as certain elements of these measures are dependent on future events and therefore cannot be precisely calculated without unreasonable effort or expense. The significance of these elements are indeterminable at this time. Forward-looking non-GAAP measures are estimated in a manner consistent with our historical practice.</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release, statements that are not reported financial results or other historic information are “forward-looking statements.” These forward-looking statements relate to, among other things, statements about the success of the acquisition, including anticipated benefits and synergies of the transaction, future opportunities for the combined company, and any other statements regarding the establishment of a new reporting segment for the PSS business,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ability of the Company and the PSS business to retain customers and retain and hire key personnel and maintain relationships with their suppliers and customers and on their operating results and businesses generally; potential difficulties integrating the PSS business, or the costs of integrating the PSS business exceeding original estimates; failure of the Company to achieve the anticipated benefits and synergies of the transaction identified in this release on the timeline indicated or at all; the establishment of a new reporting segment for the PSS business;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our indebtedness, financial condition and fulfillment of obligations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94995"/>
                <wp:effectExtent l="0" t="0" r="0" b="0"/>
                <wp:wrapNone/>
                <wp:docPr id="132" name="Frame13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thereunder; the ability to service our indebtedness;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U.S. Securities and Exchange Commission filings, including, but not limited to, those factors listed in the “Risk Factors” section within Item 1A of Part I of the Company’s Form 10-K for the year ended July 31, 2025 and the risk factor listed in the “Risk Factors” section within Item 1A of Part II of the Company’s Form 10-Q for the quarterly period ended April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the Company’s actual future results to be materially different than those expressed in its forward-looking statements. The Company does not undertake to update its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2"/>
        </w:rPr>
        <w:t>Investor and Media Contacts</w:t>
      </w:r>
      <w:r>
        <w:rPr>
          <w:rFonts w:ascii="Times New Roman;serif" w:hAnsi="Times New Roman;serif"/>
          <w:b w:val="false"/>
          <w:color w:val="000000"/>
          <w:sz w:val="20"/>
        </w:rPr>
        <w:br/>
      </w:r>
      <w:r>
        <w:rPr>
          <w:rFonts w:ascii="Times New Roman;serif" w:hAnsi="Times New Roman;serif"/>
          <w:b w:val="false"/>
          <w:color w:val="000000"/>
          <w:sz w:val="22"/>
        </w:rPr>
        <w:t>Investor contact: Ann Thornton 414-438-6887</w:t>
      </w:r>
      <w:r>
        <w:rPr>
          <w:rFonts w:ascii="Times New Roman;serif" w:hAnsi="Times New Roman;serif"/>
          <w:b w:val="false"/>
          <w:color w:val="000000"/>
          <w:sz w:val="20"/>
        </w:rPr>
        <w:br/>
      </w:r>
      <w:r>
        <w:rPr>
          <w:rFonts w:ascii="Times New Roman;serif" w:hAnsi="Times New Roman;serif"/>
          <w:b w:val="false"/>
          <w:color w:val="000000"/>
          <w:sz w:val="22"/>
        </w:rPr>
        <w:t>Media contact: Kate Venne 414-469-2768</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94995"/>
                <wp:effectExtent l="0" t="0" r="0" b="0"/>
                <wp:wrapNone/>
                <wp:docPr id="133" name="Frame13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6598/000074659826000014/exhibit21equitypurchaseag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130</Pages>
  <Words>49356</Words>
  <Characters>263561</Characters>
  <CharactersWithSpaces>312655</CharactersWithSpaces>
  <Paragraphs>1885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